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E3A5F" w:sz="36" w:space="8"/>
        </w:pBdr>
        <w:spacing w:after="400"/>
      </w:pPr>
    </w:p>
    <w:p>
      <w:pPr>
        <w:spacing w:after="800"/>
      </w:pPr>
    </w:p>
    <w:p>
      <w:pPr>
        <w:spacing w:after="200"/>
        <w:jc w:val="center"/>
      </w:pPr>
      <w:r>
        <w:rPr>
          <w:rFonts w:ascii="Arial Narrow" w:cs="Arial Narrow" w:eastAsia="Arial Narrow" w:hAnsi="Arial Narrow"/>
          <w:b/>
          <w:bCs/>
          <w:color w:val="1E3A5F"/>
          <w:sz w:val="44"/>
          <w:szCs w:val="44"/>
        </w:rPr>
        <w:t xml:space="preserve">WAMOCON GMBH</w:t>
      </w:r>
    </w:p>
    <w:p>
      <w:pPr>
        <w:spacing w:after="120"/>
        <w:jc w:val="center"/>
      </w:pPr>
      <w:r>
        <w:rPr>
          <w:rFonts w:ascii="Arial Narrow" w:cs="Arial Narrow" w:eastAsia="Arial Narrow" w:hAnsi="Arial Narrow"/>
          <w:b/>
          <w:bCs/>
          <w:sz w:val="36"/>
          <w:szCs w:val="36"/>
        </w:rPr>
        <w:t xml:space="preserve">Anforderungsdokument</w:t>
      </w:r>
    </w:p>
    <w:p>
      <w:pPr>
        <w:spacing w:after="600"/>
        <w:jc w:val="center"/>
      </w:pPr>
      <w:r>
        <w:rPr>
          <w:rFonts w:ascii="Arial Narrow" w:cs="Arial Narrow" w:eastAsia="Arial Narrow" w:hAnsi="Arial Narrow"/>
          <w:i/>
          <w:iCs/>
          <w:sz w:val="26"/>
          <w:szCs w:val="26"/>
        </w:rPr>
        <w:t xml:space="preserve">Hastek Group / HAS Teknoloji – Premium-Website &amp; Kundenplattform Alanya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dxa" w:w="30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 Narrow" w:cs="Arial Narrow" w:eastAsia="Arial Narrow" w:hAnsi="Arial Narrow"/>
                <w:b/>
                <w:bCs/>
                <w:color w:val="1E3A5F"/>
                <w:sz w:val="20"/>
                <w:szCs w:val="20"/>
              </w:rPr>
              <w:t xml:space="preserve">Welle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 Narrow" w:cs="Arial Narrow" w:eastAsia="Arial Narrow" w:hAnsi="Arial Narrow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0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 Narrow" w:cs="Arial Narrow" w:eastAsia="Arial Narrow" w:hAnsi="Arial Narrow"/>
                <w:b/>
                <w:bCs/>
                <w:color w:val="1E3A5F"/>
                <w:sz w:val="20"/>
                <w:szCs w:val="20"/>
              </w:rPr>
              <w:t xml:space="preserve">Projekt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 Narrow" w:cs="Arial Narrow" w:eastAsia="Arial Narrow" w:hAnsi="Arial Narrow"/>
                <w:sz w:val="20"/>
                <w:szCs w:val="20"/>
              </w:rPr>
              <w:t xml:space="preserve">Hastek Group Premium-Website &amp; Kundenplattform Alanya</w:t>
            </w:r>
          </w:p>
        </w:tc>
      </w:tr>
      <w:tr>
        <w:tc>
          <w:tcPr>
            <w:tcW w:type="dxa" w:w="30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 Narrow" w:cs="Arial Narrow" w:eastAsia="Arial Narrow" w:hAnsi="Arial Narrow"/>
                <w:b/>
                <w:bCs/>
                <w:color w:val="1E3A5F"/>
                <w:sz w:val="20"/>
                <w:szCs w:val="20"/>
              </w:rPr>
              <w:t xml:space="preserve">Unternehmen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 Narrow" w:cs="Arial Narrow" w:eastAsia="Arial Narrow" w:hAnsi="Arial Narrow"/>
                <w:sz w:val="20"/>
                <w:szCs w:val="20"/>
              </w:rPr>
              <w:t xml:space="preserve">WAMOCON GmbH</w:t>
            </w:r>
          </w:p>
        </w:tc>
      </w:tr>
      <w:tr>
        <w:tc>
          <w:tcPr>
            <w:tcW w:type="dxa" w:w="30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 Narrow" w:cs="Arial Narrow" w:eastAsia="Arial Narrow" w:hAnsi="Arial Narrow"/>
                <w:b/>
                <w:bCs/>
                <w:color w:val="1E3A5F"/>
                <w:sz w:val="20"/>
                <w:szCs w:val="20"/>
              </w:rPr>
              <w:t xml:space="preserve">App Version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 Narrow" w:cs="Arial Narrow" w:eastAsia="Arial Narrow" w:hAnsi="Arial Narrow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0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 Narrow" w:cs="Arial Narrow" w:eastAsia="Arial Narrow" w:hAnsi="Arial Narrow"/>
                <w:b/>
                <w:bCs/>
                <w:color w:val="1E3A5F"/>
                <w:sz w:val="20"/>
                <w:szCs w:val="20"/>
              </w:rPr>
              <w:t xml:space="preserve">Erstellt von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 Narrow" w:cs="Arial Narrow" w:eastAsia="Arial Narrow" w:hAnsi="Arial Narrow"/>
                <w:sz w:val="20"/>
                <w:szCs w:val="20"/>
              </w:rPr>
              <w:t xml:space="preserve">Waleri Moretz</w:t>
            </w:r>
          </w:p>
        </w:tc>
      </w:tr>
      <w:tr>
        <w:tc>
          <w:tcPr>
            <w:tcW w:type="dxa" w:w="30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 Narrow" w:cs="Arial Narrow" w:eastAsia="Arial Narrow" w:hAnsi="Arial Narrow"/>
                <w:b/>
                <w:bCs/>
                <w:color w:val="1E3A5F"/>
                <w:sz w:val="20"/>
                <w:szCs w:val="20"/>
              </w:rPr>
              <w:t xml:space="preserve">Eingereicht an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 Narrow" w:cs="Arial Narrow" w:eastAsia="Arial Narrow" w:hAnsi="Arial Narrow"/>
                <w:sz w:val="20"/>
                <w:szCs w:val="20"/>
              </w:rPr>
              <w:t xml:space="preserve">Emre Altuntaş &amp; Harun Çoban, Geschäftsführung Hastek Group (HAS Teknoloji) – Ansprechpartner noch final zu bestätigen</w:t>
            </w:r>
          </w:p>
        </w:tc>
      </w:tr>
      <w:tr>
        <w:tc>
          <w:tcPr>
            <w:tcW w:type="dxa" w:w="30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 Narrow" w:cs="Arial Narrow" w:eastAsia="Arial Narrow" w:hAnsi="Arial Narrow"/>
                <w:b/>
                <w:bCs/>
                <w:color w:val="1E3A5F"/>
                <w:sz w:val="20"/>
                <w:szCs w:val="20"/>
              </w:rPr>
              <w:t xml:space="preserve">Datum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 Narrow" w:cs="Arial Narrow" w:eastAsia="Arial Narrow" w:hAnsi="Arial Narrow"/>
                <w:sz w:val="20"/>
                <w:szCs w:val="20"/>
              </w:rPr>
              <w:t xml:space="preserve">04.07.2026</w:t>
            </w:r>
          </w:p>
        </w:tc>
      </w:tr>
      <w:tr>
        <w:tc>
          <w:tcPr>
            <w:tcW w:type="dxa" w:w="30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 Narrow" w:cs="Arial Narrow" w:eastAsia="Arial Narrow" w:hAnsi="Arial Narrow"/>
                <w:b/>
                <w:bCs/>
                <w:color w:val="1E3A5F"/>
                <w:sz w:val="20"/>
                <w:szCs w:val="20"/>
              </w:rPr>
              <w:t xml:space="preserve">Vertraulichkeit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 Narrow" w:cs="Arial Narrow" w:eastAsia="Arial Narrow" w:hAnsi="Arial Narrow"/>
                <w:sz w:val="20"/>
                <w:szCs w:val="20"/>
              </w:rPr>
              <w:t xml:space="preserve">Intern vertraulich</w:t>
            </w:r>
          </w:p>
        </w:tc>
      </w:tr>
      <w:tr>
        <w:tc>
          <w:tcPr>
            <w:tcW w:type="dxa" w:w="30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 Narrow" w:cs="Arial Narrow" w:eastAsia="Arial Narrow" w:hAnsi="Arial Narrow"/>
                <w:b/>
                <w:bCs/>
                <w:color w:val="1E3A5F"/>
                <w:sz w:val="20"/>
                <w:szCs w:val="20"/>
              </w:rPr>
              <w:t xml:space="preserve">Status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 Narrow" w:cs="Arial Narrow" w:eastAsia="Arial Narrow" w:hAnsi="Arial Narrow"/>
                <w:sz w:val="20"/>
                <w:szCs w:val="20"/>
              </w:rPr>
              <w:t xml:space="preserve">Zur Freigabe eingereicht</w:t>
            </w:r>
          </w:p>
        </w:tc>
      </w:tr>
    </w:tbl>
    <w:p>
      <w:pPr>
        <w:spacing w:after="800"/>
      </w:pPr>
    </w:p>
    <w:p>
      <w:pPr>
        <w:pBdr>
          <w:bottom w:val="dashed" w:color="1E3A5F" w:sz="6" w:space="8"/>
        </w:pBdr>
        <w:spacing w:after="400"/>
      </w:pPr>
    </w:p>
    <w:p>
      <w:pPr>
        <w:pStyle w:val="Heading1"/>
        <w:spacing w:after="240" w:before="0"/>
      </w:pPr>
      <w:r>
        <w:rPr>
          <w:rFonts w:ascii="Arial Narrow" w:cs="Arial Narrow" w:eastAsia="Arial Narrow" w:hAnsi="Arial Narrow"/>
          <w:b/>
          <w:bCs/>
          <w:color w:val="1E3A5F"/>
          <w:sz w:val="32"/>
          <w:szCs w:val="32"/>
        </w:rPr>
        <w:t xml:space="preserve">Kapitel 1: Zusammenfassung</w:t>
      </w: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1.1 Die Idee</w:t>
      </w:r>
    </w:p>
    <w:p>
      <w:pPr>
        <w:spacing w:after="160"/>
      </w:pPr>
      <w:r>
        <w:rPr>
          <w:rFonts w:ascii="Arial Narrow" w:cs="Arial Narrow" w:eastAsia="Arial Narrow" w:hAnsi="Arial Narrow"/>
          <w:sz w:val="22"/>
          <w:szCs w:val="22"/>
        </w:rPr>
        <w:t xml:space="preserve">HAS Teknoloji (Hastek Group Yazılım Ve Otomasyon Sistemleri İth.İhr.Tur.Tic.Ltd.Şti.) ist ein 2017 von Emre Altuntaş und Harun Çoban gegründeter Smart-Home- und Sicherheitssystem-Installateur in Alanya, Türkei, mit einem elf Leistungen umfassenden Portfolio von Smart-Home-Systemen bis Restaurant-Kassensystemen.</w:t>
      </w:r>
    </w:p>
    <w:p>
      <w:pPr>
        <w:spacing w:after="160"/>
      </w:pPr>
      <w:r>
        <w:rPr>
          <w:rFonts w:ascii="Arial Narrow" w:cs="Arial Narrow" w:eastAsia="Arial Narrow" w:hAnsi="Arial Narrow"/>
          <w:sz w:val="22"/>
          <w:szCs w:val="22"/>
        </w:rPr>
        <w:t xml:space="preserve">Das Projekt entwickelt eine mehrsprachige (Türkisch, Englisch, Russisch, Deutsch) Premium-Website mit integrierter Kundenplattform, die dieses Portfolio erstmals nach sechs Zielgruppensegmenten statt als reine Produktliste präsentiert.</w:t>
      </w:r>
    </w:p>
    <w:p>
      <w:pPr>
        <w:spacing w:after="160"/>
      </w:pPr>
      <w:r>
        <w:rPr>
          <w:rFonts w:ascii="Arial Narrow" w:cs="Arial Narrow" w:eastAsia="Arial Narrow" w:hAnsi="Arial Narrow"/>
          <w:sz w:val="22"/>
          <w:szCs w:val="22"/>
        </w:rPr>
        <w:t xml:space="preserve">Kern der Plattform sind ein Online-Terminbuchungssystem, ein themengebundener KI-Chat-Assistent, ein Google-Bewertungs-Management-Prozess sowie eine sowohl für klassische Suchmaschinen als auch für KI-Antwortmaschinen optimierte Inhaltsstruktur (SEO + GEO).</w:t>
      </w:r>
    </w:p>
    <w:p>
      <w:pPr>
        <w:spacing w:after="160"/>
      </w:pPr>
      <w:r>
        <w:rPr>
          <w:rFonts w:ascii="Arial Narrow" w:cs="Arial Narrow" w:eastAsia="Arial Narrow" w:hAnsi="Arial Narrow"/>
          <w:sz w:val="22"/>
          <w:szCs w:val="22"/>
        </w:rPr>
        <w:t xml:space="preserve">Ziel ist es, Hastek Group innerhalb weniger Monate zum digital sichtbarsten und vertrauenswürdigsten Anbieter der Branche in Alanya zu machen – in einem Markt, in dem aktuell kein einziger von elf unabhängig recherchierten Wettbewerbern ein bestätigtes Google-Bewertungsprofil, mehrsprachigen Content oder einen edlen Markenauftritt vorweisen kann (Details: Kapitel 3).</w:t>
      </w: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1.2 Warum jetzt?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Alanyas Gesamtbevölkerung stieg 2025 auf 371.547 Einwohner (2024: 361.873, +2,67% p.a.); als einer von drei Haupttreibern wird explizit die wachsende ansässige ausländische Bevölkerung genannt.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[mansetalanya.com, 09.02.2026]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Russische Staatsbürger kauften 2022–2025 in Alanya 15.225 Wohnimmobilien – eine zahlungskräftige, sicherheitsbewusste Zielgruppe mit hohem Bedarf an Fernüberwachung während längerer Abwesenheitszeiten.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[yenialanya.com, 11.06.2026]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97% der Verbraucher lesen laut BrightLocal Local Consumer Review Survey Bewertungen vor einer lokalen Kaufentscheidung, 68% verlangen mindestens vier Sterne – ein in Alanya bislang unbesetztes Differenzierungsfeld (0 von 11 Wettbewerbern mit bestätigtem Google-Profil, eigene Recherche).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[BrightLocal, 11.02.2026]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Gartner prognostiziert laut Search Engine Land für 2026 einen Rückgang klassischer Suchanfragen um 25% zugunsten von KI-Antwortmaschinen; wer jetzt GEO-optimiert, sichert sich einen strukturellen Vorteil, bevor Wettbewerber nachziehen.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[Search Engine Land, 23.02.2026]</w:t>
      </w:r>
    </w:p>
    <w:p>
      <w:pPr>
        <w:pStyle w:val="Heading1"/>
        <w:pageBreakBefore/>
        <w:spacing w:after="240" w:before="0"/>
      </w:pPr>
      <w:r>
        <w:rPr>
          <w:rFonts w:ascii="Arial Narrow" w:cs="Arial Narrow" w:eastAsia="Arial Narrow" w:hAnsi="Arial Narrow"/>
          <w:b/>
          <w:bCs/>
          <w:color w:val="1E3A5F"/>
          <w:sz w:val="32"/>
          <w:szCs w:val="32"/>
        </w:rPr>
        <w:t xml:space="preserve">Kapitel 2: Marktanalyse</w:t>
      </w: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2.1 Zielgruppe in Zahlen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Alanya: 371.547 Einwohner (2025, +2,67% ggue. 2024); Wachstumstreiber u.a. steigende ausländische Wohnbevölkerung.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[mansetalanya.com, 09.02.2026]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Russische Käufer: 15.225 Wohnimmobilien in Alanya 2022–2025 (2022: 6.640; 2023: 4.203; 2024: 2.352; 2025: 1.662; Jan–Apr 2026 weitere 368 Einheiten).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[yenialanya.com, 11.06.2026]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National führende Käufernationen im Mai 2026: Russland (268), Iran (125), Ukraine (88); Deutschland im März 2026 mit 84 Einheiten auf Platz 3.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[yenialanya.com (TÜİK-Daten), 18.06.2026]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Antalya-Provinz: 2024 kauften Ausländer rund 14.000 Wohneinheiten – ca. 35% aller Auslandskäufe der Türkei, 40% davon russische Käufer.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[KiTalent, 12.04.2026]</w:t>
      </w:r>
    </w:p>
    <w:p>
      <w:pPr>
        <w:spacing w:after="160"/>
      </w:pPr>
      <w:r>
        <w:rPr>
          <w:rFonts w:ascii="Arial Narrow" w:cs="Arial Narrow" w:eastAsia="Arial Narrow" w:hAnsi="Arial Narrow"/>
          <w:i/>
          <w:iCs/>
          <w:color w:val="808080"/>
          <w:sz w:val="22"/>
          <w:szCs w:val="22"/>
        </w:rPr>
        <w:t xml:space="preserve">Daten-Lücke (transparent ausgewiesen statt veralteter Zahl): Eine aktuelle (&lt; 1 Jahr), Alanya-spezifische Zahl fest ansässiger Ausländer mit Aufenthaltstitel konnte nicht verifiziert werden – die einzige konkrete Behördenzahl (29.835) stammt von 2019 und wird hier bewusst NICHT verwendet.</w:t>
      </w: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2.2 Infrastruktur/Marktwachstum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Türkischer Immobilienmarkt: USD 61,2 Mrd. (2025) → USD 78,8 Mrd. (2030), CAGR 5,2%.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[NextMSC, 04.06.2026]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Fünf Schlüsselveränderungen für Alanya bis 2030: Flughafen-Kapazitätsverdopplung, neue Business-Parks/Privatkliniken/internationale Schulen, neue Wohnkomplexe MIT Smart-Home-Systemen, Mixed-Use-Anlagen, bessere Immobiliendokumentation.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[Yekta Homes, 18.07.2025]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Flughafen Gazipaşa-Alanya-Ausbau (Terminalfläche 6.419 m² → 9.067 m², Bauzeit Jan.–Okt. 2026); ca. 3 Mio. erwartete Kreuzfahrtpassagiere 2026.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[gazetealanya.com, 23.02.2026]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Antalya: 28.400 Wohnbaugenehmigungen 2024 (+15%); rund 18.000 Altbauten (Baujahr 1990–2000) in Muratşaşa/Kepez müssen im Rahmen der Stadterneuerung verstärkt/neu gebaut werden – prognostiziertes Nachrüstungssegment-Wachstum: 25%.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[KiTalent, 12.04.2026]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Globaler Smart-Home-Security-Markt: USD 40,38 Mrd. (2025) → USD 163,15 Mrd. (2035), CAGR ca. 15% (kein prüfbarer, unter 1 Jahr alter Türkei-spezifischer CAGR-Wert auffindbar – Statista-Werte sind ein kontinuierlich aktualisiertes Dashboard ohne prüfbares Artikel-Datum und wurden daher NICHT verwendet).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[Precedence Research, 25.02.2026]</w:t>
      </w: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2.3 Das Kernproblem</w:t>
      </w:r>
    </w:p>
    <w:p>
      <w:pPr>
        <w:spacing w:after="160"/>
      </w:pPr>
      <w:r>
        <w:rPr>
          <w:rFonts w:ascii="Arial Narrow" w:cs="Arial Narrow" w:eastAsia="Arial Narrow" w:hAnsi="Arial Narrow"/>
          <w:sz w:val="22"/>
          <w:szCs w:val="22"/>
        </w:rPr>
        <w:t xml:space="preserve">0 von 11 unabhängig recherchierten und gegengeprüften Wettbewerbern in Alanya haben ein bestätigtes Google-Bewertungsprofil (eigene Primärrecherche, Details Kapitel 3). Nur 2 von 11 bieten überhaupt englischsprachigen Content, keiner Russisch oder Deutsch – trotz der oben belegten grossen russischen/internationalen Käufergruppe. Mehrere Wettbewerber-Websites zeigen zudem technische Vertrauensprobleme (SSL-Zertifikatsfehler, mit Spam-Links kompromittierte Seite, veraltete Serverstacks).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Warum besteht die Lücke noch? Im türkischen KMU-Segment wachsen Cloud-/Abo-Modelle zwar mit 15,6% CAGR schneller als der Gesamtmarkt (12,24%), die Digitalisierungs-Adoption bei kleinen, familiengeführten Sicherheits-Installateuren hinkt aber sichtbar hinterher.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[Mordor Intelligence (Turkey Cybersecurity Market), 19.01.2026]</w:t>
      </w: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2.4 Regulatorisches Umfeld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KVKK-Bussgeldrahmen wurden zum 1.1.2026 um 25,49% erhöht (u.a. Verletzung der Datensicherheitspflicht: 256.357–17.092.242 TL).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[Esenyel Partners, 29.12.2025]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Seit 2026 gilt 'anlamlı insan müdahalesi' (Human-in-the-loop) als Pflicht: rein algorithmische, personenbezogene Entscheidungen (z.B. automatisierte Zugangsverweigerung ohne menschliche Kontrolle) verstossen gegen KVKK – direkt relevant für den geplanten KI-Chat-Assistenten. Meldefrist bei Datenschutzverletzungen: max. 72 Stunden ab Kenntnisnahme.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[nesilteknoloji.com, 11.02.2026]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Grenzüberschreitender Datentransfer (z.B. an eine im Ausland gehostete Supabase-/LLM-API-Instanz) folgt einem dreistufigen Modell: Angemessenheitsbeschluss, Standardvertragsklauseln (SCCs, Meldung binnen 5 Werktagen an das Kurul), enge Ausnahmen.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[Istanbul Lawyer Firm, 21.08.2025]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Für Brandmeldeanlagen ist die TS EN 54-Normenreihe verpflichtend; seit 2025 ist ein jährlicher dokumentierter Funktionstest gesetzlich zwingend, sonst droht Entzug der Feuerwehr-Betriebserlaubnis – relevant für die geplante QR-Wartungshistorie (Ausbaustufe 2).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[merttelekom.com, 31.07.2025]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 Narrow" w:cs="Arial Narrow" w:eastAsia="Arial Narrow" w:hAnsi="Arial Narrow"/>
          <w:sz w:val="22"/>
          <w:szCs w:val="22"/>
        </w:rPr>
        <w:t xml:space="preserve">Ab 1.1.2026 müssen in der Türkei alle Rechnungen unabhängig vom Betrag als E-Dokument (e-Arşiv/e-Fatura) ausgestellt werden – relevant für die geplante POS-/ERP-Anbindung (Kapitel 6). </w:t>
      </w:r>
      <w:r>
        <w:rPr>
          <w:rFonts w:ascii="Arial Narrow" w:cs="Arial Narrow" w:eastAsia="Arial Narrow" w:hAnsi="Arial Narrow"/>
          <w:i/>
          <w:iCs/>
          <w:color w:val="808080"/>
          <w:sz w:val="18"/>
          <w:szCs w:val="18"/>
        </w:rPr>
        <w:t xml:space="preserve">[KiviERP, 30.09.2025]</w:t>
      </w:r>
    </w:p>
    <w:p>
      <w:pPr>
        <w:pStyle w:val="Heading1"/>
        <w:pageBreakBefore/>
        <w:spacing w:after="240" w:before="0"/>
      </w:pPr>
      <w:r>
        <w:rPr>
          <w:rFonts w:ascii="Arial Narrow" w:cs="Arial Narrow" w:eastAsia="Arial Narrow" w:hAnsi="Arial Narrow"/>
          <w:b/>
          <w:bCs/>
          <w:color w:val="1E3A5F"/>
          <w:sz w:val="32"/>
          <w:szCs w:val="32"/>
        </w:rPr>
        <w:t xml:space="preserve">Kapitel 3: Wettbewerb</w:t>
      </w: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3.1 Direkte Wettbewerber</w:t>
      </w:r>
    </w:p>
    <w:p>
      <w:pPr>
        <w:spacing w:after="160"/>
      </w:pPr>
      <w:r>
        <w:rPr>
          <w:rFonts w:ascii="Arial Narrow" w:cs="Arial Narrow" w:eastAsia="Arial Narrow" w:hAnsi="Arial Narrow"/>
          <w:sz w:val="22"/>
          <w:szCs w:val="22"/>
        </w:rPr>
        <w:t xml:space="preserve">Alle 11 Anbieter wurden unabhängig recherchiert und in einer zweiten Runde gegengeprüft (Quelle: eigene Primärrecherche über Website-Abruf, Google-/Yandex-Maps-Suche und Branchenverzeichnisse, Juli 2026).</w:t>
      </w:r>
    </w:p>
    <w:tbl>
      <w:tblPr>
        <w:tblW w:type="dxa" w:w="9638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49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Anbieter</w:t>
            </w:r>
          </w:p>
        </w:tc>
        <w:tc>
          <w:tcPr>
            <w:tcW w:type="dxa" w:w="2570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Stärken</w:t>
            </w:r>
          </w:p>
        </w:tc>
        <w:tc>
          <w:tcPr>
            <w:tcW w:type="dxa" w:w="3213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Schwächen / Chance für uns</w:t>
            </w:r>
          </w:p>
        </w:tc>
        <w:tc>
          <w:tcPr>
            <w:tcW w:type="dxa" w:w="1606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Preis</w:t>
            </w:r>
          </w:p>
        </w:tc>
      </w:tr>
      <w:tr>
        <w:tc>
          <w:tcPr>
            <w:tcW w:type="dxa" w:w="224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Farma Güvenlik (alanyaalarm.com.tr)</w:t>
            </w:r>
          </w:p>
        </w:tc>
        <w:tc>
          <w:tcPr>
            <w:tcW w:type="dxa" w:w="257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Breites Technikportfolio, 20 Jahre Erfahrung behauptet, benannte Referenzen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 parallele Domains, nur Türkisch, keine Bewertungen, kleiner Instagram trotz Alter</w:t>
            </w:r>
          </w:p>
        </w:tc>
        <w:tc>
          <w:tcPr>
            <w:tcW w:type="dxa" w:w="1606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Nicht veröffentlicht (Angebot auf Anfrage)</w:t>
            </w:r>
          </w:p>
        </w:tc>
      </w:tr>
      <w:tr>
        <w:tc>
          <w:tcPr>
            <w:tcW w:type="dxa" w:w="224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AL-BİL (alanyabilgisayar.com)</w:t>
            </w:r>
          </w:p>
        </w:tc>
        <w:tc>
          <w:tcPr>
            <w:tcW w:type="dxa" w:w="2570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Breitestes Cross-Sektor-Angebot (Security+IT+POS), aktivster Social-Media-Account</w:t>
            </w:r>
          </w:p>
        </w:tc>
        <w:tc>
          <w:tcPr>
            <w:tcW w:type="dxa" w:w="321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SSL-Zertifikatsfehler + veralteter PHP-5.2-Server auf Hauptdomain, nur Türkisch</w:t>
            </w:r>
          </w:p>
        </w:tc>
        <w:tc>
          <w:tcPr>
            <w:tcW w:type="dxa" w:w="1606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Nicht veröffentlicht (Angebot auf Anfrage)</w:t>
            </w:r>
          </w:p>
        </w:tc>
      </w:tr>
      <w:tr>
        <w:tc>
          <w:tcPr>
            <w:tcW w:type="dxa" w:w="224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Ata Güvenlik (ataguvenlik.net)</w:t>
            </w:r>
          </w:p>
        </w:tc>
        <w:tc>
          <w:tcPr>
            <w:tcW w:type="dxa" w:w="257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Grosse Brandschutz-Produkttiefe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Sitz Antalya-Zentrum, KEINE Alanya-Erwähnung auf der Website, Seite mit Spam-Links kompromittiert – kein aktiver Alanya-Wettbewerber</w:t>
            </w:r>
          </w:p>
        </w:tc>
        <w:tc>
          <w:tcPr>
            <w:tcW w:type="dxa" w:w="1606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Nicht veröffentlicht</w:t>
            </w:r>
          </w:p>
        </w:tc>
      </w:tr>
      <w:tr>
        <w:tc>
          <w:tcPr>
            <w:tcW w:type="dxa" w:w="224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Netko Sistem Teknoloji</w:t>
            </w:r>
          </w:p>
        </w:tc>
        <w:tc>
          <w:tcPr>
            <w:tcW w:type="dxa" w:w="2570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Einziger mit echtem TR/EN-Content + Blog/SEO, Doppelstandort Alanya+Antalya</w:t>
            </w:r>
          </w:p>
        </w:tc>
        <w:tc>
          <w:tcPr>
            <w:tcW w:type="dxa" w:w="321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Kein Zutritt/Parkschranke/Diafon/POS, nur 6 Yandex-Bewertungen (kein Google)</w:t>
            </w:r>
          </w:p>
        </w:tc>
        <w:tc>
          <w:tcPr>
            <w:tcW w:type="dxa" w:w="1606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Nicht veröffentlicht</w:t>
            </w:r>
          </w:p>
        </w:tc>
      </w:tr>
      <w:tr>
        <w:tc>
          <w:tcPr>
            <w:tcW w:type="dxa" w:w="224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Pragma Teknoloji</w:t>
            </w:r>
          </w:p>
        </w:tc>
        <w:tc>
          <w:tcPr>
            <w:tcW w:type="dxa" w:w="257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10–14 Jahre am Markt, bündelt Security mit Business-IT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Kein Brandschutz/Markt-POS, nur 4 Yandex-Bewertungen (kein Google)</w:t>
            </w:r>
          </w:p>
        </w:tc>
        <w:tc>
          <w:tcPr>
            <w:tcW w:type="dxa" w:w="1606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Nicht veröffentlicht</w:t>
            </w:r>
          </w:p>
        </w:tc>
      </w:tr>
      <w:tr>
        <w:tc>
          <w:tcPr>
            <w:tcW w:type="dxa" w:w="224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ALY Teknoloji</w:t>
            </w:r>
          </w:p>
        </w:tc>
        <w:tc>
          <w:tcPr>
            <w:tcW w:type="dxa" w:w="2570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Breitestes Portfolio der 'neuen' Wettbewerber (8 Segmente), aktiver Instagram</w:t>
            </w:r>
          </w:p>
        </w:tc>
        <w:tc>
          <w:tcPr>
            <w:tcW w:type="dxa" w:w="321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Keine Google-Bewertung auffindbar, Markenverwechslungsrisiko mit ähnlich benannten Firmen</w:t>
            </w:r>
          </w:p>
        </w:tc>
        <w:tc>
          <w:tcPr>
            <w:tcW w:type="dxa" w:w="1606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Nicht veröffentlicht</w:t>
            </w:r>
          </w:p>
        </w:tc>
      </w:tr>
      <w:tr>
        <w:tc>
          <w:tcPr>
            <w:tcW w:type="dxa" w:w="224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Keşoğlu Elektronik</w:t>
            </w:r>
          </w:p>
        </w:tc>
        <w:tc>
          <w:tcPr>
            <w:tcW w:type="dxa" w:w="257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Stärkste Drittanbieter-Bestätigung (20+ Kundenlogos, 15+ Markenpartner), 1 von 2 mit Parkschranken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Sitz Ost-Alanya, keine Google-Bewertung auffindbar</w:t>
            </w:r>
          </w:p>
        </w:tc>
        <w:tc>
          <w:tcPr>
            <w:tcW w:type="dxa" w:w="1606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Nicht veröffentlicht</w:t>
            </w:r>
          </w:p>
        </w:tc>
      </w:tr>
      <w:tr>
        <w:tc>
          <w:tcPr>
            <w:tcW w:type="dxa" w:w="224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Mavi Bilişim / Alanya Akınsoft Ana Bayi</w:t>
            </w:r>
          </w:p>
        </w:tc>
        <w:tc>
          <w:tcPr>
            <w:tcW w:type="dxa" w:w="2570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Offizieller Akınsoft-Hauptdistributor – starke Marke im Markt/Restaurant-POS-Segment</w:t>
            </w:r>
          </w:p>
        </w:tc>
        <w:tc>
          <w:tcPr>
            <w:tcW w:type="dxa" w:w="321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Security nur Nebengeschäft, kein Brandschutz/Smart Home/Zutritt</w:t>
            </w:r>
          </w:p>
        </w:tc>
        <w:tc>
          <w:tcPr>
            <w:tcW w:type="dxa" w:w="1606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Nicht veröffentlicht</w:t>
            </w:r>
          </w:p>
        </w:tc>
      </w:tr>
      <w:tr>
        <w:tc>
          <w:tcPr>
            <w:tcW w:type="dxa" w:w="224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Serapsu Bilişim</w:t>
            </w:r>
          </w:p>
        </w:tc>
        <w:tc>
          <w:tcPr>
            <w:tcW w:type="dxa" w:w="257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Breites Kamera-Markenspektrum, Zweigstelle Zentrum + Konaklı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Sehr kleiner Betrieb, kein Brandschutz/Smart Home/Zutritt, keine Bewertungen</w:t>
            </w:r>
          </w:p>
        </w:tc>
        <w:tc>
          <w:tcPr>
            <w:tcW w:type="dxa" w:w="1606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Nicht veröffentlicht</w:t>
            </w:r>
          </w:p>
        </w:tc>
      </w:tr>
      <w:tr>
        <w:tc>
          <w:tcPr>
            <w:tcW w:type="dxa" w:w="224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Bayrakcı Bilişim</w:t>
            </w:r>
          </w:p>
        </w:tc>
        <w:tc>
          <w:tcPr>
            <w:tcW w:type="dxa" w:w="2570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Einziger Wettbewerber mit (indirekt bestaetigtem) Google-Rating ~5,0/19 über Aggregator</w:t>
            </w:r>
          </w:p>
        </w:tc>
        <w:tc>
          <w:tcPr>
            <w:tcW w:type="dxa" w:w="321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Schwerpunkt POS/ERP-Software, kein Brandschutz/Smart Home/Zutritt, mehrere 404-Seiten</w:t>
            </w:r>
          </w:p>
        </w:tc>
        <w:tc>
          <w:tcPr>
            <w:tcW w:type="dxa" w:w="1606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Nicht veröffentlicht</w:t>
            </w:r>
          </w:p>
        </w:tc>
      </w:tr>
      <w:tr>
        <w:tc>
          <w:tcPr>
            <w:tcW w:type="dxa" w:w="224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Alanya Kamera / Senkronis</w:t>
            </w:r>
          </w:p>
        </w:tc>
        <w:tc>
          <w:tcPr>
            <w:tcW w:type="dxa" w:w="257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Reale, seit 2015 registrierte Firma dahinter, WhatsApp-Kontakt integriert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Landesweite 0850-Nummer wirkt wie Lead-Gen-Microsite, 0 Bewertungen auf Yandex Maps</w:t>
            </w:r>
          </w:p>
        </w:tc>
        <w:tc>
          <w:tcPr>
            <w:tcW w:type="dxa" w:w="1606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Nicht veröffentlicht</w:t>
            </w:r>
          </w:p>
        </w:tc>
      </w:tr>
    </w:tbl>
    <w:p>
      <w:pPr>
        <w:spacing w:after="200"/>
      </w:pP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3.2 Indirekte Wettbewerber / Aggregate</w:t>
      </w:r>
    </w:p>
    <w:tbl>
      <w:tblPr>
        <w:tblW w:type="dxa" w:w="9638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677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Anbieter</w:t>
            </w:r>
          </w:p>
        </w:tc>
        <w:tc>
          <w:tcPr>
            <w:tcW w:type="dxa" w:w="3480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Was er bietet</w:t>
            </w:r>
          </w:p>
        </w:tc>
        <w:tc>
          <w:tcPr>
            <w:tcW w:type="dxa" w:w="3480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Was fehlt (Chance für uns)</w:t>
            </w:r>
          </w:p>
        </w:tc>
      </w:tr>
      <w:tr>
        <w:tc>
          <w:tcPr>
            <w:tcW w:type="dxa" w:w="26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Yandex Maps (Alternative zu Google Maps)</w:t>
            </w:r>
          </w:p>
        </w:tc>
        <w:tc>
          <w:tcPr>
            <w:tcW w:type="dxa" w:w="348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Bewertungsplattform, auf die 2 der 11 Wettbewerber mangels Google-Profil ausweichen</w:t>
            </w:r>
          </w:p>
        </w:tc>
        <w:tc>
          <w:tcPr>
            <w:tcW w:type="dxa" w:w="348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Keine Reichweite bei internationalen Google-Nutzern; wir setzen von Anfang an auf Google</w:t>
            </w:r>
          </w:p>
        </w:tc>
      </w:tr>
      <w:tr>
        <w:tc>
          <w:tcPr>
            <w:tcW w:type="dxa" w:w="26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Armut.com (türkischer Dienstleistungs-Marktplatz)</w:t>
            </w:r>
          </w:p>
        </w:tc>
        <w:tc>
          <w:tcPr>
            <w:tcW w:type="dxa" w:w="3480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Aggregierte Kategorie-Bewertungen fuer 'Alanya Güvenlik Sistemleri' (z.B. 4,9/120 als Kategoriedurchschnitt)</w:t>
            </w:r>
          </w:p>
        </w:tc>
        <w:tc>
          <w:tcPr>
            <w:tcW w:type="dxa" w:w="3480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Keine firmenspezifische Reputation, nur Marktplatz-Durchschnitt – wir bauen ein EIGENES, firmenspezifisches Profil auf</w:t>
            </w:r>
          </w:p>
        </w:tc>
      </w:tr>
      <w:tr>
        <w:tc>
          <w:tcPr>
            <w:tcW w:type="dxa" w:w="26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Ajax Systems / Verkada (internationale Benchmarks, keine direkten Wettbewerber)</w:t>
            </w:r>
          </w:p>
        </w:tc>
        <w:tc>
          <w:tcPr>
            <w:tcW w:type="dxa" w:w="348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Zielgruppen-Navigation statt Produktliste, harte Kennzahlen/Zertifizierungen statt Marketingfloskeln</w:t>
            </w:r>
          </w:p>
        </w:tc>
        <w:tc>
          <w:tcPr>
            <w:tcW w:type="dxa" w:w="348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Nicht lokal in Alanya aktiv – dient als Vorbild fuer Positionierung, nicht als Konkurrenzanalyse</w:t>
            </w:r>
          </w:p>
        </w:tc>
      </w:tr>
    </w:tbl>
    <w:p>
      <w:pPr>
        <w:spacing w:after="200"/>
      </w:pP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Marktlücke</w:t>
      </w:r>
    </w:p>
    <w:p>
      <w:pPr>
        <w:spacing w:after="160"/>
      </w:pPr>
      <w:r>
        <w:rPr>
          <w:rFonts w:ascii="Arial Narrow" w:cs="Arial Narrow" w:eastAsia="Arial Narrow" w:hAnsi="Arial Narrow"/>
          <w:sz w:val="22"/>
          <w:szCs w:val="22"/>
        </w:rPr>
        <w:t xml:space="preserve">Kein einziger der 11 Wettbewerber bietet die Kombination aus (a) vollständigem 11-Leistungs-Portfolio, (b) mehrsprachigem Content (TR/EN/RU/DE), (c) echtem Google-Bewertungs-Management und (d) einer GEO-optimierten, zielgruppenbasierten Website-Struktur. Diese Kombination ist der Markteintrittspunkt fuer Hastek Group.</w:t>
      </w:r>
    </w:p>
    <w:p>
      <w:pPr>
        <w:pStyle w:val="Heading1"/>
        <w:pageBreakBefore/>
        <w:spacing w:after="240" w:before="0"/>
      </w:pPr>
      <w:r>
        <w:rPr>
          <w:rFonts w:ascii="Arial Narrow" w:cs="Arial Narrow" w:eastAsia="Arial Narrow" w:hAnsi="Arial Narrow"/>
          <w:b/>
          <w:bCs/>
          <w:color w:val="1E3A5F"/>
          <w:sz w:val="32"/>
          <w:szCs w:val="32"/>
        </w:rPr>
        <w:t xml:space="preserve">Kapitel 4: Zielgruppe</w:t>
      </w: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4.1 Primäre Zielgruppe</w:t>
      </w:r>
    </w:p>
    <w:p>
      <w:pPr>
        <w:spacing w:after="160"/>
      </w:pPr>
      <w:r>
        <w:rPr>
          <w:rFonts w:ascii="Arial Narrow" w:cs="Arial Narrow" w:eastAsia="Arial Narrow" w:hAnsi="Arial Narrow"/>
          <w:sz w:val="22"/>
          <w:szCs w:val="22"/>
        </w:rPr>
        <w:t xml:space="preserve">Sechs Kundensegmente in Alanya/Antalya-Provinz, abgeleitet aus dem realen Leistungsportfolio und der Marktanalyse (Kapitel 2):</w:t>
      </w:r>
    </w:p>
    <w:tbl>
      <w:tblPr>
        <w:tblW w:type="dxa" w:w="9638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320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3213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Rolle/Situation</w:t>
            </w:r>
          </w:p>
        </w:tc>
        <w:tc>
          <w:tcPr>
            <w:tcW w:type="dxa" w:w="4105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Bedürfnis</w:t>
            </w:r>
          </w:p>
        </w:tc>
      </w:tr>
      <w:tr>
        <w:tc>
          <w:tcPr>
            <w:tcW w:type="dxa" w:w="232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Elena, 52, St. Petersburg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Zweitwohnsitzbesitzerin seit 2023, 8 Monate/Jahr abwesend</w:t>
            </w:r>
          </w:p>
        </w:tc>
        <w:tc>
          <w:tcPr>
            <w:tcW w:type="dxa" w:w="410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Sucht Fernüberwachung (Kamera+Alarm+Smart Lock), kommuniziert bevorzugt auf Russisch/Englisch</w:t>
            </w:r>
          </w:p>
        </w:tc>
      </w:tr>
      <w:tr>
        <w:tc>
          <w:tcPr>
            <w:tcW w:type="dxa" w:w="2320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Bauträger Kaan, Kargıcak</w:t>
            </w:r>
          </w:p>
        </w:tc>
        <w:tc>
          <w:tcPr>
            <w:tcW w:type="dxa" w:w="321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Entwickelt eine Gated-Community mit 40 Einheiten</w:t>
            </w:r>
          </w:p>
        </w:tc>
        <w:tc>
          <w:tcPr>
            <w:tcW w:type="dxa" w:w="410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Braucht Vorverkabelung Smart-Home/Sicherheit als B2B2C-Verkaufsargument fuer seine Käufer</w:t>
            </w:r>
          </w:p>
        </w:tc>
      </w:tr>
      <w:tr>
        <w:tc>
          <w:tcPr>
            <w:tcW w:type="dxa" w:w="232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Hotelmanager Murat, Alanya-Zentrum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Führt ein Boutique-Hotel mit 30 Zimmern</w:t>
            </w:r>
          </w:p>
        </w:tc>
        <w:tc>
          <w:tcPr>
            <w:tcW w:type="dxa" w:w="410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Braucht Kamera, Brandschutz (Kuechenlöschanlage), Gaeste-WLAN, Zimmer-Diafon</w:t>
            </w:r>
          </w:p>
        </w:tc>
      </w:tr>
      <w:tr>
        <w:tc>
          <w:tcPr>
            <w:tcW w:type="dxa" w:w="2320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Marktbesitzer Ahmet, Kestel</w:t>
            </w:r>
          </w:p>
        </w:tc>
        <w:tc>
          <w:tcPr>
            <w:tcW w:type="dxa" w:w="321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Betreibt einen unabhängigen Lebensmittelmarkt (Bakkal)</w:t>
            </w:r>
          </w:p>
        </w:tc>
        <w:tc>
          <w:tcPr>
            <w:tcW w:type="dxa" w:w="410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Braucht Barcode-/Kassensystem und einfache Kamera-Überwachung gegen Diebstahl</w:t>
            </w:r>
          </w:p>
        </w:tc>
      </w:tr>
      <w:tr>
        <w:tc>
          <w:tcPr>
            <w:tcW w:type="dxa" w:w="232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Restaurantbesitzerin Zeynep, Mahmutlar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Führt ein tourismusnahes Restaurant</w:t>
            </w:r>
          </w:p>
        </w:tc>
        <w:tc>
          <w:tcPr>
            <w:tcW w:type="dxa" w:w="410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Braucht Adisyon-/Kassensystem, idealerweise mit Lieferdienst-Anbindung</w:t>
            </w:r>
          </w:p>
        </w:tc>
      </w:tr>
      <w:tr>
        <w:tc>
          <w:tcPr>
            <w:tcW w:type="dxa" w:w="2320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Facility-Manager Deniz, Gewerbepark</w:t>
            </w:r>
          </w:p>
        </w:tc>
        <w:tc>
          <w:tcPr>
            <w:tcW w:type="dxa" w:w="321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Verwaltet ein Buero-/Gewerbeobjekt mit Parkflaeche</w:t>
            </w:r>
          </w:p>
        </w:tc>
        <w:tc>
          <w:tcPr>
            <w:tcW w:type="dxa" w:w="410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Braucht Parkschranken, Zufahrtskontrolle, Kamera fuer Gemeinschaftsflaechen</w:t>
            </w:r>
          </w:p>
        </w:tc>
      </w:tr>
    </w:tbl>
    <w:p>
      <w:pPr>
        <w:spacing w:after="200"/>
      </w:pP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4.2 Sekundäre Zielgruppe</w:t>
      </w:r>
    </w:p>
    <w:p>
      <w:pPr>
        <w:spacing w:after="160"/>
      </w:pPr>
      <w:r>
        <w:rPr>
          <w:rFonts w:ascii="Arial Narrow" w:cs="Arial Narrow" w:eastAsia="Arial Narrow" w:hAnsi="Arial Narrow"/>
          <w:sz w:val="22"/>
          <w:szCs w:val="22"/>
        </w:rPr>
        <w:t xml:space="preserve">Bauträger/Property-Manager als B2B2C-Grosskunden-Kanal. Diese Zielgruppe kommt bewusst erst in Ausbaustufe 2/3 stärker zum Tragen, sobald erste echte Referenzprojekte (Kapitel 7.3, Live-Referenz-Showroom) als Vertrauensbasis fuer Grossaufträge vorliegen.</w:t>
      </w: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4.3 Nicht-Zielgruppe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 Narrow" w:cs="Arial Narrow" w:eastAsia="Arial Narrow" w:hAnsi="Arial Narrow"/>
          <w:sz w:val="22"/>
          <w:szCs w:val="22"/>
        </w:rPr>
        <w:t xml:space="preserve">Kunden ausserhalb Alanya/Antalya-Provinz – kein landesweiter Anspruch in Version 1.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 Narrow" w:cs="Arial Narrow" w:eastAsia="Arial Narrow" w:hAnsi="Arial Narrow"/>
          <w:sz w:val="22"/>
          <w:szCs w:val="22"/>
        </w:rPr>
        <w:t xml:space="preserve">Privatkunden ohne Immobilienbezug (reine Consumer-Elektronik-Käufe ohne Installationsbedarf).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 Narrow" w:cs="Arial Narrow" w:eastAsia="Arial Narrow" w:hAnsi="Arial Narrow"/>
          <w:sz w:val="22"/>
          <w:szCs w:val="22"/>
        </w:rPr>
        <w:t xml:space="preserve">Branchenfremde IT-Dienstleistungen – Hastek bleibt strikt bei den 11 definierten Leistungen.</w:t>
      </w:r>
    </w:p>
    <w:p>
      <w:pPr>
        <w:pStyle w:val="Heading1"/>
        <w:pageBreakBefore/>
        <w:spacing w:after="240" w:before="0"/>
      </w:pPr>
      <w:r>
        <w:rPr>
          <w:rFonts w:ascii="Arial Narrow" w:cs="Arial Narrow" w:eastAsia="Arial Narrow" w:hAnsi="Arial Narrow"/>
          <w:b/>
          <w:bCs/>
          <w:color w:val="1E3A5F"/>
          <w:sz w:val="32"/>
          <w:szCs w:val="32"/>
        </w:rPr>
        <w:t xml:space="preserve">Kapitel 5: Nutzen</w:t>
      </w: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5.1 Nutzen fuer Kunden</w:t>
      </w:r>
    </w:p>
    <w:tbl>
      <w:tblPr>
        <w:tblW w:type="dxa" w:w="9638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70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Problem heute</w:t>
            </w:r>
          </w:p>
        </w:tc>
        <w:tc>
          <w:tcPr>
            <w:tcW w:type="dxa" w:w="2891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Lösung durch Web-App</w:t>
            </w:r>
          </w:p>
        </w:tc>
        <w:tc>
          <w:tcPr>
            <w:tcW w:type="dxa" w:w="4176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Konkreter Vorteil (Quelle, Datum)</w:t>
            </w:r>
          </w:p>
        </w:tc>
      </w:tr>
      <w:tr>
        <w:tc>
          <w:tcPr>
            <w:tcW w:type="dxa" w:w="257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Telefonische/manuelle Terminvergabe, oft nur während Geschaeftszeiten erreichbar</w:t>
            </w:r>
          </w:p>
        </w:tc>
        <w:tc>
          <w:tcPr>
            <w:tcW w:type="dxa" w:w="289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Online-Terminbuchungssystem (Besichtigung/Installation/Wartung)</w:t>
            </w:r>
          </w:p>
        </w:tc>
        <w:tc>
          <w:tcPr>
            <w:tcW w:type="dxa" w:w="4176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Online gebuchte Termine zeigen 3,2x höhere Erscheinquote; Unternehmen mit durchgehender Buchung erzielen bis zu 3x mehr Buchungen (SchedulingKit, Juni 2026)</w:t>
            </w:r>
          </w:p>
        </w:tc>
      </w:tr>
      <w:tr>
        <w:tc>
          <w:tcPr>
            <w:tcW w:type="dxa" w:w="2570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Keine Erreichbarkeit ausserhalb der Geschaeftszeiten</w:t>
            </w:r>
          </w:p>
        </w:tc>
        <w:tc>
          <w:tcPr>
            <w:tcW w:type="dxa" w:w="289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KI-Chat-Assistent (24/7), themengebunden gemäss WhatsApp-Richtlinie</w:t>
            </w:r>
          </w:p>
        </w:tc>
        <w:tc>
          <w:tcPr>
            <w:tcW w:type="dxa" w:w="4176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KI-Support senkt Erstantwortzeit von &gt;6 Std. auf unter 4 Min. (teils 23 Sek.); KI-Agenten fangen bereits 45%+ aller Anfragen ab (Ringly.io, 25.06.2026)</w:t>
            </w:r>
          </w:p>
        </w:tc>
      </w:tr>
      <w:tr>
        <w:tc>
          <w:tcPr>
            <w:tcW w:type="dxa" w:w="257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Keine Vertrauenssignale – 0 von 11 Wettbewerbern mit Google-Bewertungen</w:t>
            </w:r>
          </w:p>
        </w:tc>
        <w:tc>
          <w:tcPr>
            <w:tcW w:type="dxa" w:w="289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Bewertungs-Sammel- und -Management-Prozess</w:t>
            </w:r>
          </w:p>
        </w:tc>
        <w:tc>
          <w:tcPr>
            <w:tcW w:type="dxa" w:w="4176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97% lesen Bewertungen vor Kaufentscheidung; Unternehmen mit 50+ Bewertungen erscheinen 266% häufiger im Google Local Pack (BrightLocal 11.02.2026; Searchlab 17.03.2026)</w:t>
            </w:r>
          </w:p>
        </w:tc>
      </w:tr>
      <w:tr>
        <w:tc>
          <w:tcPr>
            <w:tcW w:type="dxa" w:w="2570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Kein mehrsprachiger Zugang fuer internationale Käufer</w:t>
            </w:r>
          </w:p>
        </w:tc>
        <w:tc>
          <w:tcPr>
            <w:tcW w:type="dxa" w:w="289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Website TR/EN/RU/DE</w:t>
            </w:r>
          </w:p>
        </w:tc>
        <w:tc>
          <w:tcPr>
            <w:tcW w:type="dxa" w:w="4176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70% der Online-Shopper kaufen inzwischen grenzüberschreitend ein, waehrend 18–22% der B2C-Unternehmen laut selber Studie NICHT lokalisieren – eine belegte Angebotslücke (DHL E-Commerce Trends Report 2026, 02.06.2026)</w:t>
            </w:r>
          </w:p>
        </w:tc>
      </w:tr>
    </w:tbl>
    <w:p>
      <w:pPr>
        <w:spacing w:after="200"/>
      </w:pP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5.2 Nutzen fuer WAMOCON GmbH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 Narrow" w:cs="Arial Narrow" w:eastAsia="Arial Narrow" w:hAnsi="Arial Narrow"/>
          <w:sz w:val="22"/>
          <w:szCs w:val="22"/>
        </w:rPr>
        <w:t xml:space="preserve">Referenzprojekt fuer weitere B2B-Digitalisierungsprojekte türkischer/internationaler KMU im Tourismus- und Sicherheitssektor.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 Narrow" w:cs="Arial Narrow" w:eastAsia="Arial Narrow" w:hAnsi="Arial Narrow"/>
          <w:sz w:val="22"/>
          <w:szCs w:val="22"/>
        </w:rPr>
        <w:t xml:space="preserve">Wiederkehrende Einnahmen durch Ausbaustufen 2/3 (Konfigurator, Kundenportal, QR-Wartungshistorie, automatisierte Erinnerungen).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 Narrow" w:cs="Arial Narrow" w:eastAsia="Arial Narrow" w:hAnsi="Arial Narrow"/>
          <w:sz w:val="22"/>
          <w:szCs w:val="22"/>
        </w:rPr>
        <w:t xml:space="preserve">Potenzielles monatliches Reporting-Retainer-Modell (Sichtbarkeits-/Bewertungs-Report an Hastek Group).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 Narrow" w:cs="Arial Narrow" w:eastAsia="Arial Narrow" w:hAnsi="Arial Narrow"/>
          <w:sz w:val="22"/>
          <w:szCs w:val="22"/>
        </w:rPr>
        <w:t xml:space="preserve">Belegbarer Case fuer GEO-Kompetenz (Generative-Engine-Optimization) als eigenes Beratungsangebot fuer weitere Kunden.</w:t>
      </w:r>
    </w:p>
    <w:p>
      <w:pPr>
        <w:pStyle w:val="Heading1"/>
        <w:pageBreakBefore/>
        <w:spacing w:after="240" w:before="0"/>
      </w:pPr>
      <w:r>
        <w:rPr>
          <w:rFonts w:ascii="Arial Narrow" w:cs="Arial Narrow" w:eastAsia="Arial Narrow" w:hAnsi="Arial Narrow"/>
          <w:b/>
          <w:bCs/>
          <w:color w:val="1E3A5F"/>
          <w:sz w:val="32"/>
          <w:szCs w:val="32"/>
        </w:rPr>
        <w:t xml:space="preserve">Kapitel 6: Abhängigkeiten und Machbarkeit</w:t>
      </w: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6.1 Externe Abhängigkeiten</w:t>
      </w:r>
    </w:p>
    <w:tbl>
      <w:tblPr>
        <w:tblW w:type="dxa" w:w="9638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28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Quelle</w:t>
            </w:r>
          </w:p>
        </w:tc>
        <w:tc>
          <w:tcPr>
            <w:tcW w:type="dxa" w:w="2203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Was sie liefert</w:t>
            </w:r>
          </w:p>
        </w:tc>
        <w:tc>
          <w:tcPr>
            <w:tcW w:type="dxa" w:w="2478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Kosten</w:t>
            </w:r>
          </w:p>
        </w:tc>
        <w:tc>
          <w:tcPr>
            <w:tcW w:type="dxa" w:w="3029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Abhängigkeit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WhatsApp Business API (Meta)</w:t>
            </w:r>
          </w:p>
        </w:tc>
        <w:tc>
          <w:tcPr>
            <w:tcW w:type="dxa" w:w="220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Terminerinnerungen, Buchungs-CTA, Kundenservice</w:t>
            </w:r>
          </w:p>
        </w:tc>
        <w:tc>
          <w:tcPr>
            <w:tcW w:type="dxa" w:w="2478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Pro-Nachricht-Preismodell seit 1.7.2025; Utility-Nachrichten im 24-Std.-Fenster kostenlos</w:t>
            </w:r>
          </w:p>
        </w:tc>
        <w:tc>
          <w:tcPr>
            <w:tcW w:type="dxa" w:w="302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Allgemeine KI-Chatbots seit 15.10.2025/15.01.2026 verboten – Assistent muss klar themengebunden (Buchung/Service) bleiben</w:t>
            </w:r>
          </w:p>
        </w:tc>
      </w:tr>
      <w:tr>
        <w:tc>
          <w:tcPr>
            <w:tcW w:type="dxa" w:w="1928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Google Business Profile API</w:t>
            </w:r>
          </w:p>
        </w:tc>
        <w:tc>
          <w:tcPr>
            <w:tcW w:type="dxa" w:w="220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Verwaltung Bewertungen/Fotos/Posts</w:t>
            </w:r>
          </w:p>
        </w:tc>
        <w:tc>
          <w:tcPr>
            <w:tcW w:type="dxa" w:w="2478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kostenlos, Nutzungsbedingungen beachten</w:t>
            </w:r>
          </w:p>
        </w:tc>
        <w:tc>
          <w:tcPr>
            <w:tcW w:type="dxa" w:w="302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Q&amp;A-API zum 3.11.2025 ohne Ersatz eingestellt – Bewertungsmanagement über Review-Endpunkte, nicht Q&amp;A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Google Places/Maps API</w:t>
            </w:r>
          </w:p>
        </w:tc>
        <w:tc>
          <w:tcPr>
            <w:tcW w:type="dxa" w:w="220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Standortdaten, Kartenintegration</w:t>
            </w:r>
          </w:p>
        </w:tc>
        <w:tc>
          <w:tcPr>
            <w:tcW w:type="dxa" w:w="2478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seit 1.3.2025 pro-SKU-Freikontingente statt 200 USD/Monat pauschal</w:t>
            </w:r>
          </w:p>
        </w:tc>
        <w:tc>
          <w:tcPr>
            <w:tcW w:type="dxa" w:w="302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Legacy-Status älterer Places/Directions-Endpunkte beachten</w:t>
            </w:r>
          </w:p>
        </w:tc>
      </w:tr>
      <w:tr>
        <w:tc>
          <w:tcPr>
            <w:tcW w:type="dxa" w:w="1928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LLM-API fuer KI-Chat-Assistent</w:t>
            </w:r>
          </w:p>
        </w:tc>
        <w:tc>
          <w:tcPr>
            <w:tcW w:type="dxa" w:w="220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Sprachverständnis/Antwortgenerierung TR/EN/RU/DE</w:t>
            </w:r>
          </w:p>
        </w:tc>
        <w:tc>
          <w:tcPr>
            <w:tcW w:type="dxa" w:w="2478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z.B. Claude Haiku 4.5: 1$/5$ pro Mio. Token (ca. 37 USD/10.000 Tickets); Alternativen OpenAI GPT-5.4-mini, Google Gemini 2.5 Flash-Lite</w:t>
            </w:r>
          </w:p>
        </w:tc>
        <w:tc>
          <w:tcPr>
            <w:tcW w:type="dxa" w:w="302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Anbieterwahl nach Sprachqualität in allen 4 Sprachen zu testen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Akınsoft/Wolvox (POS/ERP, Markt-/Restaurant-Segment)</w:t>
            </w:r>
          </w:p>
        </w:tc>
        <w:tc>
          <w:tcPr>
            <w:tcW w:type="dxa" w:w="220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Kassendaten-Anbindung</w:t>
            </w:r>
          </w:p>
        </w:tc>
        <w:tc>
          <w:tcPr>
            <w:tcW w:type="dxa" w:w="2478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lizenzabhängig</w:t>
            </w:r>
          </w:p>
        </w:tc>
        <w:tc>
          <w:tcPr>
            <w:tcW w:type="dxa" w:w="302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Nur dateibasierter XML-Austausch, keine moderne REST-/Webhook-API – erhöhter Integrationsaufwand; Alternativen Parasüt/Mikro bieten dokumentierte APIs</w:t>
            </w:r>
          </w:p>
        </w:tc>
      </w:tr>
      <w:tr>
        <w:tc>
          <w:tcPr>
            <w:tcW w:type="dxa" w:w="1928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Supabase (Next.js-Standard-Stack)</w:t>
            </w:r>
          </w:p>
        </w:tc>
        <w:tc>
          <w:tcPr>
            <w:tcW w:type="dxa" w:w="220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Datenbank/Auth/RLS für Buchungssystem, Kundenportal</w:t>
            </w:r>
          </w:p>
        </w:tc>
        <w:tc>
          <w:tcPr>
            <w:tcW w:type="dxa" w:w="2478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im Rahmen Projekt-Standard-Stack</w:t>
            </w:r>
          </w:p>
        </w:tc>
        <w:tc>
          <w:tcPr>
            <w:tcW w:type="dxa" w:w="302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Datenresidenz/KVKK-Grenzübertritt beachten (siehe Kapitel 2.4)</w:t>
            </w:r>
          </w:p>
        </w:tc>
      </w:tr>
    </w:tbl>
    <w:p>
      <w:pPr>
        <w:spacing w:after="200"/>
      </w:pP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6.2 Abrechnungs-/Integrationsoptionen</w:t>
      </w:r>
    </w:p>
    <w:p>
      <w:pPr>
        <w:spacing w:after="160"/>
      </w:pPr>
      <w:r>
        <w:rPr>
          <w:rFonts w:ascii="Arial Narrow" w:cs="Arial Narrow" w:eastAsia="Arial Narrow" w:hAnsi="Arial Narrow"/>
          <w:sz w:val="22"/>
          <w:szCs w:val="22"/>
        </w:rPr>
        <w:t xml:space="preserve">Version 1 hat kein Endkunden-Zahlungsmodell – Terminbuchung und KI-Chat sind kostenlose Kundenservice-Funktionen, keine kostenpflichtige SaaS-Nutzung durch Endkunden. Eine Zahlungsintegration wird erst indirekt über die POS-Anbindung (Akınsoft) im Markt-/Restaurant-Segment relevant.</w:t>
      </w: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6.3 Gesamtbewertung</w:t>
      </w:r>
    </w:p>
    <w:p>
      <w:pPr>
        <w:spacing w:after="160"/>
      </w:pPr>
      <w:r>
        <w:rPr>
          <w:rFonts w:ascii="Arial Narrow" w:cs="Arial Narrow" w:eastAsia="Arial Narrow" w:hAnsi="Arial Narrow"/>
          <w:sz w:val="22"/>
          <w:szCs w:val="22"/>
        </w:rPr>
        <w:t xml:space="preserve">Version 1 hat keine kritischen, blockierenden Abhängigkeiten ausser den in IDEA.md gelisteten offenen Kundeninformationen (WhatsApp-Zielnummer, finale Hausnummer, Bestätigung Kundenname, Eigentuemerschaft hasteknolojim.com/Social-Media). Kein Wettbewerber kann den Start technisch blockieren, da keiner über vergleichbare Technik verfuegt (Kapitel 3). Die WhatsApp-Policy-Änderung (Meta, Okt. 2025/Jan. 2026) erfordert eine bewusste Abgrenzung des KI-Assistenten als Buchungs-/Serviceassistent, ist aber kein Show-Stopper.</w:t>
      </w:r>
    </w:p>
    <w:p>
      <w:pPr>
        <w:pStyle w:val="Heading1"/>
        <w:pageBreakBefore/>
        <w:spacing w:after="240" w:before="0"/>
      </w:pPr>
      <w:r>
        <w:rPr>
          <w:rFonts w:ascii="Arial Narrow" w:cs="Arial Narrow" w:eastAsia="Arial Narrow" w:hAnsi="Arial Narrow"/>
          <w:b/>
          <w:bCs/>
          <w:color w:val="1E3A5F"/>
          <w:sz w:val="32"/>
          <w:szCs w:val="32"/>
        </w:rPr>
        <w:t xml:space="preserve">Kapitel 7: Anforderungen Version 1</w:t>
      </w: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7.1 Hauptprozesse</w:t>
      </w:r>
    </w:p>
    <w:tbl>
      <w:tblPr>
        <w:tblW w:type="dxa" w:w="9638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33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852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Anforderung</w:t>
            </w:r>
          </w:p>
        </w:tc>
        <w:tc>
          <w:tcPr>
            <w:tcW w:type="dxa" w:w="1377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Priorität</w:t>
            </w:r>
          </w:p>
        </w:tc>
        <w:tc>
          <w:tcPr>
            <w:tcW w:type="dxa" w:w="1377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3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S-01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Homepage mit AIDA-Kern (Attention-Interest-Desire-Action) und Verzweigung in 6 Segmentseiten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S-02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6 Zielgruppen-Segmentseiten (Privathaushalt, Neubau/Bauträger, Hotellerie, Markt, Gastronomie, Gewerbe/Parkflächen)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S-03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Mehrsprachigkeit TR/EN/RU/DE fuer alle Kernseiten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S-04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Strukturierte Foto-/Referenzgalerie je Segment (KI-generierte Platzhalterbilder, klar gekennzeichnet)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S-05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GEO-optimierte Trust-Center-Unterseite (Zertifikate, KVKK-Hinweise, FAQ-Struktur)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T-01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Online-Terminbuchungssystem (Besichtigung/Installation/Wartung)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T-02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KI-Chat-Assistent (24/7), themengebunden, qualifiziert nach Segment vor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T-03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Anbindung KI-Chat an Buchungssystem (automatischer Termineintrag)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Soll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T-04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WhatsApp-Kontakt-CTA als priorisierter Hauptkanal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V-01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Google-Business-Profil-Verknüpfung + schema.org LocalBusiness/Service-Markup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V-02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Bewertungs-Sammel-Prozess (Anfrage nach Projektabschluss)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V-03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Bewertungs-Management-Prozess (aktives Beantworten innerhalb 48 Std.)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Soll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V-04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Instagram-Live-Feed-Widget (sobald Account final bestätigt)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Kann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A-01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Rollenbasierter Admin-Bereich fuer Hastek-Mitarbeitende (Buchungen, Leads einsehen)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</w:tbl>
    <w:p>
      <w:pPr>
        <w:spacing w:after="200"/>
      </w:pP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7.2 Basisfunktionalitäten</w:t>
      </w:r>
    </w:p>
    <w:tbl>
      <w:tblPr>
        <w:tblW w:type="dxa" w:w="9638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33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852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Anforderung</w:t>
            </w:r>
          </w:p>
        </w:tc>
        <w:tc>
          <w:tcPr>
            <w:tcW w:type="dxa" w:w="1377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Priorität</w:t>
            </w:r>
          </w:p>
        </w:tc>
        <w:tc>
          <w:tcPr>
            <w:tcW w:type="dxa" w:w="1377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3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B-01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Rollen- und Rechteprinzip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B-02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Anmeldung und Registrierung (E-Mail mit Bestätigung, fuer Admin-Bereich)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B-03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Passwort zurücksetzen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B-04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Admin-Bereich fuer Nutzerverwaltung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B-05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Profilseite (fuer Admin-Nutzer)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B-06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Dashboard als Startseite (Admin-Bereich: Buchungen/Leads)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B-07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Navigation mit Breadcrumbs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B-08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Benachrichtigungssystem (In-App und/oder E-Mail bei neuer Buchung)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Soll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B-09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Spracheinstellungen (Türkisch, Englisch, Russisch, Deutsch)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B-10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Dunkel/Hell-Modus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B-11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FAQ und Hilfebereich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Soll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B-12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AGB, Impressum, Datenschutzerklärung (mehrsprachig)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B-13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Cookie-Banner nach DSGVO/KVKK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B-14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DSGVO-/KVKK-Funktionen (Daten exportieren, Konto löschen)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B-15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Funktionsstufen-Modell: MVP-Basisfunktionen vs. Premium-Ausbaustufen 2/3 (kein Endkunden-Zahlmodell, siehe Kapitel 6.2)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  <w:tr>
        <w:tc>
          <w:tcPr>
            <w:tcW w:type="dxa" w:w="103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B-16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Kein Free/Premium-Upgrade durch Endkunden – Ausbaustufen sind interne Weiterentwicklungen (siehe 7.3)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Muss</w:t>
            </w:r>
          </w:p>
        </w:tc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Neu</w:t>
            </w:r>
          </w:p>
        </w:tc>
      </w:tr>
    </w:tbl>
    <w:p>
      <w:pPr>
        <w:spacing w:after="200"/>
      </w:pP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7.3 Scope</w:t>
      </w:r>
    </w:p>
    <w:tbl>
      <w:tblPr>
        <w:tblW w:type="dxa" w:w="9638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In Scope V1</w:t>
            </w:r>
          </w:p>
        </w:tc>
        <w:tc>
          <w:tcPr>
            <w:tcW w:type="dxa" w:w="4819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Out of Scope (V2+)</w:t>
            </w:r>
          </w:p>
        </w:tc>
      </w:tr>
      <w:tr>
        <w:tc>
          <w:tcPr>
            <w:tcW w:type="dxa" w:w="481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6 Zielgruppen-Segmentseiten + Homepage (AIDA-Kern)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Interaktiver Leistungs-Konfigurator ('Paket-Builder') – Ausbaustufe 2</w:t>
            </w:r>
          </w:p>
        </w:tc>
      </w:tr>
      <w:tr>
        <w:tc>
          <w:tcPr>
            <w:tcW w:type="dxa" w:w="481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Mehrsprachigkeit TR/EN/RU/DE</w:t>
            </w:r>
          </w:p>
        </w:tc>
        <w:tc>
          <w:tcPr>
            <w:tcW w:type="dxa" w:w="481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QR-Code-Wartungshistorie pro installiertem Gerät – Ausbaustufe 2</w:t>
            </w:r>
          </w:p>
        </w:tc>
      </w:tr>
      <w:tr>
        <w:tc>
          <w:tcPr>
            <w:tcW w:type="dxa" w:w="481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Online-Terminbuchungssystem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Automatisierte WhatsApp-Wartungserinnerungen – Ausbaustufe 2 (blockiert bis WhatsApp-Nr. bestätigt)</w:t>
            </w:r>
          </w:p>
        </w:tc>
      </w:tr>
      <w:tr>
        <w:tc>
          <w:tcPr>
            <w:tcW w:type="dxa" w:w="481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KI-Chat-Assistent (themengebunden)</w:t>
            </w:r>
          </w:p>
        </w:tc>
        <w:tc>
          <w:tcPr>
            <w:tcW w:type="dxa" w:w="481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Kunden-Login-Portal (Wartungsverträge/Rechnungen/Tickets) – Ausbaustufe 3</w:t>
            </w:r>
          </w:p>
        </w:tc>
      </w:tr>
      <w:tr>
        <w:tc>
          <w:tcPr>
            <w:tcW w:type="dxa" w:w="481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GEO-optimierte Trust-Center-Seite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Live-Referenz-Showroom (Kamera-Demo) – Ausbaustufe 3, blockiert bis 1. echte Referenzinstallation</w:t>
            </w:r>
          </w:p>
        </w:tc>
      </w:tr>
      <w:tr>
        <w:tc>
          <w:tcPr>
            <w:tcW w:type="dxa" w:w="481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Bewertungs-Sammel-Prozess + Google-Business-Profil</w:t>
            </w:r>
          </w:p>
        </w:tc>
        <w:tc>
          <w:tcPr>
            <w:tcW w:type="dxa" w:w="481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Instagram-Live-Feed-Widget – Kann-Anforderung, abhängig von Account-Bestätigung</w:t>
            </w:r>
          </w:p>
        </w:tc>
      </w:tr>
    </w:tbl>
    <w:p>
      <w:pPr>
        <w:pStyle w:val="Heading1"/>
        <w:pageBreakBefore/>
        <w:spacing w:after="240" w:before="0"/>
      </w:pPr>
      <w:r>
        <w:rPr>
          <w:rFonts w:ascii="Arial Narrow" w:cs="Arial Narrow" w:eastAsia="Arial Narrow" w:hAnsi="Arial Narrow"/>
          <w:b/>
          <w:bCs/>
          <w:color w:val="1E3A5F"/>
          <w:sz w:val="32"/>
          <w:szCs w:val="32"/>
        </w:rPr>
        <w:t xml:space="preserve">Kapitel 8: Chancen und Risiken</w:t>
      </w: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8.1 Chancen</w:t>
      </w:r>
    </w:p>
    <w:tbl>
      <w:tblPr>
        <w:tblW w:type="dxa" w:w="9638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677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Chance</w:t>
            </w:r>
          </w:p>
        </w:tc>
        <w:tc>
          <w:tcPr>
            <w:tcW w:type="dxa" w:w="6961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Begründung (mit Quelle)</w:t>
            </w:r>
          </w:p>
        </w:tc>
      </w:tr>
      <w:tr>
        <w:tc>
          <w:tcPr>
            <w:tcW w:type="dxa" w:w="26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Erstes Google-Bewertungsprofil im Markt</w:t>
            </w:r>
          </w:p>
        </w:tc>
        <w:tc>
          <w:tcPr>
            <w:tcW w:type="dxa" w:w="696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0 von 11 Wettbewerbern verifiziert vorhanden (eigene Recherche); 97% lesen Bewertungen vor Kaufentscheidung, 50+ Bewertungen = 266% häufiger im Local Pack (BrightLocal 11.02.2026; Searchlab 17.03.2026)</w:t>
            </w:r>
          </w:p>
        </w:tc>
      </w:tr>
      <w:tr>
        <w:tc>
          <w:tcPr>
            <w:tcW w:type="dxa" w:w="26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Wachsende, zahlungskräftige Zielgruppe</w:t>
            </w:r>
          </w:p>
        </w:tc>
        <w:tc>
          <w:tcPr>
            <w:tcW w:type="dxa" w:w="696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15.225 russische Immobilienkäufe in Alanya 2022–2025; Alanya-Bevölkerungswachstum +2,67% 2025 (yenialanya.com 11.06.2026; mansetalanya.com 09.02.2026)</w:t>
            </w:r>
          </w:p>
        </w:tc>
      </w:tr>
      <w:tr>
        <w:tc>
          <w:tcPr>
            <w:tcW w:type="dxa" w:w="26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GEO als First-Mover-Vorteil</w:t>
            </w:r>
          </w:p>
        </w:tc>
        <w:tc>
          <w:tcPr>
            <w:tcW w:type="dxa" w:w="696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Gartner erwartet 25% Rückgang klassischer Suchanfragen zugunsten KI-Antwortmaschinen 2026; KI-Engines zitieren typischerweise nur 2–7 Domains pro Antwort (Search Engine Land, 23.02.2026)</w:t>
            </w:r>
          </w:p>
        </w:tc>
      </w:tr>
      <w:tr>
        <w:tc>
          <w:tcPr>
            <w:tcW w:type="dxa" w:w="26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Infrastruktur-Rückenwind</w:t>
            </w:r>
          </w:p>
        </w:tc>
        <w:tc>
          <w:tcPr>
            <w:tcW w:type="dxa" w:w="696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Flughafenausbau Gazipaşa, neue Wohnkomplexe MIT Smart-Home-Systemen bis 2030 (gazetealanya.com 23.02.2026; Yekta Homes 18.07.2025)</w:t>
            </w:r>
          </w:p>
        </w:tc>
      </w:tr>
      <w:tr>
        <w:tc>
          <w:tcPr>
            <w:tcW w:type="dxa" w:w="26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Renovierungssegment</w:t>
            </w:r>
          </w:p>
        </w:tc>
        <w:tc>
          <w:tcPr>
            <w:tcW w:type="dxa" w:w="696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~18.000 Altbauten in Antalya benötigen Verstärkung/Neubau, Nachrüstungssegment mit 25% Wachstum prognostiziert (KiTalent, 12.04.2026)</w:t>
            </w:r>
          </w:p>
        </w:tc>
      </w:tr>
    </w:tbl>
    <w:p>
      <w:pPr>
        <w:spacing w:after="200"/>
      </w:pP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8.2 Risiken</w:t>
      </w:r>
    </w:p>
    <w:tbl>
      <w:tblPr>
        <w:tblW w:type="dxa" w:w="9638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95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Risiko</w:t>
            </w:r>
          </w:p>
        </w:tc>
        <w:tc>
          <w:tcPr>
            <w:tcW w:type="dxa" w:w="3771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Warum es eintreten kann</w:t>
            </w:r>
          </w:p>
        </w:tc>
        <w:tc>
          <w:tcPr>
            <w:tcW w:type="dxa" w:w="3771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Gegenmassnahme</w:t>
            </w:r>
          </w:p>
        </w:tc>
      </w:tr>
      <w:tr>
        <w:tc>
          <w:tcPr>
            <w:tcW w:type="dxa" w:w="209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Währungsrisiko</w:t>
            </w:r>
          </w:p>
        </w:tc>
        <w:tc>
          <w:tcPr>
            <w:tcW w:type="dxa" w:w="377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Lira verlor 17,4% ggue. USD in 12 Monaten (03.07.2026: 46,79 TRY/USD); Inflationsprognose 2026 zwischen 22% (ING) und 28,9% (S&amp;P Global)</w:t>
            </w:r>
          </w:p>
        </w:tc>
        <w:tc>
          <w:tcPr>
            <w:tcW w:type="dxa" w:w="377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API-/Lizenzkosten in USD budgetieren, TL-Preise mit Pufferspanne kalkulieren</w:t>
            </w:r>
          </w:p>
        </w:tc>
      </w:tr>
      <w:tr>
        <w:tc>
          <w:tcPr>
            <w:tcW w:type="dxa" w:w="209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Regulatorisches Risiko KVKK/KI</w:t>
            </w:r>
          </w:p>
        </w:tc>
        <w:tc>
          <w:tcPr>
            <w:tcW w:type="dxa" w:w="377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Human-in-the-loop-Pflicht seit 2026 (nesilteknoloji.com, 11.02.2026)</w:t>
            </w:r>
          </w:p>
        </w:tc>
        <w:tc>
          <w:tcPr>
            <w:tcW w:type="dxa" w:w="377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KI-Chat darf keine automatisierten, folgenreichen Entscheidungen ohne menschliche Prüfung treffen</w:t>
            </w:r>
          </w:p>
        </w:tc>
      </w:tr>
      <w:tr>
        <w:tc>
          <w:tcPr>
            <w:tcW w:type="dxa" w:w="209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WhatsApp-Policy-Risiko</w:t>
            </w:r>
          </w:p>
        </w:tc>
        <w:tc>
          <w:tcPr>
            <w:tcW w:type="dxa" w:w="377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Verbot allgemeiner KI-Chatbots seit Okt. 2025/Jan. 2026 (TechCrunch, 18.10.2025)</w:t>
            </w:r>
          </w:p>
        </w:tc>
        <w:tc>
          <w:tcPr>
            <w:tcW w:type="dxa" w:w="377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KI-Assistent explizit als themengebundenen Buchungs-/Serviceassistenten konzipieren und dokumentieren</w:t>
            </w:r>
          </w:p>
        </w:tc>
      </w:tr>
      <w:tr>
        <w:tc>
          <w:tcPr>
            <w:tcW w:type="dxa" w:w="209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Cyber-Sicherheitsrisiko vernetzter Kameras</w:t>
            </w:r>
          </w:p>
        </w:tc>
        <w:tc>
          <w:tcPr>
            <w:tcW w:type="dxa" w:w="377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Dokumentierte Angriffe auf Hikvision/Dahua/TP-Link-Kameras 2026 (Check Point Research 04.03.2026; SecurityWeek 19.01.2026)</w:t>
            </w:r>
          </w:p>
        </w:tc>
        <w:tc>
          <w:tcPr>
            <w:tcW w:type="dxa" w:w="377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Firmware-Update-Prozess und Passwort-Policy als Teil des Wartungsvertrags kommunizieren</w:t>
            </w:r>
          </w:p>
        </w:tc>
      </w:tr>
      <w:tr>
        <w:tc>
          <w:tcPr>
            <w:tcW w:type="dxa" w:w="209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Wettbewerbsrisiko durch Nachahmung</w:t>
            </w:r>
          </w:p>
        </w:tc>
        <w:tc>
          <w:tcPr>
            <w:tcW w:type="dxa" w:w="377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Sobald ein Wettbewerber die identifizierte Lücke (Bewertungen, Mehrsprachigkeit, GEO) erkennt, kann er nachziehen</w:t>
            </w:r>
          </w:p>
        </w:tc>
        <w:tc>
          <w:tcPr>
            <w:tcW w:type="dxa" w:w="377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Geschwindigkeit (Kapitel 9) und edler Premium-Designauftritt als schwerer kopierbare Differenzierung</w:t>
            </w:r>
          </w:p>
        </w:tc>
      </w:tr>
    </w:tbl>
    <w:p>
      <w:pPr>
        <w:pStyle w:val="Heading1"/>
        <w:pageBreakBefore/>
        <w:spacing w:after="240" w:before="0"/>
      </w:pPr>
      <w:r>
        <w:rPr>
          <w:rFonts w:ascii="Arial Narrow" w:cs="Arial Narrow" w:eastAsia="Arial Narrow" w:hAnsi="Arial Narrow"/>
          <w:b/>
          <w:bCs/>
          <w:color w:val="1E3A5F"/>
          <w:sz w:val="32"/>
          <w:szCs w:val="32"/>
        </w:rPr>
        <w:t xml:space="preserve">Kapitel 9: Umsetzungsplan Version 1</w:t>
      </w: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9.1 Entwicklungsansatz</w:t>
      </w:r>
    </w:p>
    <w:p>
      <w:pPr>
        <w:spacing w:after="160"/>
      </w:pPr>
      <w:r>
        <w:rPr>
          <w:rFonts w:ascii="Arial Narrow" w:cs="Arial Narrow" w:eastAsia="Arial Narrow" w:hAnsi="Arial Narrow"/>
          <w:sz w:val="22"/>
          <w:szCs w:val="22"/>
        </w:rPr>
        <w:t xml:space="preserve">Tech-Stack: Next.js, TypeScript, Tailwind CSS, Supabase, Vercel (Projekt-Standard-Stack). Werkzeuge: GitHub Copilot Agents (@planner → @developer) fuer iterative, KI-gestützte Umsetzung. Team: WAMOCON GmbH.</w:t>
      </w:r>
    </w:p>
    <w:p>
      <w:pPr>
        <w:pStyle w:val="Heading2"/>
        <w:spacing w:after="160" w:before="240"/>
      </w:pPr>
      <w:r>
        <w:rPr>
          <w:rFonts w:ascii="Arial Narrow" w:cs="Arial Narrow" w:eastAsia="Arial Narrow" w:hAnsi="Arial Narrow"/>
          <w:b/>
          <w:bCs/>
          <w:color w:val="1E3A5F"/>
          <w:sz w:val="26"/>
          <w:szCs w:val="26"/>
        </w:rPr>
        <w:t xml:space="preserve">9.2 Umsetzungsplan</w:t>
      </w:r>
    </w:p>
    <w:tbl>
      <w:tblPr>
        <w:tblW w:type="dxa" w:w="9638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377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  <w:tc>
          <w:tcPr>
            <w:tcW w:type="dxa" w:w="2410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Fokus</w:t>
            </w:r>
          </w:p>
        </w:tc>
        <w:tc>
          <w:tcPr>
            <w:tcW w:type="dxa" w:w="5852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Tag 1–3</w:t>
            </w:r>
          </w:p>
        </w:tc>
        <w:tc>
          <w:tcPr>
            <w:tcW w:type="dxa" w:w="241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Hauptprozesse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Homepage + 6 Segmentseiten, i18n-Grundgerüst TR/EN/RU/DE, Google-Business-Profil-Verknüpfung + schema.org-Markup</w:t>
            </w:r>
          </w:p>
        </w:tc>
      </w:tr>
      <w:tr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Tag 3–5</w:t>
            </w:r>
          </w:p>
        </w:tc>
        <w:tc>
          <w:tcPr>
            <w:tcW w:type="dxa" w:w="2410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Buchungssystem &amp; KI-Chat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Online-Terminbuchungssystem (Supabase-Datenmodell), themengebundener KI-Chat-Assistent, WhatsApp-CTA</w:t>
            </w:r>
          </w:p>
        </w:tc>
      </w:tr>
      <w:tr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Tag 5–6</w:t>
            </w:r>
          </w:p>
        </w:tc>
        <w:tc>
          <w:tcPr>
            <w:tcW w:type="dxa" w:w="241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Testing und Bugfixing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Funktionstests aller 4 Sprachen, Buchungsfluss-Tests, KI-Chat-Antwortqualität</w:t>
            </w:r>
          </w:p>
        </w:tc>
      </w:tr>
      <w:tr>
        <w:tc>
          <w:tcPr>
            <w:tcW w:type="dxa" w:w="1377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Tag 6–7</w:t>
            </w:r>
          </w:p>
        </w:tc>
        <w:tc>
          <w:tcPr>
            <w:tcW w:type="dxa" w:w="2410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Basisfunktionalitäten</w:t>
            </w:r>
          </w:p>
        </w:tc>
        <w:tc>
          <w:tcPr>
            <w:tcW w:type="dxa" w:w="5852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Admin-Bereich, DSGVO-/KVKK-Funktionen, Cookie-Banner, Impressum/AGB, Dark/Light-Mode</w:t>
            </w:r>
          </w:p>
        </w:tc>
      </w:tr>
      <w:tr>
        <w:tc>
          <w:tcPr>
            <w:tcW w:type="dxa" w:w="1377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Tag 7–8</w:t>
            </w:r>
          </w:p>
        </w:tc>
        <w:tc>
          <w:tcPr>
            <w:tcW w:type="dxa" w:w="241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Puffer</w:t>
            </w:r>
          </w:p>
        </w:tc>
        <w:tc>
          <w:tcPr>
            <w:tcW w:type="dxa" w:w="5852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Trust-Center-Seite, GEO-Feinschliff, finale Korrektur nach Kundenfeedback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Hinweis: Realistisch ist Version 1 ein lauffähiger Prototyp mit den Muss-Anforderungen aus Kapitel 7.1/7.2, kein fertiges Endprodukt. Ausbaustufen 2/3 (siehe Kapitel 7.3, Out of Scope) folgen nach Kundenfeedback aus dem MVP-Betrieb.</w:t>
      </w:r>
    </w:p>
    <w:p>
      <w:pPr>
        <w:pStyle w:val="Heading1"/>
        <w:pageBreakBefore/>
        <w:spacing w:after="240" w:before="0"/>
      </w:pPr>
      <w:r>
        <w:rPr>
          <w:rFonts w:ascii="Arial Narrow" w:cs="Arial Narrow" w:eastAsia="Arial Narrow" w:hAnsi="Arial Narrow"/>
          <w:b/>
          <w:bCs/>
          <w:color w:val="1E3A5F"/>
          <w:sz w:val="32"/>
          <w:szCs w:val="32"/>
        </w:rPr>
        <w:t xml:space="preserve">Quellenverzeichnis</w:t>
      </w:r>
    </w:p>
    <w:p>
      <w:pPr>
        <w:spacing w:after="160"/>
      </w:pPr>
      <w:r>
        <w:rPr>
          <w:rFonts w:ascii="Arial Narrow" w:cs="Arial Narrow" w:eastAsia="Arial Narrow" w:hAnsi="Arial Narrow"/>
          <w:sz w:val="22"/>
          <w:szCs w:val="22"/>
        </w:rPr>
        <w:t xml:space="preserve">Alle Quellen wurden am oder nach dem 04.07.2025 veröffentlicht (Stichtagsregel: nicht älter als 1 Jahr). Themen, zu denen keine ausreichend aktuelle, prüfbare Quelle gefunden wurde, sind in den jeweiligen Kapiteln als Daten-Lücke transparent ausgewiesen statt mit einer veralteten Quelle belegt.</w:t>
      </w:r>
    </w:p>
    <w:tbl>
      <w:tblPr>
        <w:tblW w:type="dxa" w:w="9638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41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Nr.</w:t>
            </w:r>
          </w:p>
        </w:tc>
        <w:tc>
          <w:tcPr>
            <w:tcW w:type="dxa" w:w="3559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Quelle/URL</w:t>
            </w:r>
          </w:p>
        </w:tc>
        <w:tc>
          <w:tcPr>
            <w:tcW w:type="dxa" w:w="3855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1483"/>
            <w:shd w:fill="1E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 Narrow" w:cs="Arial Narrow" w:eastAsia="Arial Narrow" w:hAnsi="Arial Narrow"/>
                <w:b/>
                <w:bCs/>
                <w:color w:val="FFFFFF"/>
                <w:sz w:val="20"/>
                <w:szCs w:val="20"/>
              </w:rPr>
              <w:t xml:space="preserve">Veröffentlichungsdatum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yenialanya.com – Ruslar Alanya'dan vazgeçmiyor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Russische Immobilienkäufe Alanya 2022–2026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11.06.2026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yenialanya.com – TÜİK Verileri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Nationale Immobilienverkäufe an Ausländer Mai 2026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18.06.2026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3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KiTalent – Antalya Coastal Construction Boom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Ausländerkäufe Antalya-Provinz, Bautrends, Nachrüstsegment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12.04.2026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4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mansetalanya.com – Alanya'nın Yeni Nüfusu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Bevölkerungswachstum Alanya 2025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09.02.2026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5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newlevel-group.com – Residence Permit Zones 2026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Aufenthaltstitel-Regelung nach Stadtviertel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18.01.2026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6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antalyahomes.com – Antalya Real Estate Market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Nationalitäten-Mix Immobilienmarkt Antalya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29.12.2025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7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NextMSC – Turkey Real Estate Market Size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Marktvolumen/CAGR türkischer Immobilienmarkt bis 2030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04.06.2026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8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Yekta Homes – Alanya Real Estate 2030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5 Schlüsselveränderungen Alanya bis 2030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18.07.2025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9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gazetealanya.com – Alanya Investitionen 2026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Flughafenausbau, Infrastrukturprojekte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23.02.2026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10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Precedence Research – Smart Home Security Market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Globaler Smart-Home-Security-Markt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25.02.2026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11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Esenyel Partners – 2026 KVKK Administrative Fines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KVKK-Bussgeldrahmen 2026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29.12.2025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12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nesilteknoloji.com – 2026 KVKK Cezaları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KVKK Human-in-the-Loop-Pflicht, Meldefristen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11.02.2026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13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Istanbul Lawyer Firm – KVKK Cross-Border Transfers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Grenzüberschreitender Datentransfer KVKK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21.08.2025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14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merttelekom.com – Yangın Algılama Sistemleri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Brandschutzzertifizierung TS EN 54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31.07.2025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15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KiviERP – e-Fatura Zorunluluğu 2026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E-Rechnungspflicht Tuerkei ab 2026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30.09.2025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16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Meta for Developers – WhatsApp Pricing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WhatsApp Business API Preismodell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Juli 2026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17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TechCrunch – WhatsApp bars general-purpose chatbots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WhatsApp-Verbot allgemeiner KI-Chatbots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18.10.2025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18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respond.io – WhatsApp 2026 AI Policy Explained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Details WhatsApp-KI-Policy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27.10.2025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19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Meta for Developers – Messaging Limits Changes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WhatsApp Nachrichtenlimits ab Okt. 2025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Oktober 2025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20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ppc.land – Google Business Profile Q&amp;A API discontinued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Einstellung Google Q&amp;A API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21.09.2025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21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Google for Developers – Business Profile API Change Log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Laufende API-Weiterentwicklung 2026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01.07.2026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22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Google for Developers – Maps Platform Billing FAQ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Preisänderung Google Places/Maps API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29.06.2026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23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Anthropic – Claude Platform Pricing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Claude-API-Preise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Juli 2026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24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OpenAI – API Pricing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GPT-API-Preise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Juli 2026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25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Google AI for Developers – Gemini API Pricing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Gemini-API-Preise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30.06.2026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26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Search Engine Land – GEO Full Guide 2026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Generative Engine Optimization Praxis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23.02.2026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27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Otterly.AI – llms.txt Experiment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GEO-Studie zu llms.txt-Wirksamkeit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05.02.2026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28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AKINSOFT Bilgi Bankası – Wolvox Integration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Akınsoft-POS-Integrationsverfahren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05.02.2026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29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Zenoti – 2025 Survey: Salon/Spa Booking Trends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Wirkung Online-Terminbuchung auf Conversion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06.10.2025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30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Salesforce – 2025 State of Service Report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KI-Akzeptanz bei Terminbuchung/Service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10.09.2025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31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Ringly.io – 61 AI Customer Service Statistics 2026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Wirkung KI-Chat auf Antwortzeiten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25.06.2026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32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BrightLocal – Local Consumer Review Survey 2026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Wirkung von Bewertungen auf Kaufentscheidung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11.02.2026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33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Whitespark – Local Search Ranking Factors 2026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Gewicht von Bewertungen im Local-SEO-Ranking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06.11.2025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34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Searchlab – Online Reviews Statistics 2026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Sichtbarkeit im Google Local Pack nach Bewertungsanzahl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17.03.2026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35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DHL – 2026 E-Commerce Trends Report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Grenzüberschreitendes Kaufverhalten, Lokalisierungslücke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02.06.2026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36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W3Techs – Content Language Usage Statistics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Sprachverteilung von Website-Inhalten weltweit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04.07.2026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37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Mordor Intelligence – Turkey Cybersecurity Market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Türkischer Cybersecurity-/KMU-Digitalisierungsmarkt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19.01.2026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38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Mordor Intelligence – Turkey ICT Market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Türkischer ICT-Markt, KMU-Anteil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28.01.2026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39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ING THINK – Turkish disinflation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Türkische Inflation Dezember 2025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05.01.2026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40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Bloomberg HT – S&amp;P Turkiye Enflasyon Tahmini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S&amp;P-Inflationsprognose Türkei 2026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26.03.2026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41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Forbes – Turkey's Economy Was Winning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Wirtschaftliche Auswirkungen Iran-Konflikt auf Türkei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04.04.2026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42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Trading Economics – Turkish Lira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USD/TRY-Wechselkurs Juli 2026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03.07.2026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43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Check Point Research – Iranian Targeting of IP Cameras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Cyberangriffe auf IP-Kameras im Nahen Osten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04.03.2026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44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SecurityWeek – TP-Link VIGI Vulnerability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Sicherheitslücke TP-Link-Überwachungskameras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19.01.2026</w:t>
            </w:r>
          </w:p>
        </w:tc>
      </w:tr>
      <w:tr>
        <w:tc>
          <w:tcPr>
            <w:tcW w:type="dxa" w:w="741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45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Forbes Technology Council – AI in Video Surveillance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KI-Trends in der Videoueberwachung 2026</w:t>
            </w:r>
          </w:p>
        </w:tc>
        <w:tc>
          <w:tcPr>
            <w:tcW w:type="dxa" w:w="1483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02.03.2026</w:t>
            </w:r>
          </w:p>
        </w:tc>
      </w:tr>
      <w:tr>
        <w:tc>
          <w:tcPr>
            <w:tcW w:type="dxa" w:w="741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46</w:t>
            </w:r>
          </w:p>
        </w:tc>
        <w:tc>
          <w:tcPr>
            <w:tcW w:type="dxa" w:w="3559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Brivo – 5 Video Surveillance and AI Trends 2026</w:t>
            </w:r>
          </w:p>
        </w:tc>
        <w:tc>
          <w:tcPr>
            <w:tcW w:type="dxa" w:w="3855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KI-/Cloud-Trends Sicherheitsbranche 2026</w:t>
            </w:r>
          </w:p>
        </w:tc>
        <w:tc>
          <w:tcPr>
            <w:tcW w:type="dxa" w:w="1483"/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31.03.2026</w:t>
            </w:r>
          </w:p>
        </w:tc>
      </w:tr>
    </w:tbl>
    <w:sectPr>
      <w:headerReference w:type="default" r:id="rId7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 Narrow" w:cs="Arial Narrow" w:eastAsia="Arial Narrow" w:hAnsi="Arial Narrow"/>
        <w:color w:val="808080"/>
        <w:sz w:val="16"/>
        <w:szCs w:val="16"/>
      </w:rPr>
      <w:t xml:space="preserve">WAMOCON GmbH, Mergenthalerallee 79-81, 65760 Eschborn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2026-07-04T06:24:50.676Z</dcterms:created>
  <dcterms:modified xsi:type="dcterms:W3CDTF">2026-07-04T06:24:50.677Z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