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1241F" w14:textId="77777777" w:rsidR="006E211C" w:rsidRDefault="006E211C">
      <w:pPr>
        <w:pBdr>
          <w:top w:val="thick" w:sz="12" w:space="0" w:color="000000"/>
        </w:pBdr>
      </w:pPr>
    </w:p>
    <w:p w14:paraId="39C38E88" w14:textId="77777777" w:rsidR="006E211C" w:rsidRDefault="006E211C">
      <w:pPr>
        <w:spacing w:after="120"/>
      </w:pPr>
    </w:p>
    <w:p w14:paraId="1E3FC602" w14:textId="77777777" w:rsidR="006E211C" w:rsidRDefault="00000000">
      <w:pPr>
        <w:jc w:val="center"/>
      </w:pPr>
      <w:r>
        <w:rPr>
          <w:rFonts w:ascii="Arial Narrow" w:eastAsia="Arial Narrow" w:hAnsi="Arial Narrow" w:cs="Arial Narrow"/>
          <w:b/>
          <w:bCs/>
          <w:color w:val="000000"/>
          <w:sz w:val="32"/>
          <w:szCs w:val="32"/>
        </w:rPr>
        <w:t>WAMOCON GMBH</w:t>
      </w:r>
    </w:p>
    <w:p w14:paraId="0F9C02F6" w14:textId="77777777" w:rsidR="006E211C" w:rsidRDefault="006E211C">
      <w:pPr>
        <w:spacing w:after="120"/>
      </w:pPr>
    </w:p>
    <w:p w14:paraId="6F2A4EBD" w14:textId="77777777" w:rsidR="006E211C" w:rsidRDefault="00000000">
      <w:pPr>
        <w:jc w:val="center"/>
      </w:pPr>
      <w:r>
        <w:rPr>
          <w:rFonts w:ascii="Arial Narrow" w:eastAsia="Arial Narrow" w:hAnsi="Arial Narrow" w:cs="Arial Narrow"/>
          <w:b/>
          <w:bCs/>
          <w:color w:val="000000"/>
          <w:sz w:val="28"/>
          <w:szCs w:val="28"/>
        </w:rPr>
        <w:t>Anforderungsdokument</w:t>
      </w:r>
    </w:p>
    <w:p w14:paraId="451B8B6A" w14:textId="77777777" w:rsidR="006E211C" w:rsidRDefault="00000000">
      <w:pPr>
        <w:jc w:val="center"/>
      </w:pPr>
      <w:proofErr w:type="spellStart"/>
      <w:r>
        <w:rPr>
          <w:rFonts w:ascii="Arial Narrow" w:eastAsia="Arial Narrow" w:hAnsi="Arial Narrow" w:cs="Arial Narrow"/>
          <w:b/>
          <w:bCs/>
          <w:color w:val="333333"/>
          <w:sz w:val="24"/>
          <w:szCs w:val="24"/>
        </w:rPr>
        <w:t>NebenkostenCheck</w:t>
      </w:r>
      <w:proofErr w:type="spellEnd"/>
    </w:p>
    <w:p w14:paraId="4CC04AEE" w14:textId="77777777" w:rsidR="006E211C" w:rsidRDefault="006E211C">
      <w:pPr>
        <w:spacing w:after="120"/>
      </w:pPr>
    </w:p>
    <w:p w14:paraId="08077C1C" w14:textId="77777777" w:rsidR="006E211C" w:rsidRDefault="006E211C">
      <w:pPr>
        <w:spacing w:after="120"/>
      </w:pPr>
    </w:p>
    <w:tbl>
      <w:tblPr>
        <w:tblW w:w="90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6E211C" w14:paraId="73748E1B" w14:textId="77777777">
        <w:tblPrEx>
          <w:tblCellMar>
            <w:top w:w="0" w:type="dxa"/>
            <w:bottom w:w="0" w:type="dxa"/>
          </w:tblCellMar>
        </w:tblPrEx>
        <w:tc>
          <w:tcPr>
            <w:tcW w:w="3000" w:type="dxa"/>
          </w:tcPr>
          <w:p w14:paraId="2230E403" w14:textId="77777777" w:rsidR="006E211C" w:rsidRDefault="00000000">
            <w:r>
              <w:rPr>
                <w:rFonts w:ascii="Arial Narrow" w:eastAsia="Arial Narrow" w:hAnsi="Arial Narrow" w:cs="Arial Narrow"/>
                <w:b/>
                <w:bCs/>
                <w:sz w:val="22"/>
                <w:szCs w:val="22"/>
              </w:rPr>
              <w:t>Welle:</w:t>
            </w:r>
          </w:p>
        </w:tc>
        <w:tc>
          <w:tcPr>
            <w:tcW w:w="6000" w:type="dxa"/>
          </w:tcPr>
          <w:p w14:paraId="48A81683" w14:textId="77777777" w:rsidR="006E211C" w:rsidRDefault="00000000">
            <w:r>
              <w:rPr>
                <w:rFonts w:ascii="Arial Narrow" w:eastAsia="Arial Narrow" w:hAnsi="Arial Narrow" w:cs="Arial Narrow"/>
                <w:sz w:val="22"/>
                <w:szCs w:val="22"/>
              </w:rPr>
              <w:t>1</w:t>
            </w:r>
          </w:p>
        </w:tc>
      </w:tr>
      <w:tr w:rsidR="006E211C" w14:paraId="6247C274" w14:textId="77777777">
        <w:tblPrEx>
          <w:tblCellMar>
            <w:top w:w="0" w:type="dxa"/>
            <w:bottom w:w="0" w:type="dxa"/>
          </w:tblCellMar>
        </w:tblPrEx>
        <w:tc>
          <w:tcPr>
            <w:tcW w:w="3000" w:type="dxa"/>
          </w:tcPr>
          <w:p w14:paraId="597C9EF0" w14:textId="77777777" w:rsidR="006E211C" w:rsidRDefault="00000000">
            <w:r>
              <w:rPr>
                <w:rFonts w:ascii="Arial Narrow" w:eastAsia="Arial Narrow" w:hAnsi="Arial Narrow" w:cs="Arial Narrow"/>
                <w:b/>
                <w:bCs/>
                <w:sz w:val="22"/>
                <w:szCs w:val="22"/>
              </w:rPr>
              <w:t>Projekt:</w:t>
            </w:r>
          </w:p>
        </w:tc>
        <w:tc>
          <w:tcPr>
            <w:tcW w:w="6000" w:type="dxa"/>
          </w:tcPr>
          <w:p w14:paraId="1CEA4437" w14:textId="77777777" w:rsidR="006E211C" w:rsidRDefault="00000000">
            <w:proofErr w:type="spellStart"/>
            <w:r>
              <w:rPr>
                <w:rFonts w:ascii="Arial Narrow" w:eastAsia="Arial Narrow" w:hAnsi="Arial Narrow" w:cs="Arial Narrow"/>
                <w:sz w:val="22"/>
                <w:szCs w:val="22"/>
              </w:rPr>
              <w:t>NebenkostenCheck</w:t>
            </w:r>
            <w:proofErr w:type="spellEnd"/>
          </w:p>
        </w:tc>
      </w:tr>
      <w:tr w:rsidR="006E211C" w14:paraId="12A31D5C" w14:textId="77777777">
        <w:tblPrEx>
          <w:tblCellMar>
            <w:top w:w="0" w:type="dxa"/>
            <w:bottom w:w="0" w:type="dxa"/>
          </w:tblCellMar>
        </w:tblPrEx>
        <w:tc>
          <w:tcPr>
            <w:tcW w:w="3000" w:type="dxa"/>
          </w:tcPr>
          <w:p w14:paraId="75FBB920" w14:textId="77777777" w:rsidR="006E211C" w:rsidRDefault="00000000">
            <w:r>
              <w:rPr>
                <w:rFonts w:ascii="Arial Narrow" w:eastAsia="Arial Narrow" w:hAnsi="Arial Narrow" w:cs="Arial Narrow"/>
                <w:b/>
                <w:bCs/>
                <w:sz w:val="22"/>
                <w:szCs w:val="22"/>
              </w:rPr>
              <w:t>Unternehmen:</w:t>
            </w:r>
          </w:p>
        </w:tc>
        <w:tc>
          <w:tcPr>
            <w:tcW w:w="6000" w:type="dxa"/>
          </w:tcPr>
          <w:p w14:paraId="54F9EA6C" w14:textId="77777777" w:rsidR="006E211C" w:rsidRDefault="00000000">
            <w:r>
              <w:rPr>
                <w:rFonts w:ascii="Arial Narrow" w:eastAsia="Arial Narrow" w:hAnsi="Arial Narrow" w:cs="Arial Narrow"/>
                <w:sz w:val="22"/>
                <w:szCs w:val="22"/>
              </w:rPr>
              <w:t>WAMOCON GmbH</w:t>
            </w:r>
          </w:p>
        </w:tc>
      </w:tr>
      <w:tr w:rsidR="006E211C" w14:paraId="3D68BC72" w14:textId="77777777">
        <w:tblPrEx>
          <w:tblCellMar>
            <w:top w:w="0" w:type="dxa"/>
            <w:bottom w:w="0" w:type="dxa"/>
          </w:tblCellMar>
        </w:tblPrEx>
        <w:tc>
          <w:tcPr>
            <w:tcW w:w="3000" w:type="dxa"/>
          </w:tcPr>
          <w:p w14:paraId="16AA0A06" w14:textId="77777777" w:rsidR="006E211C" w:rsidRDefault="00000000">
            <w:r>
              <w:rPr>
                <w:rFonts w:ascii="Arial Narrow" w:eastAsia="Arial Narrow" w:hAnsi="Arial Narrow" w:cs="Arial Narrow"/>
                <w:b/>
                <w:bCs/>
                <w:sz w:val="22"/>
                <w:szCs w:val="22"/>
              </w:rPr>
              <w:t>App Version:</w:t>
            </w:r>
          </w:p>
        </w:tc>
        <w:tc>
          <w:tcPr>
            <w:tcW w:w="6000" w:type="dxa"/>
          </w:tcPr>
          <w:p w14:paraId="144F331E" w14:textId="77777777" w:rsidR="006E211C" w:rsidRDefault="00000000">
            <w:r>
              <w:rPr>
                <w:rFonts w:ascii="Arial Narrow" w:eastAsia="Arial Narrow" w:hAnsi="Arial Narrow" w:cs="Arial Narrow"/>
                <w:sz w:val="22"/>
                <w:szCs w:val="22"/>
              </w:rPr>
              <w:t>1</w:t>
            </w:r>
          </w:p>
        </w:tc>
      </w:tr>
      <w:tr w:rsidR="006E211C" w14:paraId="2B64B2F1" w14:textId="77777777">
        <w:tblPrEx>
          <w:tblCellMar>
            <w:top w:w="0" w:type="dxa"/>
            <w:bottom w:w="0" w:type="dxa"/>
          </w:tblCellMar>
        </w:tblPrEx>
        <w:tc>
          <w:tcPr>
            <w:tcW w:w="3000" w:type="dxa"/>
          </w:tcPr>
          <w:p w14:paraId="7612443E" w14:textId="77777777" w:rsidR="006E211C" w:rsidRDefault="00000000">
            <w:r>
              <w:rPr>
                <w:rFonts w:ascii="Arial Narrow" w:eastAsia="Arial Narrow" w:hAnsi="Arial Narrow" w:cs="Arial Narrow"/>
                <w:b/>
                <w:bCs/>
                <w:sz w:val="22"/>
                <w:szCs w:val="22"/>
              </w:rPr>
              <w:t>Erstellt von:</w:t>
            </w:r>
          </w:p>
        </w:tc>
        <w:tc>
          <w:tcPr>
            <w:tcW w:w="6000" w:type="dxa"/>
          </w:tcPr>
          <w:p w14:paraId="35D0EEC4" w14:textId="77777777" w:rsidR="006E211C" w:rsidRDefault="00000000">
            <w:r>
              <w:rPr>
                <w:rFonts w:ascii="Arial Narrow" w:eastAsia="Arial Narrow" w:hAnsi="Arial Narrow" w:cs="Arial Narrow"/>
                <w:sz w:val="22"/>
                <w:szCs w:val="22"/>
              </w:rPr>
              <w:t>Erwin Moretz</w:t>
            </w:r>
          </w:p>
        </w:tc>
      </w:tr>
      <w:tr w:rsidR="006E211C" w14:paraId="4D76895C" w14:textId="77777777">
        <w:tblPrEx>
          <w:tblCellMar>
            <w:top w:w="0" w:type="dxa"/>
            <w:bottom w:w="0" w:type="dxa"/>
          </w:tblCellMar>
        </w:tblPrEx>
        <w:tc>
          <w:tcPr>
            <w:tcW w:w="3000" w:type="dxa"/>
          </w:tcPr>
          <w:p w14:paraId="513183F1" w14:textId="77777777" w:rsidR="006E211C" w:rsidRDefault="00000000">
            <w:r>
              <w:rPr>
                <w:rFonts w:ascii="Arial Narrow" w:eastAsia="Arial Narrow" w:hAnsi="Arial Narrow" w:cs="Arial Narrow"/>
                <w:b/>
                <w:bCs/>
                <w:sz w:val="22"/>
                <w:szCs w:val="22"/>
              </w:rPr>
              <w:t>Eingereicht an:</w:t>
            </w:r>
          </w:p>
        </w:tc>
        <w:tc>
          <w:tcPr>
            <w:tcW w:w="6000" w:type="dxa"/>
          </w:tcPr>
          <w:p w14:paraId="739F9DD2" w14:textId="77777777" w:rsidR="006E211C" w:rsidRDefault="00000000">
            <w:r>
              <w:rPr>
                <w:rFonts w:ascii="Arial Narrow" w:eastAsia="Arial Narrow" w:hAnsi="Arial Narrow" w:cs="Arial Narrow"/>
                <w:sz w:val="22"/>
                <w:szCs w:val="22"/>
              </w:rPr>
              <w:t>Waleri Moretz (Geschäftsführung)</w:t>
            </w:r>
          </w:p>
        </w:tc>
      </w:tr>
      <w:tr w:rsidR="006E211C" w14:paraId="6BCF1859" w14:textId="77777777">
        <w:tblPrEx>
          <w:tblCellMar>
            <w:top w:w="0" w:type="dxa"/>
            <w:bottom w:w="0" w:type="dxa"/>
          </w:tblCellMar>
        </w:tblPrEx>
        <w:tc>
          <w:tcPr>
            <w:tcW w:w="3000" w:type="dxa"/>
          </w:tcPr>
          <w:p w14:paraId="578062DD" w14:textId="77777777" w:rsidR="006E211C" w:rsidRDefault="00000000">
            <w:r>
              <w:rPr>
                <w:rFonts w:ascii="Arial Narrow" w:eastAsia="Arial Narrow" w:hAnsi="Arial Narrow" w:cs="Arial Narrow"/>
                <w:b/>
                <w:bCs/>
                <w:sz w:val="22"/>
                <w:szCs w:val="22"/>
              </w:rPr>
              <w:t>Adresse:</w:t>
            </w:r>
          </w:p>
        </w:tc>
        <w:tc>
          <w:tcPr>
            <w:tcW w:w="6000" w:type="dxa"/>
          </w:tcPr>
          <w:p w14:paraId="735DAD52" w14:textId="77777777" w:rsidR="006E211C" w:rsidRDefault="00000000">
            <w:proofErr w:type="spellStart"/>
            <w:r>
              <w:rPr>
                <w:rFonts w:ascii="Arial Narrow" w:eastAsia="Arial Narrow" w:hAnsi="Arial Narrow" w:cs="Arial Narrow"/>
                <w:sz w:val="22"/>
                <w:szCs w:val="22"/>
              </w:rPr>
              <w:t>Mergenthalerallee</w:t>
            </w:r>
            <w:proofErr w:type="spellEnd"/>
            <w:r>
              <w:rPr>
                <w:rFonts w:ascii="Arial Narrow" w:eastAsia="Arial Narrow" w:hAnsi="Arial Narrow" w:cs="Arial Narrow"/>
                <w:sz w:val="22"/>
                <w:szCs w:val="22"/>
              </w:rPr>
              <w:t xml:space="preserve"> 79-81, 65760 Eschborn</w:t>
            </w:r>
          </w:p>
        </w:tc>
      </w:tr>
      <w:tr w:rsidR="006E211C" w14:paraId="1DDE2789" w14:textId="77777777">
        <w:tblPrEx>
          <w:tblCellMar>
            <w:top w:w="0" w:type="dxa"/>
            <w:bottom w:w="0" w:type="dxa"/>
          </w:tblCellMar>
        </w:tblPrEx>
        <w:tc>
          <w:tcPr>
            <w:tcW w:w="3000" w:type="dxa"/>
          </w:tcPr>
          <w:p w14:paraId="02E60E63" w14:textId="77777777" w:rsidR="006E211C" w:rsidRDefault="00000000">
            <w:r>
              <w:rPr>
                <w:rFonts w:ascii="Arial Narrow" w:eastAsia="Arial Narrow" w:hAnsi="Arial Narrow" w:cs="Arial Narrow"/>
                <w:b/>
                <w:bCs/>
                <w:sz w:val="22"/>
                <w:szCs w:val="22"/>
              </w:rPr>
              <w:t>Datum:</w:t>
            </w:r>
          </w:p>
        </w:tc>
        <w:tc>
          <w:tcPr>
            <w:tcW w:w="6000" w:type="dxa"/>
          </w:tcPr>
          <w:p w14:paraId="4EC2AFC6" w14:textId="3B65EC9A" w:rsidR="006E211C" w:rsidRDefault="00000000">
            <w:r>
              <w:rPr>
                <w:rFonts w:ascii="Arial Narrow" w:eastAsia="Arial Narrow" w:hAnsi="Arial Narrow" w:cs="Arial Narrow"/>
                <w:sz w:val="22"/>
                <w:szCs w:val="22"/>
              </w:rPr>
              <w:t>1</w:t>
            </w:r>
            <w:r w:rsidR="00CD0B9A">
              <w:rPr>
                <w:rFonts w:ascii="Arial Narrow" w:eastAsia="Arial Narrow" w:hAnsi="Arial Narrow" w:cs="Arial Narrow"/>
                <w:sz w:val="22"/>
                <w:szCs w:val="22"/>
              </w:rPr>
              <w:t>9</w:t>
            </w:r>
            <w:r>
              <w:rPr>
                <w:rFonts w:ascii="Arial Narrow" w:eastAsia="Arial Narrow" w:hAnsi="Arial Narrow" w:cs="Arial Narrow"/>
                <w:sz w:val="22"/>
                <w:szCs w:val="22"/>
              </w:rPr>
              <w:t>.05.2026</w:t>
            </w:r>
          </w:p>
        </w:tc>
      </w:tr>
      <w:tr w:rsidR="006E211C" w14:paraId="5D6753E6" w14:textId="77777777">
        <w:tblPrEx>
          <w:tblCellMar>
            <w:top w:w="0" w:type="dxa"/>
            <w:bottom w:w="0" w:type="dxa"/>
          </w:tblCellMar>
        </w:tblPrEx>
        <w:tc>
          <w:tcPr>
            <w:tcW w:w="3000" w:type="dxa"/>
          </w:tcPr>
          <w:p w14:paraId="6E9F6CC3" w14:textId="77777777" w:rsidR="006E211C" w:rsidRDefault="00000000">
            <w:r>
              <w:rPr>
                <w:rFonts w:ascii="Arial Narrow" w:eastAsia="Arial Narrow" w:hAnsi="Arial Narrow" w:cs="Arial Narrow"/>
                <w:b/>
                <w:bCs/>
                <w:sz w:val="22"/>
                <w:szCs w:val="22"/>
              </w:rPr>
              <w:t>Vertraulichkeit:</w:t>
            </w:r>
          </w:p>
        </w:tc>
        <w:tc>
          <w:tcPr>
            <w:tcW w:w="6000" w:type="dxa"/>
          </w:tcPr>
          <w:p w14:paraId="751C654E" w14:textId="77777777" w:rsidR="006E211C" w:rsidRDefault="00000000">
            <w:r>
              <w:rPr>
                <w:rFonts w:ascii="Arial Narrow" w:eastAsia="Arial Narrow" w:hAnsi="Arial Narrow" w:cs="Arial Narrow"/>
                <w:sz w:val="22"/>
                <w:szCs w:val="22"/>
              </w:rPr>
              <w:t>Intern vertraulich</w:t>
            </w:r>
          </w:p>
        </w:tc>
      </w:tr>
      <w:tr w:rsidR="006E211C" w14:paraId="60295848" w14:textId="77777777">
        <w:tblPrEx>
          <w:tblCellMar>
            <w:top w:w="0" w:type="dxa"/>
            <w:bottom w:w="0" w:type="dxa"/>
          </w:tblCellMar>
        </w:tblPrEx>
        <w:tc>
          <w:tcPr>
            <w:tcW w:w="3000" w:type="dxa"/>
          </w:tcPr>
          <w:p w14:paraId="600A946A" w14:textId="77777777" w:rsidR="006E211C" w:rsidRDefault="00000000">
            <w:r>
              <w:rPr>
                <w:rFonts w:ascii="Arial Narrow" w:eastAsia="Arial Narrow" w:hAnsi="Arial Narrow" w:cs="Arial Narrow"/>
                <w:b/>
                <w:bCs/>
                <w:sz w:val="22"/>
                <w:szCs w:val="22"/>
              </w:rPr>
              <w:t>Status:</w:t>
            </w:r>
          </w:p>
        </w:tc>
        <w:tc>
          <w:tcPr>
            <w:tcW w:w="6000" w:type="dxa"/>
          </w:tcPr>
          <w:p w14:paraId="10EC9C00" w14:textId="77777777" w:rsidR="006E211C" w:rsidRDefault="00000000">
            <w:r>
              <w:rPr>
                <w:rFonts w:ascii="Arial Narrow" w:eastAsia="Arial Narrow" w:hAnsi="Arial Narrow" w:cs="Arial Narrow"/>
                <w:sz w:val="22"/>
                <w:szCs w:val="22"/>
              </w:rPr>
              <w:t>Zur Freigabe eingereicht</w:t>
            </w:r>
          </w:p>
        </w:tc>
      </w:tr>
    </w:tbl>
    <w:p w14:paraId="2D2CA969" w14:textId="77777777" w:rsidR="006E211C" w:rsidRDefault="006E211C">
      <w:pPr>
        <w:spacing w:after="120"/>
      </w:pPr>
    </w:p>
    <w:p w14:paraId="256BE029" w14:textId="77777777" w:rsidR="006E211C" w:rsidRDefault="006E211C">
      <w:pPr>
        <w:spacing w:after="120"/>
      </w:pPr>
    </w:p>
    <w:p w14:paraId="36835585" w14:textId="77777777" w:rsidR="006E211C" w:rsidRDefault="006E211C">
      <w:pPr>
        <w:pBdr>
          <w:bottom w:val="dashed" w:sz="6" w:space="0" w:color="AAAAAA"/>
        </w:pBdr>
      </w:pPr>
    </w:p>
    <w:p w14:paraId="677493E0" w14:textId="77777777" w:rsidR="006E211C" w:rsidRDefault="00000000">
      <w:pPr>
        <w:pageBreakBefore/>
      </w:pPr>
      <w:r>
        <w:lastRenderedPageBreak/>
        <w:br/>
      </w:r>
    </w:p>
    <w:p w14:paraId="7E59D9EE" w14:textId="77777777" w:rsidR="006E211C" w:rsidRDefault="00000000">
      <w:pPr>
        <w:spacing w:before="400" w:after="160"/>
      </w:pPr>
      <w:r>
        <w:rPr>
          <w:rFonts w:ascii="Arial Narrow" w:eastAsia="Arial Narrow" w:hAnsi="Arial Narrow" w:cs="Arial Narrow"/>
          <w:b/>
          <w:bCs/>
          <w:color w:val="000000"/>
          <w:sz w:val="34"/>
          <w:szCs w:val="34"/>
        </w:rPr>
        <w:t>1. Zusammenfassung</w:t>
      </w:r>
    </w:p>
    <w:p w14:paraId="580A6C55" w14:textId="77777777" w:rsidR="006E211C" w:rsidRDefault="00000000">
      <w:pPr>
        <w:spacing w:before="280" w:after="100"/>
      </w:pPr>
      <w:r>
        <w:rPr>
          <w:rFonts w:ascii="Arial Narrow" w:eastAsia="Arial Narrow" w:hAnsi="Arial Narrow" w:cs="Arial Narrow"/>
          <w:b/>
          <w:bCs/>
          <w:color w:val="333333"/>
          <w:sz w:val="26"/>
          <w:szCs w:val="26"/>
        </w:rPr>
        <w:t>1.1 Die Idee</w:t>
      </w:r>
    </w:p>
    <w:p w14:paraId="22EACFDF" w14:textId="77777777" w:rsidR="006E211C" w:rsidRDefault="00000000">
      <w:pPr>
        <w:pBdr>
          <w:left w:val="thick" w:sz="12" w:space="0" w:color="CC0000"/>
        </w:pBdr>
        <w:spacing w:before="120" w:after="180"/>
      </w:pPr>
      <w:r>
        <w:rPr>
          <w:rFonts w:ascii="Arial Narrow" w:eastAsia="Arial Narrow" w:hAnsi="Arial Narrow" w:cs="Arial Narrow"/>
          <w:b/>
          <w:bCs/>
          <w:i/>
          <w:iCs/>
          <w:color w:val="CC0000"/>
          <w:sz w:val="22"/>
          <w:szCs w:val="22"/>
        </w:rPr>
        <w:t xml:space="preserve">Rechtlicher Hinweis: </w:t>
      </w:r>
      <w:proofErr w:type="spellStart"/>
      <w:r>
        <w:rPr>
          <w:rFonts w:ascii="Arial Narrow" w:eastAsia="Arial Narrow" w:hAnsi="Arial Narrow" w:cs="Arial Narrow"/>
          <w:b/>
          <w:bCs/>
          <w:i/>
          <w:iCs/>
          <w:color w:val="CC0000"/>
          <w:sz w:val="22"/>
          <w:szCs w:val="22"/>
        </w:rPr>
        <w:t>NebenkostenCheck</w:t>
      </w:r>
      <w:proofErr w:type="spellEnd"/>
      <w:r>
        <w:rPr>
          <w:rFonts w:ascii="Arial Narrow" w:eastAsia="Arial Narrow" w:hAnsi="Arial Narrow" w:cs="Arial Narrow"/>
          <w:b/>
          <w:bCs/>
          <w:i/>
          <w:iCs/>
          <w:color w:val="CC0000"/>
          <w:sz w:val="22"/>
          <w:szCs w:val="22"/>
        </w:rPr>
        <w:t xml:space="preserve"> ist ein Informations- und Automatisierungstool. Die App stellt auf Basis Ihrer Eingaben die abstrakte Rechtslage nach der Betriebskostenverordnung (BetrKV) und Heizkostenverordnung (HKVO) schematisch dar. Sie erbringt keine Bewertung Ihres konkreten Einzelfalls und keine Rechtsdienstleistung im Sinne des §2 RDG. Die generierten Informationen und Musterschreiben ersetzen keine Beratung durch einen qualifizierten Rechtsanwalt. Für die inhaltliche Überprüfung und den Versand Ihres Widerspruchs sind Sie selbst verantwortlich.</w:t>
      </w:r>
    </w:p>
    <w:p w14:paraId="2535736F" w14:textId="77777777" w:rsidR="006E211C" w:rsidRDefault="00000000">
      <w:pPr>
        <w:spacing w:after="120"/>
      </w:pPr>
      <w:proofErr w:type="spellStart"/>
      <w:r>
        <w:rPr>
          <w:rFonts w:ascii="Arial Narrow" w:eastAsia="Arial Narrow" w:hAnsi="Arial Narrow" w:cs="Arial Narrow"/>
          <w:sz w:val="22"/>
          <w:szCs w:val="22"/>
        </w:rPr>
        <w:t>NebenkostenCheck</w:t>
      </w:r>
      <w:proofErr w:type="spellEnd"/>
      <w:r>
        <w:rPr>
          <w:rFonts w:ascii="Arial Narrow" w:eastAsia="Arial Narrow" w:hAnsi="Arial Narrow" w:cs="Arial Narrow"/>
          <w:sz w:val="22"/>
          <w:szCs w:val="22"/>
        </w:rPr>
        <w:t xml:space="preserve"> ist eine interaktive Web-App, die Mieter in Deutschland Schritt für Schritt durch die Prüfung ihrer jährlichen Nebenkostenabrechnung führt. Das System prüft jede abgerechnete Position gegen § 556 BGB</w:t>
      </w:r>
      <w:r>
        <w:rPr>
          <w:rStyle w:val="Funotenzeichen"/>
        </w:rPr>
        <w:footnoteReference w:id="1"/>
      </w:r>
      <w:r>
        <w:rPr>
          <w:rFonts w:ascii="Arial Narrow" w:eastAsia="Arial Narrow" w:hAnsi="Arial Narrow" w:cs="Arial Narrow"/>
          <w:sz w:val="22"/>
          <w:szCs w:val="22"/>
        </w:rPr>
        <w:t xml:space="preserve"> und die abschließende Liste der Betriebskostenverordnung (BetrKV</w:t>
      </w:r>
      <w:r>
        <w:rPr>
          <w:rStyle w:val="Funotenzeichen"/>
        </w:rPr>
        <w:footnoteReference w:id="2"/>
      </w:r>
      <w:r>
        <w:rPr>
          <w:rFonts w:ascii="Arial Narrow" w:eastAsia="Arial Narrow" w:hAnsi="Arial Narrow" w:cs="Arial Narrow"/>
          <w:sz w:val="22"/>
          <w:szCs w:val="22"/>
        </w:rPr>
        <w:t>), identifiziert unzulässige oder formal fehlerhafte Positionen, validiert die Heizkostenabrechnung nach der Heizkostenverordnung (HKVO</w:t>
      </w:r>
      <w:r>
        <w:rPr>
          <w:rStyle w:val="Funotenzeichen"/>
        </w:rPr>
        <w:footnoteReference w:id="3"/>
      </w:r>
      <w:r>
        <w:rPr>
          <w:rFonts w:ascii="Arial Narrow" w:eastAsia="Arial Narrow" w:hAnsi="Arial Narrow" w:cs="Arial Narrow"/>
          <w:sz w:val="22"/>
          <w:szCs w:val="22"/>
        </w:rPr>
        <w:t>) und erstellt auf Wunsch einen vorformulierten Mustertext für ein Widerspruchsschreiben an den Vermieter oder die Hausverwaltung.</w:t>
      </w:r>
    </w:p>
    <w:p w14:paraId="0E9A1F80" w14:textId="77777777" w:rsidR="006E211C" w:rsidRDefault="00000000">
      <w:pPr>
        <w:spacing w:after="120"/>
      </w:pPr>
      <w:r>
        <w:rPr>
          <w:rFonts w:ascii="Arial Narrow" w:eastAsia="Arial Narrow" w:hAnsi="Arial Narrow" w:cs="Arial Narrow"/>
          <w:sz w:val="22"/>
          <w:szCs w:val="22"/>
        </w:rPr>
        <w:t xml:space="preserve">Das Kernprinzip: Der Mieter gibt die Positionen seiner Nebenkostenabrechnung strukturiert in das System ein. </w:t>
      </w:r>
      <w:proofErr w:type="spellStart"/>
      <w:r>
        <w:rPr>
          <w:rFonts w:ascii="Arial Narrow" w:eastAsia="Arial Narrow" w:hAnsi="Arial Narrow" w:cs="Arial Narrow"/>
          <w:sz w:val="22"/>
          <w:szCs w:val="22"/>
        </w:rPr>
        <w:t>NebenkostenCheck</w:t>
      </w:r>
      <w:proofErr w:type="spellEnd"/>
      <w:r>
        <w:rPr>
          <w:rFonts w:ascii="Arial Narrow" w:eastAsia="Arial Narrow" w:hAnsi="Arial Narrow" w:cs="Arial Narrow"/>
          <w:sz w:val="22"/>
          <w:szCs w:val="22"/>
        </w:rPr>
        <w:t xml:space="preserve"> prüft jede Position automatisch gegen die gesetzlich zulässige Liste der BetrKV, berechnet Abweichungen, erklärt jeden Befund in verständlicher Sprache und gibt dem Mieter ein vollständiges Prüfergebnis. Bei festgestellten Mängeln erstellt das System auf Wunsch einen vorformulierten Mustertext für ein Widerspruchsschreiben mit Gesetzesreferenzen.</w:t>
      </w:r>
    </w:p>
    <w:p w14:paraId="49B7317D" w14:textId="77777777" w:rsidR="006E211C" w:rsidRDefault="00000000">
      <w:pPr>
        <w:spacing w:after="120"/>
      </w:pPr>
      <w:r>
        <w:rPr>
          <w:rFonts w:ascii="Arial Narrow" w:eastAsia="Arial Narrow" w:hAnsi="Arial Narrow" w:cs="Arial Narrow"/>
          <w:sz w:val="22"/>
          <w:szCs w:val="22"/>
        </w:rPr>
        <w:t>Alle Abrechnungen werden archiviert, und die gesetzliche Einwendungsfrist von zwölf Monaten nach § 556 Abs. 3 BGB</w:t>
      </w:r>
      <w:r>
        <w:rPr>
          <w:rStyle w:val="Funotenzeichen"/>
        </w:rPr>
        <w:footnoteReference w:id="4"/>
      </w:r>
      <w:r>
        <w:rPr>
          <w:rFonts w:ascii="Arial Narrow" w:eastAsia="Arial Narrow" w:hAnsi="Arial Narrow" w:cs="Arial Narrow"/>
          <w:sz w:val="22"/>
          <w:szCs w:val="22"/>
        </w:rPr>
        <w:t xml:space="preserve"> wird automatisch überwacht und dem Mieter mit Erinnerungsbenachrichtigungen angezeigt.</w:t>
      </w:r>
    </w:p>
    <w:p w14:paraId="13F266E6" w14:textId="77777777" w:rsidR="006E211C" w:rsidRDefault="00000000">
      <w:pPr>
        <w:spacing w:before="280" w:after="100"/>
      </w:pPr>
      <w:r>
        <w:rPr>
          <w:rFonts w:ascii="Arial Narrow" w:eastAsia="Arial Narrow" w:hAnsi="Arial Narrow" w:cs="Arial Narrow"/>
          <w:b/>
          <w:bCs/>
          <w:color w:val="333333"/>
          <w:sz w:val="26"/>
          <w:szCs w:val="26"/>
        </w:rPr>
        <w:t>1.2 Das Alleinstellungsmerkmal</w:t>
      </w:r>
    </w:p>
    <w:p w14:paraId="55623AE7" w14:textId="77777777" w:rsidR="006E211C" w:rsidRDefault="00000000">
      <w:pPr>
        <w:spacing w:after="120"/>
      </w:pPr>
      <w:proofErr w:type="spellStart"/>
      <w:r>
        <w:rPr>
          <w:rFonts w:ascii="Arial Narrow" w:eastAsia="Arial Narrow" w:hAnsi="Arial Narrow" w:cs="Arial Narrow"/>
          <w:sz w:val="22"/>
          <w:szCs w:val="22"/>
        </w:rPr>
        <w:t>NebenkostenCheck</w:t>
      </w:r>
      <w:proofErr w:type="spellEnd"/>
      <w:r>
        <w:rPr>
          <w:rFonts w:ascii="Arial Narrow" w:eastAsia="Arial Narrow" w:hAnsi="Arial Narrow" w:cs="Arial Narrow"/>
          <w:sz w:val="22"/>
          <w:szCs w:val="22"/>
        </w:rPr>
        <w:t xml:space="preserve"> ist das erste digitale Werkzeug in Deutschland, das Mieter interaktiv und vollständig durch die Prüfung einer Nebenkostenabrechnung führt, ohne Mitgliedschaft im Mieterbund, ohne Anwaltskosten und ohne Vorkenntnisse im Mietrecht. Kein bekanntes Angebot kombiniert interaktive Positionsprüfung, gesetzeskonforme Kategorisierung nach BetrKV, Betragsberechnung, HKVO-Validierung und Widerspruchsschreiben-Generator in einem einzigen digitalen Werkzeug.</w:t>
      </w:r>
    </w:p>
    <w:p w14:paraId="347A9659" w14:textId="77777777" w:rsidR="006E211C" w:rsidRDefault="00000000">
      <w:pPr>
        <w:spacing w:before="280" w:after="100"/>
      </w:pPr>
      <w:r>
        <w:rPr>
          <w:rFonts w:ascii="Arial Narrow" w:eastAsia="Arial Narrow" w:hAnsi="Arial Narrow" w:cs="Arial Narrow"/>
          <w:b/>
          <w:bCs/>
          <w:color w:val="333333"/>
          <w:sz w:val="26"/>
          <w:szCs w:val="26"/>
        </w:rPr>
        <w:t>1.3 Warum jetzt?</w:t>
      </w:r>
    </w:p>
    <w:p w14:paraId="5DE6936C" w14:textId="77777777" w:rsidR="006E211C" w:rsidRDefault="00000000">
      <w:pPr>
        <w:spacing w:after="120"/>
      </w:pPr>
      <w:r>
        <w:rPr>
          <w:rFonts w:ascii="Arial Narrow" w:eastAsia="Arial Narrow" w:hAnsi="Arial Narrow" w:cs="Arial Narrow"/>
          <w:sz w:val="22"/>
          <w:szCs w:val="22"/>
        </w:rPr>
        <w:t>Rund 28 Millionen Mieterhaushalte in Deutschland erhalten einmal jährlich eine Nebenkostenabrechnung. Deutschland hat mit ca. 46% Mietanteil an allen Haushalten die höchste Mietquote in der Europäischen Union. Laut dem Deutschen Mieterbund zählen Nebenkostenfragen konsistent zu den drei häufigsten Anfragethemen in seinen Beratungsstellen, ein klares Signal für die Fehleranfälligkeit und den ungedeckten Beratungsbedarf in diesem Bereich.</w:t>
      </w:r>
    </w:p>
    <w:p w14:paraId="71B26DD3" w14:textId="77777777" w:rsidR="006E211C" w:rsidRDefault="00000000">
      <w:pPr>
        <w:spacing w:after="120"/>
      </w:pPr>
      <w:r>
        <w:rPr>
          <w:rFonts w:ascii="Arial Narrow" w:eastAsia="Arial Narrow" w:hAnsi="Arial Narrow" w:cs="Arial Narrow"/>
          <w:sz w:val="22"/>
          <w:szCs w:val="22"/>
        </w:rPr>
        <w:lastRenderedPageBreak/>
        <w:t>Die gesetzliche Einwendungsfrist nach § 556 Abs. 3 BGB</w:t>
      </w:r>
      <w:r>
        <w:rPr>
          <w:rStyle w:val="Funotenzeichen"/>
        </w:rPr>
        <w:footnoteReference w:id="5"/>
      </w:r>
      <w:r>
        <w:rPr>
          <w:rFonts w:ascii="Arial Narrow" w:eastAsia="Arial Narrow" w:hAnsi="Arial Narrow" w:cs="Arial Narrow"/>
          <w:sz w:val="22"/>
          <w:szCs w:val="22"/>
        </w:rPr>
        <w:t xml:space="preserve"> erzeugt jedes Jahr ein definitives Handlungsfenster: Wer nicht innerhalb von zwölf Monaten nach Zugang der Abrechnung widerspricht, verliert sein Widerspruchsrecht vollständig. Dieser gesetzlich erzwungene jährliche Handlungsdruck schafft ein stabiles, wiederkehrendes Nutzungsszenario ohne saisonales Marketingbudget. Steigende Energiekosten haben die Sensibilisierung der Mieter für Fehler in Nebenkostenabrechnungen in den letzten Jahren deutlich erhöht. Der Zeitpunkt ist günstig, und die Marktlücke ist klar belegbar.</w:t>
      </w:r>
    </w:p>
    <w:p w14:paraId="652C1E74" w14:textId="77777777" w:rsidR="006E211C" w:rsidRDefault="00000000">
      <w:pPr>
        <w:spacing w:after="120"/>
      </w:pPr>
      <w:r>
        <w:rPr>
          <w:rFonts w:ascii="Arial Narrow" w:eastAsia="Arial Narrow" w:hAnsi="Arial Narrow" w:cs="Arial Narrow"/>
          <w:sz w:val="22"/>
          <w:szCs w:val="22"/>
        </w:rPr>
        <w:t>Die folgende Tabelle zeigt die zentralen Kennzahlen zur Größe des deutschen Mietmarkts:</w:t>
      </w:r>
    </w:p>
    <w:p w14:paraId="68992A12" w14:textId="77777777" w:rsidR="006E211C" w:rsidRDefault="006E211C">
      <w:pPr>
        <w:spacing w:after="12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2400"/>
      </w:tblGrid>
      <w:tr w:rsidR="006E211C" w14:paraId="32BFE578" w14:textId="77777777">
        <w:tblPrEx>
          <w:tblCellMar>
            <w:top w:w="0" w:type="dxa"/>
            <w:bottom w:w="0" w:type="dxa"/>
          </w:tblCellMar>
        </w:tblPrEx>
        <w:trPr>
          <w:tblHeader/>
        </w:trPr>
        <w:tc>
          <w:tcPr>
            <w:tcW w:w="3200" w:type="dxa"/>
            <w:shd w:val="clear" w:color="auto" w:fill="000000"/>
          </w:tcPr>
          <w:p w14:paraId="56EFDDE3" w14:textId="77777777" w:rsidR="006E211C" w:rsidRDefault="00000000">
            <w:pPr>
              <w:jc w:val="center"/>
            </w:pPr>
            <w:r>
              <w:rPr>
                <w:rFonts w:ascii="Arial Narrow" w:eastAsia="Arial Narrow" w:hAnsi="Arial Narrow" w:cs="Arial Narrow"/>
                <w:b/>
                <w:bCs/>
                <w:color w:val="FFFFFF"/>
              </w:rPr>
              <w:t>Kennzahl</w:t>
            </w:r>
          </w:p>
        </w:tc>
        <w:tc>
          <w:tcPr>
            <w:tcW w:w="2200" w:type="dxa"/>
            <w:shd w:val="clear" w:color="auto" w:fill="000000"/>
          </w:tcPr>
          <w:p w14:paraId="4B203624" w14:textId="77777777" w:rsidR="006E211C" w:rsidRDefault="00000000">
            <w:pPr>
              <w:jc w:val="center"/>
            </w:pPr>
            <w:r>
              <w:rPr>
                <w:rFonts w:ascii="Arial Narrow" w:eastAsia="Arial Narrow" w:hAnsi="Arial Narrow" w:cs="Arial Narrow"/>
                <w:b/>
                <w:bCs/>
                <w:color w:val="FFFFFF"/>
              </w:rPr>
              <w:t>Wert</w:t>
            </w:r>
          </w:p>
        </w:tc>
        <w:tc>
          <w:tcPr>
            <w:tcW w:w="2400" w:type="dxa"/>
            <w:shd w:val="clear" w:color="auto" w:fill="000000"/>
          </w:tcPr>
          <w:p w14:paraId="2DC9D367" w14:textId="77777777" w:rsidR="006E211C" w:rsidRDefault="00000000">
            <w:pPr>
              <w:jc w:val="center"/>
            </w:pPr>
            <w:r>
              <w:rPr>
                <w:rFonts w:ascii="Arial Narrow" w:eastAsia="Arial Narrow" w:hAnsi="Arial Narrow" w:cs="Arial Narrow"/>
                <w:b/>
                <w:bCs/>
                <w:color w:val="FFFFFF"/>
              </w:rPr>
              <w:t>Quelle</w:t>
            </w:r>
          </w:p>
        </w:tc>
      </w:tr>
      <w:tr w:rsidR="006E211C" w14:paraId="6778DD71" w14:textId="77777777">
        <w:tblPrEx>
          <w:tblCellMar>
            <w:top w:w="0" w:type="dxa"/>
            <w:bottom w:w="0" w:type="dxa"/>
          </w:tblCellMar>
        </w:tblPrEx>
        <w:tc>
          <w:tcPr>
            <w:tcW w:w="3200" w:type="dxa"/>
            <w:shd w:val="clear" w:color="auto" w:fill="FFFFFF"/>
          </w:tcPr>
          <w:p w14:paraId="06D2F846" w14:textId="77777777" w:rsidR="006E211C" w:rsidRDefault="00000000">
            <w:r>
              <w:rPr>
                <w:rFonts w:ascii="Arial Narrow" w:eastAsia="Arial Narrow" w:hAnsi="Arial Narrow" w:cs="Arial Narrow"/>
              </w:rPr>
              <w:t>Mieterhaushalte in Deutschland</w:t>
            </w:r>
          </w:p>
        </w:tc>
        <w:tc>
          <w:tcPr>
            <w:tcW w:w="2200" w:type="dxa"/>
            <w:shd w:val="clear" w:color="auto" w:fill="FFFFFF"/>
          </w:tcPr>
          <w:p w14:paraId="668B5A70" w14:textId="77777777" w:rsidR="006E211C" w:rsidRDefault="00000000">
            <w:r>
              <w:rPr>
                <w:rFonts w:ascii="Arial Narrow" w:eastAsia="Arial Narrow" w:hAnsi="Arial Narrow" w:cs="Arial Narrow"/>
              </w:rPr>
              <w:t>ca. 28 Millionen</w:t>
            </w:r>
          </w:p>
        </w:tc>
        <w:tc>
          <w:tcPr>
            <w:tcW w:w="2400" w:type="dxa"/>
            <w:shd w:val="clear" w:color="auto" w:fill="FFFFFF"/>
          </w:tcPr>
          <w:p w14:paraId="0B195FB2" w14:textId="77777777" w:rsidR="006E211C" w:rsidRDefault="00000000">
            <w:r>
              <w:rPr>
                <w:rFonts w:ascii="Arial Narrow" w:eastAsia="Arial Narrow" w:hAnsi="Arial Narrow" w:cs="Arial Narrow"/>
              </w:rPr>
              <w:t>Destatis, Mikrozensus 2025, destatis.de (abgerufen Mai 2026)</w:t>
            </w:r>
          </w:p>
        </w:tc>
      </w:tr>
      <w:tr w:rsidR="006E211C" w14:paraId="1C294B0C" w14:textId="77777777">
        <w:tblPrEx>
          <w:tblCellMar>
            <w:top w:w="0" w:type="dxa"/>
            <w:bottom w:w="0" w:type="dxa"/>
          </w:tblCellMar>
        </w:tblPrEx>
        <w:tc>
          <w:tcPr>
            <w:tcW w:w="3200" w:type="dxa"/>
            <w:shd w:val="clear" w:color="auto" w:fill="F5F5F5"/>
          </w:tcPr>
          <w:p w14:paraId="22D43795" w14:textId="77777777" w:rsidR="006E211C" w:rsidRDefault="00000000">
            <w:r>
              <w:rPr>
                <w:rFonts w:ascii="Arial Narrow" w:eastAsia="Arial Narrow" w:hAnsi="Arial Narrow" w:cs="Arial Narrow"/>
              </w:rPr>
              <w:t>Mietquote an allen Haushalten</w:t>
            </w:r>
          </w:p>
        </w:tc>
        <w:tc>
          <w:tcPr>
            <w:tcW w:w="2200" w:type="dxa"/>
            <w:shd w:val="clear" w:color="auto" w:fill="F5F5F5"/>
          </w:tcPr>
          <w:p w14:paraId="42650873" w14:textId="77777777" w:rsidR="006E211C" w:rsidRDefault="00000000">
            <w:r>
              <w:rPr>
                <w:rFonts w:ascii="Arial Narrow" w:eastAsia="Arial Narrow" w:hAnsi="Arial Narrow" w:cs="Arial Narrow"/>
              </w:rPr>
              <w:t>ca. 46%</w:t>
            </w:r>
          </w:p>
        </w:tc>
        <w:tc>
          <w:tcPr>
            <w:tcW w:w="2400" w:type="dxa"/>
            <w:shd w:val="clear" w:color="auto" w:fill="F5F5F5"/>
          </w:tcPr>
          <w:p w14:paraId="3901FBE5" w14:textId="77777777" w:rsidR="006E211C" w:rsidRDefault="00000000">
            <w:r>
              <w:rPr>
                <w:rFonts w:ascii="Arial Narrow" w:eastAsia="Arial Narrow" w:hAnsi="Arial Narrow" w:cs="Arial Narrow"/>
              </w:rPr>
              <w:t>Destatis, Mikrozensus 2025, destatis.de (abgerufen Mai 2026)</w:t>
            </w:r>
          </w:p>
        </w:tc>
      </w:tr>
      <w:tr w:rsidR="006E211C" w14:paraId="18AAA54E" w14:textId="77777777">
        <w:tblPrEx>
          <w:tblCellMar>
            <w:top w:w="0" w:type="dxa"/>
            <w:bottom w:w="0" w:type="dxa"/>
          </w:tblCellMar>
        </w:tblPrEx>
        <w:tc>
          <w:tcPr>
            <w:tcW w:w="3200" w:type="dxa"/>
            <w:shd w:val="clear" w:color="auto" w:fill="FFFFFF"/>
          </w:tcPr>
          <w:p w14:paraId="7730D071" w14:textId="77777777" w:rsidR="006E211C" w:rsidRDefault="00000000">
            <w:r>
              <w:rPr>
                <w:rFonts w:ascii="Arial Narrow" w:eastAsia="Arial Narrow" w:hAnsi="Arial Narrow" w:cs="Arial Narrow"/>
              </w:rPr>
              <w:t>Mietquote: Rang in der EU</w:t>
            </w:r>
          </w:p>
        </w:tc>
        <w:tc>
          <w:tcPr>
            <w:tcW w:w="2200" w:type="dxa"/>
            <w:shd w:val="clear" w:color="auto" w:fill="FFFFFF"/>
          </w:tcPr>
          <w:p w14:paraId="26B96B06" w14:textId="77777777" w:rsidR="006E211C" w:rsidRDefault="00000000">
            <w:r>
              <w:rPr>
                <w:rFonts w:ascii="Arial Narrow" w:eastAsia="Arial Narrow" w:hAnsi="Arial Narrow" w:cs="Arial Narrow"/>
              </w:rPr>
              <w:t>Höchste Mietquote in der EU</w:t>
            </w:r>
          </w:p>
        </w:tc>
        <w:tc>
          <w:tcPr>
            <w:tcW w:w="2400" w:type="dxa"/>
            <w:shd w:val="clear" w:color="auto" w:fill="FFFFFF"/>
          </w:tcPr>
          <w:p w14:paraId="324B9547" w14:textId="77777777" w:rsidR="006E211C" w:rsidRDefault="00000000">
            <w:r>
              <w:rPr>
                <w:rFonts w:ascii="Arial Narrow" w:eastAsia="Arial Narrow" w:hAnsi="Arial Narrow" w:cs="Arial Narrow"/>
              </w:rPr>
              <w:t xml:space="preserve">Eurostat, Housing </w:t>
            </w:r>
            <w:proofErr w:type="spellStart"/>
            <w:r>
              <w:rPr>
                <w:rFonts w:ascii="Arial Narrow" w:eastAsia="Arial Narrow" w:hAnsi="Arial Narrow" w:cs="Arial Narrow"/>
              </w:rPr>
              <w:t>statistics</w:t>
            </w:r>
            <w:proofErr w:type="spellEnd"/>
            <w:r>
              <w:rPr>
                <w:rFonts w:ascii="Arial Narrow" w:eastAsia="Arial Narrow" w:hAnsi="Arial Narrow" w:cs="Arial Narrow"/>
              </w:rPr>
              <w:t xml:space="preserve">, </w:t>
            </w:r>
            <w:proofErr w:type="spellStart"/>
            <w:r>
              <w:rPr>
                <w:rFonts w:ascii="Arial Narrow" w:eastAsia="Arial Narrow" w:hAnsi="Arial Narrow" w:cs="Arial Narrow"/>
              </w:rPr>
              <w:t>Statistics</w:t>
            </w:r>
            <w:proofErr w:type="spellEnd"/>
            <w:r>
              <w:rPr>
                <w:rFonts w:ascii="Arial Narrow" w:eastAsia="Arial Narrow" w:hAnsi="Arial Narrow" w:cs="Arial Narrow"/>
              </w:rPr>
              <w:t xml:space="preserve"> </w:t>
            </w:r>
            <w:proofErr w:type="spellStart"/>
            <w:r>
              <w:rPr>
                <w:rFonts w:ascii="Arial Narrow" w:eastAsia="Arial Narrow" w:hAnsi="Arial Narrow" w:cs="Arial Narrow"/>
              </w:rPr>
              <w:t>Explained</w:t>
            </w:r>
            <w:proofErr w:type="spellEnd"/>
            <w:r>
              <w:rPr>
                <w:rFonts w:ascii="Arial Narrow" w:eastAsia="Arial Narrow" w:hAnsi="Arial Narrow" w:cs="Arial Narrow"/>
              </w:rPr>
              <w:t xml:space="preserve"> (abgerufen Mai 2026)</w:t>
            </w:r>
          </w:p>
        </w:tc>
      </w:tr>
      <w:tr w:rsidR="006E211C" w14:paraId="0C9DDECD" w14:textId="77777777">
        <w:tblPrEx>
          <w:tblCellMar>
            <w:top w:w="0" w:type="dxa"/>
            <w:bottom w:w="0" w:type="dxa"/>
          </w:tblCellMar>
        </w:tblPrEx>
        <w:tc>
          <w:tcPr>
            <w:tcW w:w="3200" w:type="dxa"/>
            <w:shd w:val="clear" w:color="auto" w:fill="F5F5F5"/>
          </w:tcPr>
          <w:p w14:paraId="65945303" w14:textId="77777777" w:rsidR="006E211C" w:rsidRDefault="00000000">
            <w:r>
              <w:rPr>
                <w:rFonts w:ascii="Arial Narrow" w:eastAsia="Arial Narrow" w:hAnsi="Arial Narrow" w:cs="Arial Narrow"/>
              </w:rPr>
              <w:t>Jährliche Nebenkostenabrechnungen</w:t>
            </w:r>
          </w:p>
        </w:tc>
        <w:tc>
          <w:tcPr>
            <w:tcW w:w="2200" w:type="dxa"/>
            <w:shd w:val="clear" w:color="auto" w:fill="F5F5F5"/>
          </w:tcPr>
          <w:p w14:paraId="06418458" w14:textId="77777777" w:rsidR="006E211C" w:rsidRDefault="00000000">
            <w:r>
              <w:rPr>
                <w:rFonts w:ascii="Arial Narrow" w:eastAsia="Arial Narrow" w:hAnsi="Arial Narrow" w:cs="Arial Narrow"/>
              </w:rPr>
              <w:t>ca. 28 Millionen pro Jahr</w:t>
            </w:r>
          </w:p>
        </w:tc>
        <w:tc>
          <w:tcPr>
            <w:tcW w:w="2400" w:type="dxa"/>
            <w:shd w:val="clear" w:color="auto" w:fill="F5F5F5"/>
          </w:tcPr>
          <w:p w14:paraId="1A7EC6D0" w14:textId="77777777" w:rsidR="006E211C" w:rsidRDefault="00000000">
            <w:r>
              <w:rPr>
                <w:rFonts w:ascii="Arial Narrow" w:eastAsia="Arial Narrow" w:hAnsi="Arial Narrow" w:cs="Arial Narrow"/>
              </w:rPr>
              <w:t>Eigene Schätzung auf Basis Destatis, Mikrozensus 2025</w:t>
            </w:r>
          </w:p>
        </w:tc>
      </w:tr>
      <w:tr w:rsidR="006E211C" w14:paraId="23CF1C51" w14:textId="77777777">
        <w:tblPrEx>
          <w:tblCellMar>
            <w:top w:w="0" w:type="dxa"/>
            <w:bottom w:w="0" w:type="dxa"/>
          </w:tblCellMar>
        </w:tblPrEx>
        <w:tc>
          <w:tcPr>
            <w:tcW w:w="3200" w:type="dxa"/>
            <w:shd w:val="clear" w:color="auto" w:fill="FFFFFF"/>
          </w:tcPr>
          <w:p w14:paraId="1F790BA8" w14:textId="77777777" w:rsidR="006E211C" w:rsidRDefault="00000000">
            <w:r>
              <w:rPr>
                <w:rFonts w:ascii="Arial Narrow" w:eastAsia="Arial Narrow" w:hAnsi="Arial Narrow" w:cs="Arial Narrow"/>
              </w:rPr>
              <w:t>Durchschnittliche Nebenkosten (kalt)</w:t>
            </w:r>
          </w:p>
        </w:tc>
        <w:tc>
          <w:tcPr>
            <w:tcW w:w="2200" w:type="dxa"/>
            <w:shd w:val="clear" w:color="auto" w:fill="FFFFFF"/>
          </w:tcPr>
          <w:p w14:paraId="01C0F3D1" w14:textId="77777777" w:rsidR="006E211C" w:rsidRDefault="00000000">
            <w:r>
              <w:rPr>
                <w:rFonts w:ascii="Arial Narrow" w:eastAsia="Arial Narrow" w:hAnsi="Arial Narrow" w:cs="Arial Narrow"/>
              </w:rPr>
              <w:t>ca. 2,35 Euro pro m² pro Monat</w:t>
            </w:r>
          </w:p>
        </w:tc>
        <w:tc>
          <w:tcPr>
            <w:tcW w:w="2400" w:type="dxa"/>
            <w:shd w:val="clear" w:color="auto" w:fill="FFFFFF"/>
          </w:tcPr>
          <w:p w14:paraId="62564CD9" w14:textId="77777777" w:rsidR="006E211C" w:rsidRDefault="00000000">
            <w:r>
              <w:rPr>
                <w:rFonts w:ascii="Arial Narrow" w:eastAsia="Arial Narrow" w:hAnsi="Arial Narrow" w:cs="Arial Narrow"/>
              </w:rPr>
              <w:t>VDIV, Betriebskostenspiegel 2026, vdiv.de (abgerufen Mai 2026)</w:t>
            </w:r>
          </w:p>
        </w:tc>
      </w:tr>
      <w:tr w:rsidR="006E211C" w14:paraId="0348140D" w14:textId="77777777">
        <w:tblPrEx>
          <w:tblCellMar>
            <w:top w:w="0" w:type="dxa"/>
            <w:bottom w:w="0" w:type="dxa"/>
          </w:tblCellMar>
        </w:tblPrEx>
        <w:tc>
          <w:tcPr>
            <w:tcW w:w="3200" w:type="dxa"/>
            <w:shd w:val="clear" w:color="auto" w:fill="F5F5F5"/>
          </w:tcPr>
          <w:p w14:paraId="5B7E2717" w14:textId="77777777" w:rsidR="006E211C" w:rsidRDefault="00000000">
            <w:r>
              <w:rPr>
                <w:rFonts w:ascii="Arial Narrow" w:eastAsia="Arial Narrow" w:hAnsi="Arial Narrow" w:cs="Arial Narrow"/>
              </w:rPr>
              <w:t>Einwendungsfrist nach §556 Abs. 3 BGB</w:t>
            </w:r>
          </w:p>
        </w:tc>
        <w:tc>
          <w:tcPr>
            <w:tcW w:w="2200" w:type="dxa"/>
            <w:shd w:val="clear" w:color="auto" w:fill="F5F5F5"/>
          </w:tcPr>
          <w:p w14:paraId="11AE8B21" w14:textId="77777777" w:rsidR="006E211C" w:rsidRDefault="00000000">
            <w:r>
              <w:rPr>
                <w:rFonts w:ascii="Arial Narrow" w:eastAsia="Arial Narrow" w:hAnsi="Arial Narrow" w:cs="Arial Narrow"/>
              </w:rPr>
              <w:t>12 Monate nach Zugang der Abrechnung</w:t>
            </w:r>
          </w:p>
        </w:tc>
        <w:tc>
          <w:tcPr>
            <w:tcW w:w="2400" w:type="dxa"/>
            <w:shd w:val="clear" w:color="auto" w:fill="F5F5F5"/>
          </w:tcPr>
          <w:p w14:paraId="701C286F" w14:textId="77777777" w:rsidR="006E211C" w:rsidRDefault="00000000">
            <w:r>
              <w:rPr>
                <w:rFonts w:ascii="Arial Narrow" w:eastAsia="Arial Narrow" w:hAnsi="Arial Narrow" w:cs="Arial Narrow"/>
              </w:rPr>
              <w:t>gesetze-im-internet.de, §556 BGB (Stand Mai 2026)</w:t>
            </w:r>
          </w:p>
        </w:tc>
      </w:tr>
    </w:tbl>
    <w:p w14:paraId="7F35F595" w14:textId="77777777" w:rsidR="006E211C" w:rsidRDefault="006E211C">
      <w:pPr>
        <w:spacing w:after="120"/>
      </w:pPr>
    </w:p>
    <w:p w14:paraId="541B648B" w14:textId="77777777" w:rsidR="006E211C" w:rsidRDefault="00000000">
      <w:pPr>
        <w:spacing w:after="120"/>
      </w:pPr>
      <w:r>
        <w:rPr>
          <w:rFonts w:ascii="Arial Narrow" w:eastAsia="Arial Narrow" w:hAnsi="Arial Narrow" w:cs="Arial Narrow"/>
          <w:sz w:val="22"/>
          <w:szCs w:val="22"/>
        </w:rPr>
        <w:t xml:space="preserve">Diese Zahlen zeigen: Rund 28 Millionen Mieterhaushalte sind potenzielle Nutzer von </w:t>
      </w:r>
      <w:proofErr w:type="spellStart"/>
      <w:r>
        <w:rPr>
          <w:rFonts w:ascii="Arial Narrow" w:eastAsia="Arial Narrow" w:hAnsi="Arial Narrow" w:cs="Arial Narrow"/>
          <w:sz w:val="22"/>
          <w:szCs w:val="22"/>
        </w:rPr>
        <w:t>NebenkostenCheck</w:t>
      </w:r>
      <w:proofErr w:type="spellEnd"/>
      <w:r>
        <w:rPr>
          <w:rFonts w:ascii="Arial Narrow" w:eastAsia="Arial Narrow" w:hAnsi="Arial Narrow" w:cs="Arial Narrow"/>
          <w:sz w:val="22"/>
          <w:szCs w:val="22"/>
        </w:rPr>
        <w:t>. Bereits bei einer Konversionsrate von einem Promille der Mieterhaushalte ergibt sich eine Nutzerbasis von 28.000 Personen. Bei einem Pro-Tarif von 9 Euro pro geprüfter Abrechnung entspricht das einem Erlöspotenzial von über 250.000 Euro. Die gesetzliche Einwendungsfrist erzeugt dabei jedes Jahr denselben Aktivierungsimpuls, ohne dass Marketing die Nachfrage erst erzeugen müsste.</w:t>
      </w:r>
    </w:p>
    <w:p w14:paraId="39ED0C60" w14:textId="77777777" w:rsidR="006E211C" w:rsidRDefault="00000000">
      <w:pPr>
        <w:spacing w:after="80"/>
      </w:pPr>
      <w:r>
        <w:rPr>
          <w:rFonts w:ascii="Arial Narrow" w:eastAsia="Arial Narrow" w:hAnsi="Arial Narrow" w:cs="Arial Narrow"/>
          <w:i/>
          <w:iCs/>
          <w:color w:val="666666"/>
          <w:sz w:val="18"/>
          <w:szCs w:val="18"/>
        </w:rPr>
        <w:t xml:space="preserve">Quelle: Destatis, Mikrozensus 2025: Wohnsituation der Bevölkerung, destatis.de (abgerufen Mai 2026); VDIV Deutschland, Betriebskostenspiegel 2026, vdiv.de (abgerufen Mai 2026); Eurostat, Housing </w:t>
      </w:r>
      <w:proofErr w:type="spellStart"/>
      <w:r>
        <w:rPr>
          <w:rFonts w:ascii="Arial Narrow" w:eastAsia="Arial Narrow" w:hAnsi="Arial Narrow" w:cs="Arial Narrow"/>
          <w:i/>
          <w:iCs/>
          <w:color w:val="666666"/>
          <w:sz w:val="18"/>
          <w:szCs w:val="18"/>
        </w:rPr>
        <w:t>statistics</w:t>
      </w:r>
      <w:proofErr w:type="spellEnd"/>
      <w:r>
        <w:rPr>
          <w:rFonts w:ascii="Arial Narrow" w:eastAsia="Arial Narrow" w:hAnsi="Arial Narrow" w:cs="Arial Narrow"/>
          <w:i/>
          <w:iCs/>
          <w:color w:val="666666"/>
          <w:sz w:val="18"/>
          <w:szCs w:val="18"/>
        </w:rPr>
        <w:t xml:space="preserve">, </w:t>
      </w:r>
      <w:proofErr w:type="spellStart"/>
      <w:r>
        <w:rPr>
          <w:rFonts w:ascii="Arial Narrow" w:eastAsia="Arial Narrow" w:hAnsi="Arial Narrow" w:cs="Arial Narrow"/>
          <w:i/>
          <w:iCs/>
          <w:color w:val="666666"/>
          <w:sz w:val="18"/>
          <w:szCs w:val="18"/>
        </w:rPr>
        <w:t>Statistics</w:t>
      </w:r>
      <w:proofErr w:type="spellEnd"/>
      <w:r>
        <w:rPr>
          <w:rFonts w:ascii="Arial Narrow" w:eastAsia="Arial Narrow" w:hAnsi="Arial Narrow" w:cs="Arial Narrow"/>
          <w:i/>
          <w:iCs/>
          <w:color w:val="666666"/>
          <w:sz w:val="18"/>
          <w:szCs w:val="18"/>
        </w:rPr>
        <w:t xml:space="preserve"> </w:t>
      </w:r>
      <w:proofErr w:type="spellStart"/>
      <w:r>
        <w:rPr>
          <w:rFonts w:ascii="Arial Narrow" w:eastAsia="Arial Narrow" w:hAnsi="Arial Narrow" w:cs="Arial Narrow"/>
          <w:i/>
          <w:iCs/>
          <w:color w:val="666666"/>
          <w:sz w:val="18"/>
          <w:szCs w:val="18"/>
        </w:rPr>
        <w:t>Explained</w:t>
      </w:r>
      <w:proofErr w:type="spellEnd"/>
      <w:r>
        <w:rPr>
          <w:rFonts w:ascii="Arial Narrow" w:eastAsia="Arial Narrow" w:hAnsi="Arial Narrow" w:cs="Arial Narrow"/>
          <w:i/>
          <w:iCs/>
          <w:color w:val="666666"/>
          <w:sz w:val="18"/>
          <w:szCs w:val="18"/>
        </w:rPr>
        <w:t>, ec.europa.eu/</w:t>
      </w:r>
      <w:proofErr w:type="spellStart"/>
      <w:r>
        <w:rPr>
          <w:rFonts w:ascii="Arial Narrow" w:eastAsia="Arial Narrow" w:hAnsi="Arial Narrow" w:cs="Arial Narrow"/>
          <w:i/>
          <w:iCs/>
          <w:color w:val="666666"/>
          <w:sz w:val="18"/>
          <w:szCs w:val="18"/>
        </w:rPr>
        <w:t>eurostat</w:t>
      </w:r>
      <w:proofErr w:type="spellEnd"/>
      <w:r>
        <w:rPr>
          <w:rFonts w:ascii="Arial Narrow" w:eastAsia="Arial Narrow" w:hAnsi="Arial Narrow" w:cs="Arial Narrow"/>
          <w:i/>
          <w:iCs/>
          <w:color w:val="666666"/>
          <w:sz w:val="18"/>
          <w:szCs w:val="18"/>
        </w:rPr>
        <w:t>/</w:t>
      </w:r>
      <w:proofErr w:type="spellStart"/>
      <w:r>
        <w:rPr>
          <w:rFonts w:ascii="Arial Narrow" w:eastAsia="Arial Narrow" w:hAnsi="Arial Narrow" w:cs="Arial Narrow"/>
          <w:i/>
          <w:iCs/>
          <w:color w:val="666666"/>
          <w:sz w:val="18"/>
          <w:szCs w:val="18"/>
        </w:rPr>
        <w:t>statistics-explained</w:t>
      </w:r>
      <w:proofErr w:type="spellEnd"/>
      <w:r>
        <w:rPr>
          <w:rFonts w:ascii="Arial Narrow" w:eastAsia="Arial Narrow" w:hAnsi="Arial Narrow" w:cs="Arial Narrow"/>
          <w:i/>
          <w:iCs/>
          <w:color w:val="666666"/>
          <w:sz w:val="18"/>
          <w:szCs w:val="18"/>
        </w:rPr>
        <w:t xml:space="preserve"> (abgerufen Mai 2026)</w:t>
      </w:r>
    </w:p>
    <w:p w14:paraId="56009D95" w14:textId="77777777" w:rsidR="006E211C" w:rsidRDefault="00000000">
      <w:pPr>
        <w:spacing w:before="280" w:after="100"/>
      </w:pPr>
      <w:r>
        <w:rPr>
          <w:rFonts w:ascii="Arial Narrow" w:eastAsia="Arial Narrow" w:hAnsi="Arial Narrow" w:cs="Arial Narrow"/>
          <w:b/>
          <w:bCs/>
          <w:color w:val="333333"/>
          <w:sz w:val="26"/>
          <w:szCs w:val="26"/>
        </w:rPr>
        <w:t>2.2 Wachstum und Entwicklung</w:t>
      </w:r>
    </w:p>
    <w:p w14:paraId="70AA4DBE" w14:textId="77777777" w:rsidR="006E211C" w:rsidRDefault="00000000">
      <w:pPr>
        <w:spacing w:after="120"/>
      </w:pPr>
      <w:r>
        <w:rPr>
          <w:rFonts w:ascii="Arial Narrow" w:eastAsia="Arial Narrow" w:hAnsi="Arial Narrow" w:cs="Arial Narrow"/>
          <w:sz w:val="22"/>
          <w:szCs w:val="22"/>
        </w:rPr>
        <w:t xml:space="preserve">Zwei Treiber verstärken die Relevanz von </w:t>
      </w:r>
      <w:proofErr w:type="spellStart"/>
      <w:r>
        <w:rPr>
          <w:rFonts w:ascii="Arial Narrow" w:eastAsia="Arial Narrow" w:hAnsi="Arial Narrow" w:cs="Arial Narrow"/>
          <w:sz w:val="22"/>
          <w:szCs w:val="22"/>
        </w:rPr>
        <w:t>NebenkostenCheck</w:t>
      </w:r>
      <w:proofErr w:type="spellEnd"/>
      <w:r>
        <w:rPr>
          <w:rFonts w:ascii="Arial Narrow" w:eastAsia="Arial Narrow" w:hAnsi="Arial Narrow" w:cs="Arial Narrow"/>
          <w:sz w:val="22"/>
          <w:szCs w:val="22"/>
        </w:rPr>
        <w:t xml:space="preserve"> über die stabile Mieterbasis hinaus.</w:t>
      </w:r>
    </w:p>
    <w:p w14:paraId="50757273" w14:textId="77777777" w:rsidR="006E211C" w:rsidRDefault="00000000">
      <w:pPr>
        <w:spacing w:after="120"/>
      </w:pPr>
      <w:r>
        <w:rPr>
          <w:rFonts w:ascii="Arial Narrow" w:eastAsia="Arial Narrow" w:hAnsi="Arial Narrow" w:cs="Arial Narrow"/>
          <w:sz w:val="22"/>
          <w:szCs w:val="22"/>
        </w:rPr>
        <w:t>Erstens: steigende Energiekosten. Die Energiepreissteigerungen der Jahre 2022 bis 2025 haben die Nebenkosten für Heizung und Warmwasser erheblich erhöht. Viele Mieter erhalten Abrechnungen mit erheblichen Nachzahlungen und sind für Fehler und Unregelmäßigkeiten sensibilisiert. Laut VDIV Betriebskostenspiegel 2026 ist die durchschnittliche Nebenkostenbelastung mit ca. 2,35 Euro pro m² pro Monat weiterhin auf hohem Niveau. Dieser Trend erhöht direkt die Bereitschaft, eine Abrechnung aktiv zu prüfen.</w:t>
      </w:r>
    </w:p>
    <w:p w14:paraId="44B48C81" w14:textId="77777777" w:rsidR="006E211C" w:rsidRDefault="00000000">
      <w:pPr>
        <w:spacing w:after="180"/>
      </w:pPr>
      <w:r>
        <w:rPr>
          <w:rFonts w:ascii="Arial Narrow" w:eastAsia="Arial Narrow" w:hAnsi="Arial Narrow" w:cs="Arial Narrow"/>
          <w:sz w:val="22"/>
          <w:szCs w:val="22"/>
        </w:rPr>
        <w:t>Zweitens: Wachstum des Legal-Tech</w:t>
      </w:r>
      <w:r>
        <w:rPr>
          <w:rStyle w:val="Funotenzeichen"/>
        </w:rPr>
        <w:footnoteReference w:id="6"/>
      </w:r>
      <w:r>
        <w:rPr>
          <w:rFonts w:ascii="Arial Narrow" w:eastAsia="Arial Narrow" w:hAnsi="Arial Narrow" w:cs="Arial Narrow"/>
          <w:sz w:val="22"/>
          <w:szCs w:val="22"/>
        </w:rPr>
        <w:t xml:space="preserve">-Markts in Deutschland. Plattformen wie Conny (ehemals wenigermiete.de) haben gezeigt, dass deutsche Mieter bereit sind, digitale Werkzeuge für mietrechtliche Themen zu nutzen. Conny hat nachweislich über 500.000 Fälle bearbeitet (conny.de, Mai 2026) und belegt damit die Skalierbarkeit des Ansatzes im deutschen Mietmarkt. </w:t>
      </w:r>
      <w:proofErr w:type="spellStart"/>
      <w:r>
        <w:rPr>
          <w:rFonts w:ascii="Arial Narrow" w:eastAsia="Arial Narrow" w:hAnsi="Arial Narrow" w:cs="Arial Narrow"/>
          <w:sz w:val="22"/>
          <w:szCs w:val="22"/>
        </w:rPr>
        <w:t>NebenkostenCheck</w:t>
      </w:r>
      <w:proofErr w:type="spellEnd"/>
      <w:r>
        <w:rPr>
          <w:rFonts w:ascii="Arial Narrow" w:eastAsia="Arial Narrow" w:hAnsi="Arial Narrow" w:cs="Arial Narrow"/>
          <w:sz w:val="22"/>
          <w:szCs w:val="22"/>
        </w:rPr>
        <w:t xml:space="preserve"> adressiert ein angrenzendes, bisher unbesetztes Segment dieses validierten Markts.</w:t>
      </w:r>
    </w:p>
    <w:p w14:paraId="5D7F0BD3" w14:textId="77777777" w:rsidR="006E211C" w:rsidRDefault="00000000">
      <w:pPr>
        <w:spacing w:after="120"/>
      </w:pPr>
      <w:r>
        <w:rPr>
          <w:rFonts w:ascii="Arial Narrow" w:eastAsia="Arial Narrow" w:hAnsi="Arial Narrow" w:cs="Arial Narrow"/>
          <w:sz w:val="22"/>
          <w:szCs w:val="22"/>
        </w:rPr>
        <w:lastRenderedPageBreak/>
        <w:t>Zur Fehlerquote in Nebenkostenabrechnungen: Der Deutsche Mieterbund berichtet auf mieterbund.de (Beratungsstatistik, abgerufen Mai 2026), dass Betriebskosten- und Nebenkostenabrechnungen zu den drei meistgefragten Beratungsthemen gehören. Eine amtlich publizierte Fehlerquote liegt nicht vor. Die hohe und stabile Beratungsfrequenz belegt, dass ein erheblicher Anteil der Abrechnungen Fragen aufwirft, die Mieter ohne Unterstützung nicht auflösen können.</w:t>
      </w:r>
    </w:p>
    <w:p w14:paraId="6DF58B1F" w14:textId="77777777" w:rsidR="006E211C" w:rsidRDefault="00000000">
      <w:pPr>
        <w:spacing w:after="80"/>
      </w:pPr>
      <w:r>
        <w:rPr>
          <w:rFonts w:ascii="Arial Narrow" w:eastAsia="Arial Narrow" w:hAnsi="Arial Narrow" w:cs="Arial Narrow"/>
          <w:i/>
          <w:iCs/>
          <w:color w:val="666666"/>
          <w:sz w:val="18"/>
          <w:szCs w:val="18"/>
        </w:rPr>
        <w:t>Quelle: VDIV Deutschland, Betriebskostenspiegel 2026, vdiv.de (abgerufen Mai 2026); Conny GmbH, conny.de (Mai 2026); Mieterbund Deutschland, Beratungsstatistik, mieterbund.de (abgerufen Mai 2026)</w:t>
      </w:r>
    </w:p>
    <w:p w14:paraId="7FE70C8F" w14:textId="77777777" w:rsidR="006E211C" w:rsidRDefault="00000000">
      <w:pPr>
        <w:spacing w:before="280" w:after="100"/>
      </w:pPr>
      <w:r>
        <w:rPr>
          <w:rFonts w:ascii="Arial Narrow" w:eastAsia="Arial Narrow" w:hAnsi="Arial Narrow" w:cs="Arial Narrow"/>
          <w:b/>
          <w:bCs/>
          <w:color w:val="333333"/>
          <w:sz w:val="26"/>
          <w:szCs w:val="26"/>
        </w:rPr>
        <w:t>2.3 Das Kernproblem</w:t>
      </w:r>
    </w:p>
    <w:p w14:paraId="5DD9C428" w14:textId="77777777" w:rsidR="006E211C" w:rsidRDefault="00000000">
      <w:pPr>
        <w:spacing w:after="120"/>
      </w:pPr>
      <w:r>
        <w:rPr>
          <w:rFonts w:ascii="Arial Narrow" w:eastAsia="Arial Narrow" w:hAnsi="Arial Narrow" w:cs="Arial Narrow"/>
          <w:sz w:val="22"/>
          <w:szCs w:val="22"/>
        </w:rPr>
        <w:t>Die Nebenkostenabrechnung ist eines der häufigsten Streitthemen zwischen Mietern und Vermietern in Deutschland. Das Problem liegt dabei nicht im fehlenden Willen der Mieter, zu prüfen, sondern in den fehlenden Mitteln.</w:t>
      </w:r>
    </w:p>
    <w:p w14:paraId="06471644" w14:textId="77777777" w:rsidR="006E211C" w:rsidRDefault="00000000">
      <w:pPr>
        <w:spacing w:after="120"/>
      </w:pPr>
      <w:r>
        <w:rPr>
          <w:rFonts w:ascii="Arial Narrow" w:eastAsia="Arial Narrow" w:hAnsi="Arial Narrow" w:cs="Arial Narrow"/>
          <w:sz w:val="22"/>
          <w:szCs w:val="22"/>
        </w:rPr>
        <w:t>Die BetrKV umfasst eine abschließende Liste von Kostenpositionen, deren Zulässigkeit juristisches Fachwissen erfordert. Die HKVO schreibt einen Verbrauchsanteil von mindestens 50% und höchstens 70% der Heizkosten vor, was ein durchschnittlicher Mieter kaum eigenständig nachvollziehen kann. Formale Mängel wie verspätete Abrechnung, fehlende Verteilungsschlüssel oder nicht belegte Gesamtkosten sind ohne Werkzeug kaum erkennbar.</w:t>
      </w:r>
    </w:p>
    <w:p w14:paraId="702DD91C" w14:textId="77777777" w:rsidR="006E211C" w:rsidRDefault="00000000">
      <w:pPr>
        <w:spacing w:after="120"/>
      </w:pPr>
      <w:r>
        <w:rPr>
          <w:rFonts w:ascii="Arial Narrow" w:eastAsia="Arial Narrow" w:hAnsi="Arial Narrow" w:cs="Arial Narrow"/>
          <w:sz w:val="22"/>
          <w:szCs w:val="22"/>
        </w:rPr>
        <w:t>Die bestehenden Alternativen sind entweder zu allgemein (Finanztip-Ratgeberartikel), nicht digital skalierbar (Mieterbund-Beratung gegen Mitgliedsbeitrag) oder decken ein anderes Segment ab (Conny für Mietpreisbremse). Kein digitales Werkzeug führt den Mieter heute durch die tatsächliche, positionsgenaue Prüfung seiner Nebenkostenabrechnung.</w:t>
      </w:r>
    </w:p>
    <w:p w14:paraId="29EF0008" w14:textId="77777777" w:rsidR="006E211C" w:rsidRDefault="00000000">
      <w:pPr>
        <w:spacing w:before="280" w:after="100"/>
      </w:pPr>
      <w:r>
        <w:rPr>
          <w:rFonts w:ascii="Arial Narrow" w:eastAsia="Arial Narrow" w:hAnsi="Arial Narrow" w:cs="Arial Narrow"/>
          <w:b/>
          <w:bCs/>
          <w:color w:val="333333"/>
          <w:sz w:val="26"/>
          <w:szCs w:val="26"/>
        </w:rPr>
        <w:t>2.4 Regulatorisches Umfeld</w:t>
      </w:r>
    </w:p>
    <w:p w14:paraId="50E10C4C" w14:textId="77777777" w:rsidR="006E211C" w:rsidRDefault="00000000">
      <w:pPr>
        <w:spacing w:after="120"/>
      </w:pPr>
      <w:r>
        <w:rPr>
          <w:rFonts w:ascii="Arial Narrow" w:eastAsia="Arial Narrow" w:hAnsi="Arial Narrow" w:cs="Arial Narrow"/>
          <w:sz w:val="22"/>
          <w:szCs w:val="22"/>
        </w:rPr>
        <w:t>Das Mietrecht in Deutschland ist kodifiziert und stabil. Die zentralen Regelwerke sind:</w:t>
      </w:r>
    </w:p>
    <w:p w14:paraId="64A18DD5" w14:textId="77777777" w:rsidR="006E211C" w:rsidRDefault="00000000">
      <w:pPr>
        <w:spacing w:after="180"/>
      </w:pPr>
      <w:r>
        <w:rPr>
          <w:rFonts w:ascii="Arial Narrow" w:eastAsia="Arial Narrow" w:hAnsi="Arial Narrow" w:cs="Arial Narrow"/>
          <w:sz w:val="22"/>
          <w:szCs w:val="22"/>
        </w:rPr>
        <w:t>§ 556 BGB: Vereinbarungen über Betriebskosten, Abrechnungspflicht des Vermieters. § 556 Abs. 3 BGB: Einwendungsausschluss nach zwölf Monaten. § 556b BGB</w:t>
      </w:r>
      <w:r>
        <w:rPr>
          <w:rStyle w:val="Funotenzeichen"/>
        </w:rPr>
        <w:footnoteReference w:id="7"/>
      </w:r>
      <w:r>
        <w:rPr>
          <w:rFonts w:ascii="Arial Narrow" w:eastAsia="Arial Narrow" w:hAnsi="Arial Narrow" w:cs="Arial Narrow"/>
          <w:sz w:val="22"/>
          <w:szCs w:val="22"/>
        </w:rPr>
        <w:t>: Fälligkeit der Betriebskostenzahlung, Aufrechnungs- und Zurückbehaltungsrecht des Mieters. § 556c BGB: Vorrang der Wärmelieferung gegenüber der Heizkostenabrechnung bei Fernwärme. Die BetrKV und die HKVO ergänzen den BGB-Rahmen um die konkrete Liste der umlagefähigen Positionen und die Vorgaben zur verbrauchsabhängigen Heizkostenabrechnung.</w:t>
      </w:r>
    </w:p>
    <w:p w14:paraId="24CB167F" w14:textId="77777777" w:rsidR="006E211C" w:rsidRDefault="00000000">
      <w:pPr>
        <w:spacing w:after="180"/>
      </w:pPr>
      <w:r>
        <w:rPr>
          <w:rFonts w:ascii="Arial Narrow" w:eastAsia="Arial Narrow" w:hAnsi="Arial Narrow" w:cs="Arial Narrow"/>
          <w:sz w:val="22"/>
          <w:szCs w:val="22"/>
        </w:rPr>
        <w:t>Für Mieter mit Fernwärmeversorgung gilt zusätzlich § 4 FFVAV</w:t>
      </w:r>
      <w:r>
        <w:rPr>
          <w:rStyle w:val="Funotenzeichen"/>
        </w:rPr>
        <w:footnoteReference w:id="8"/>
      </w:r>
      <w:r>
        <w:rPr>
          <w:rFonts w:ascii="Arial Narrow" w:eastAsia="Arial Narrow" w:hAnsi="Arial Narrow" w:cs="Arial Narrow"/>
          <w:sz w:val="22"/>
          <w:szCs w:val="22"/>
        </w:rPr>
        <w:t xml:space="preserve">: Versorger mit fernablesbaren </w:t>
      </w:r>
      <w:proofErr w:type="spellStart"/>
      <w:r>
        <w:rPr>
          <w:rFonts w:ascii="Arial Narrow" w:eastAsia="Arial Narrow" w:hAnsi="Arial Narrow" w:cs="Arial Narrow"/>
          <w:sz w:val="22"/>
          <w:szCs w:val="22"/>
        </w:rPr>
        <w:t>Zählerstandserfassungen</w:t>
      </w:r>
      <w:proofErr w:type="spellEnd"/>
      <w:r>
        <w:rPr>
          <w:rFonts w:ascii="Arial Narrow" w:eastAsia="Arial Narrow" w:hAnsi="Arial Narrow" w:cs="Arial Narrow"/>
          <w:sz w:val="22"/>
          <w:szCs w:val="22"/>
        </w:rPr>
        <w:t xml:space="preserve"> sind seit 2022 verpflichtet, monatliche Verbrauchsinformationen bereitzustellen. </w:t>
      </w:r>
      <w:proofErr w:type="spellStart"/>
      <w:r>
        <w:rPr>
          <w:rFonts w:ascii="Arial Narrow" w:eastAsia="Arial Narrow" w:hAnsi="Arial Narrow" w:cs="Arial Narrow"/>
          <w:sz w:val="22"/>
          <w:szCs w:val="22"/>
        </w:rPr>
        <w:t>NebenkostenCheck</w:t>
      </w:r>
      <w:proofErr w:type="spellEnd"/>
      <w:r>
        <w:rPr>
          <w:rFonts w:ascii="Arial Narrow" w:eastAsia="Arial Narrow" w:hAnsi="Arial Narrow" w:cs="Arial Narrow"/>
          <w:sz w:val="22"/>
          <w:szCs w:val="22"/>
        </w:rPr>
        <w:t xml:space="preserve"> weist in der Heizkostenerfassung auf diesen Anspruch hin; eine automatische Prüfung erfolgt in Version 2 (Out </w:t>
      </w:r>
      <w:proofErr w:type="spellStart"/>
      <w:r>
        <w:rPr>
          <w:rFonts w:ascii="Arial Narrow" w:eastAsia="Arial Narrow" w:hAnsi="Arial Narrow" w:cs="Arial Narrow"/>
          <w:sz w:val="22"/>
          <w:szCs w:val="22"/>
        </w:rPr>
        <w:t>of</w:t>
      </w:r>
      <w:proofErr w:type="spellEnd"/>
      <w:r>
        <w:rPr>
          <w:rFonts w:ascii="Arial Narrow" w:eastAsia="Arial Narrow" w:hAnsi="Arial Narrow" w:cs="Arial Narrow"/>
          <w:sz w:val="22"/>
          <w:szCs w:val="22"/>
        </w:rPr>
        <w:t xml:space="preserve"> Scope, siehe Abschnitt 7.3).</w:t>
      </w:r>
    </w:p>
    <w:p w14:paraId="1E2AD21E" w14:textId="77777777" w:rsidR="006E211C" w:rsidRDefault="00000000">
      <w:pPr>
        <w:spacing w:after="180"/>
      </w:pPr>
      <w:r>
        <w:rPr>
          <w:rFonts w:ascii="Arial Narrow" w:eastAsia="Arial Narrow" w:hAnsi="Arial Narrow" w:cs="Arial Narrow"/>
          <w:sz w:val="22"/>
          <w:szCs w:val="22"/>
        </w:rPr>
        <w:t>Das Rechtsdienstleistungsgesetz (RDG</w:t>
      </w:r>
      <w:r>
        <w:rPr>
          <w:rStyle w:val="Funotenzeichen"/>
        </w:rPr>
        <w:footnoteReference w:id="9"/>
      </w:r>
      <w:r>
        <w:rPr>
          <w:rFonts w:ascii="Arial Narrow" w:eastAsia="Arial Narrow" w:hAnsi="Arial Narrow" w:cs="Arial Narrow"/>
          <w:sz w:val="22"/>
          <w:szCs w:val="22"/>
        </w:rPr>
        <w:t xml:space="preserve">) setzt die wichtigste Rahmenbedingung für das Produkt. </w:t>
      </w:r>
      <w:proofErr w:type="spellStart"/>
      <w:r>
        <w:rPr>
          <w:rFonts w:ascii="Arial Narrow" w:eastAsia="Arial Narrow" w:hAnsi="Arial Narrow" w:cs="Arial Narrow"/>
          <w:sz w:val="22"/>
          <w:szCs w:val="22"/>
        </w:rPr>
        <w:t>NebenkostenCheck</w:t>
      </w:r>
      <w:proofErr w:type="spellEnd"/>
      <w:r>
        <w:rPr>
          <w:rFonts w:ascii="Arial Narrow" w:eastAsia="Arial Narrow" w:hAnsi="Arial Narrow" w:cs="Arial Narrow"/>
          <w:sz w:val="22"/>
          <w:szCs w:val="22"/>
        </w:rPr>
        <w:t xml:space="preserve"> erbringt keine Rechtsberatung im Sinne des § 2 RDG und ersetzt keinen Rechtsanwalt. Das System stellt strukturierte Informationen und automatisierte Prüfergebnisse bereit, auf deren Basis der Mieter selbst entscheidet, ob er widerspricht. Diese Abgrenzung ist im Produkt klar zu kommunizieren und ist vor dem öffentlichen Launch durch einen Fachanwalt für IT-Recht zu prüfen.</w:t>
      </w:r>
    </w:p>
    <w:p w14:paraId="6BCB836A" w14:textId="77777777" w:rsidR="006E211C" w:rsidRDefault="00000000">
      <w:pPr>
        <w:spacing w:after="80"/>
      </w:pPr>
      <w:r>
        <w:rPr>
          <w:rFonts w:ascii="Arial Narrow" w:eastAsia="Arial Narrow" w:hAnsi="Arial Narrow" w:cs="Arial Narrow"/>
          <w:i/>
          <w:iCs/>
          <w:color w:val="666666"/>
          <w:sz w:val="18"/>
          <w:szCs w:val="18"/>
        </w:rPr>
        <w:t>Quelle: §556 BGB, §556b BGB, §556c BGB, BetrKV, HKVO, FFVAV, RDG: gesetze-im-internet.de (Stand Mai 2026)</w:t>
      </w:r>
    </w:p>
    <w:p w14:paraId="797D7463" w14:textId="77777777" w:rsidR="006E211C" w:rsidRDefault="00000000">
      <w:pPr>
        <w:pageBreakBefore/>
      </w:pPr>
      <w:r>
        <w:lastRenderedPageBreak/>
        <w:br/>
      </w:r>
    </w:p>
    <w:p w14:paraId="5CE6F5F8" w14:textId="77777777" w:rsidR="006E211C" w:rsidRDefault="00000000">
      <w:pPr>
        <w:spacing w:before="400" w:after="160"/>
      </w:pPr>
      <w:r>
        <w:rPr>
          <w:rFonts w:ascii="Arial Narrow" w:eastAsia="Arial Narrow" w:hAnsi="Arial Narrow" w:cs="Arial Narrow"/>
          <w:b/>
          <w:bCs/>
          <w:color w:val="000000"/>
          <w:sz w:val="34"/>
          <w:szCs w:val="34"/>
        </w:rPr>
        <w:t>3. Wettbewerb</w:t>
      </w:r>
    </w:p>
    <w:p w14:paraId="23771C9D" w14:textId="77777777" w:rsidR="006E211C" w:rsidRDefault="00000000">
      <w:pPr>
        <w:spacing w:before="280" w:after="100"/>
      </w:pPr>
      <w:r>
        <w:rPr>
          <w:rFonts w:ascii="Arial Narrow" w:eastAsia="Arial Narrow" w:hAnsi="Arial Narrow" w:cs="Arial Narrow"/>
          <w:b/>
          <w:bCs/>
          <w:color w:val="333333"/>
          <w:sz w:val="26"/>
          <w:szCs w:val="26"/>
        </w:rPr>
        <w:t>3.1 Statische Informationsportale</w:t>
      </w:r>
    </w:p>
    <w:p w14:paraId="2B916DA1" w14:textId="77777777" w:rsidR="006E211C" w:rsidRDefault="00000000">
      <w:pPr>
        <w:spacing w:after="120"/>
      </w:pPr>
      <w:r>
        <w:rPr>
          <w:rFonts w:ascii="Arial Narrow" w:eastAsia="Arial Narrow" w:hAnsi="Arial Narrow" w:cs="Arial Narrow"/>
          <w:sz w:val="22"/>
          <w:szCs w:val="22"/>
        </w:rPr>
        <w:t>Diese Anbieter decken das Informationsbedürfnis der Zielgruppe nur oberflächlich ab. Sie bieten Artikel und Mustervorlagen, aber kein interaktives Prüfwerkzeug.</w:t>
      </w:r>
    </w:p>
    <w:p w14:paraId="052794FB" w14:textId="77777777" w:rsidR="006E211C" w:rsidRDefault="006E211C">
      <w:pPr>
        <w:spacing w:after="12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2"/>
        <w:gridCol w:w="2732"/>
        <w:gridCol w:w="2886"/>
      </w:tblGrid>
      <w:tr w:rsidR="006E211C" w14:paraId="483CE465" w14:textId="77777777">
        <w:tblPrEx>
          <w:tblCellMar>
            <w:top w:w="0" w:type="dxa"/>
            <w:bottom w:w="0" w:type="dxa"/>
          </w:tblCellMar>
        </w:tblPrEx>
        <w:trPr>
          <w:tblHeader/>
        </w:trPr>
        <w:tc>
          <w:tcPr>
            <w:tcW w:w="2000" w:type="dxa"/>
            <w:shd w:val="clear" w:color="auto" w:fill="000000"/>
          </w:tcPr>
          <w:p w14:paraId="5A8B0C57" w14:textId="77777777" w:rsidR="006E211C" w:rsidRDefault="00000000">
            <w:pPr>
              <w:jc w:val="center"/>
            </w:pPr>
            <w:r>
              <w:rPr>
                <w:rFonts w:ascii="Arial Narrow" w:eastAsia="Arial Narrow" w:hAnsi="Arial Narrow" w:cs="Arial Narrow"/>
                <w:b/>
                <w:bCs/>
                <w:color w:val="FFFFFF"/>
              </w:rPr>
              <w:t>Anbieter</w:t>
            </w:r>
          </w:p>
        </w:tc>
        <w:tc>
          <w:tcPr>
            <w:tcW w:w="2800" w:type="dxa"/>
            <w:shd w:val="clear" w:color="auto" w:fill="000000"/>
          </w:tcPr>
          <w:p w14:paraId="2365576C" w14:textId="77777777" w:rsidR="006E211C" w:rsidRDefault="00000000">
            <w:pPr>
              <w:jc w:val="center"/>
            </w:pPr>
            <w:r>
              <w:rPr>
                <w:rFonts w:ascii="Arial Narrow" w:eastAsia="Arial Narrow" w:hAnsi="Arial Narrow" w:cs="Arial Narrow"/>
                <w:b/>
                <w:bCs/>
                <w:color w:val="FFFFFF"/>
              </w:rPr>
              <w:t>Beschreibung</w:t>
            </w:r>
          </w:p>
        </w:tc>
        <w:tc>
          <w:tcPr>
            <w:tcW w:w="3000" w:type="dxa"/>
            <w:shd w:val="clear" w:color="auto" w:fill="000000"/>
          </w:tcPr>
          <w:p w14:paraId="01D7A0B5" w14:textId="77777777" w:rsidR="006E211C" w:rsidRDefault="00000000">
            <w:pPr>
              <w:jc w:val="center"/>
            </w:pPr>
            <w:r>
              <w:rPr>
                <w:rFonts w:ascii="Arial Narrow" w:eastAsia="Arial Narrow" w:hAnsi="Arial Narrow" w:cs="Arial Narrow"/>
                <w:b/>
                <w:bCs/>
                <w:color w:val="FFFFFF"/>
              </w:rPr>
              <w:t xml:space="preserve">Schwäche als Chance für </w:t>
            </w:r>
            <w:proofErr w:type="spellStart"/>
            <w:r>
              <w:rPr>
                <w:rFonts w:ascii="Arial Narrow" w:eastAsia="Arial Narrow" w:hAnsi="Arial Narrow" w:cs="Arial Narrow"/>
                <w:b/>
                <w:bCs/>
                <w:color w:val="FFFFFF"/>
              </w:rPr>
              <w:t>NebenkostenCheck</w:t>
            </w:r>
            <w:proofErr w:type="spellEnd"/>
          </w:p>
        </w:tc>
      </w:tr>
      <w:tr w:rsidR="006E211C" w14:paraId="4ADE083D" w14:textId="77777777">
        <w:tblPrEx>
          <w:tblCellMar>
            <w:top w:w="0" w:type="dxa"/>
            <w:bottom w:w="0" w:type="dxa"/>
          </w:tblCellMar>
        </w:tblPrEx>
        <w:tc>
          <w:tcPr>
            <w:tcW w:w="2000" w:type="dxa"/>
            <w:shd w:val="clear" w:color="auto" w:fill="FFFFFF"/>
          </w:tcPr>
          <w:p w14:paraId="6312C9B6" w14:textId="77777777" w:rsidR="006E211C" w:rsidRDefault="00000000">
            <w:r>
              <w:rPr>
                <w:rFonts w:ascii="Arial Narrow" w:eastAsia="Arial Narrow" w:hAnsi="Arial Narrow" w:cs="Arial Narrow"/>
              </w:rPr>
              <w:t>nebenkostenabrechnung.com</w:t>
            </w:r>
          </w:p>
        </w:tc>
        <w:tc>
          <w:tcPr>
            <w:tcW w:w="2800" w:type="dxa"/>
            <w:shd w:val="clear" w:color="auto" w:fill="FFFFFF"/>
          </w:tcPr>
          <w:p w14:paraId="62D145D9" w14:textId="77777777" w:rsidR="006E211C" w:rsidRDefault="00000000">
            <w:r>
              <w:rPr>
                <w:rFonts w:ascii="Arial Narrow" w:eastAsia="Arial Narrow" w:hAnsi="Arial Narrow" w:cs="Arial Narrow"/>
              </w:rPr>
              <w:t>Statisches Informationsportal. Mustervorlagen und Ratgeberartikel zu Nebenkostenabrechnungen. Kein interaktives Element.</w:t>
            </w:r>
          </w:p>
        </w:tc>
        <w:tc>
          <w:tcPr>
            <w:tcW w:w="3000" w:type="dxa"/>
            <w:shd w:val="clear" w:color="auto" w:fill="FFFFFF"/>
          </w:tcPr>
          <w:p w14:paraId="117183E8" w14:textId="77777777" w:rsidR="006E211C" w:rsidRDefault="00000000">
            <w:r>
              <w:rPr>
                <w:rFonts w:ascii="Arial Narrow" w:eastAsia="Arial Narrow" w:hAnsi="Arial Narrow" w:cs="Arial Narrow"/>
              </w:rPr>
              <w:t>Kein Prüfwerkzeug. Keine Betragsberechnung. Kein Widerspruchsschreiben-Generator. Kein Archiv.</w:t>
            </w:r>
          </w:p>
        </w:tc>
      </w:tr>
      <w:tr w:rsidR="006E211C" w14:paraId="402537FA" w14:textId="77777777">
        <w:tblPrEx>
          <w:tblCellMar>
            <w:top w:w="0" w:type="dxa"/>
            <w:bottom w:w="0" w:type="dxa"/>
          </w:tblCellMar>
        </w:tblPrEx>
        <w:tc>
          <w:tcPr>
            <w:tcW w:w="2000" w:type="dxa"/>
            <w:shd w:val="clear" w:color="auto" w:fill="F5F5F5"/>
          </w:tcPr>
          <w:p w14:paraId="42EEE566" w14:textId="77777777" w:rsidR="006E211C" w:rsidRDefault="00000000">
            <w:r>
              <w:rPr>
                <w:rFonts w:ascii="Arial Narrow" w:eastAsia="Arial Narrow" w:hAnsi="Arial Narrow" w:cs="Arial Narrow"/>
              </w:rPr>
              <w:t>Finanztip.de</w:t>
            </w:r>
          </w:p>
        </w:tc>
        <w:tc>
          <w:tcPr>
            <w:tcW w:w="2800" w:type="dxa"/>
            <w:shd w:val="clear" w:color="auto" w:fill="F5F5F5"/>
          </w:tcPr>
          <w:p w14:paraId="61E360B4" w14:textId="77777777" w:rsidR="006E211C" w:rsidRDefault="00000000">
            <w:r>
              <w:rPr>
                <w:rFonts w:ascii="Arial Narrow" w:eastAsia="Arial Narrow" w:hAnsi="Arial Narrow" w:cs="Arial Narrow"/>
              </w:rPr>
              <w:t>Redaktioneller Ratgeber für Verbraucher. Artikel zu Nebenkostenabrechnungen mit Checklisten.</w:t>
            </w:r>
          </w:p>
        </w:tc>
        <w:tc>
          <w:tcPr>
            <w:tcW w:w="3000" w:type="dxa"/>
            <w:shd w:val="clear" w:color="auto" w:fill="F5F5F5"/>
          </w:tcPr>
          <w:p w14:paraId="6B01D3BF" w14:textId="77777777" w:rsidR="006E211C" w:rsidRDefault="00000000">
            <w:r>
              <w:rPr>
                <w:rFonts w:ascii="Arial Narrow" w:eastAsia="Arial Narrow" w:hAnsi="Arial Narrow" w:cs="Arial Narrow"/>
              </w:rPr>
              <w:t>Kein interaktives Werkzeug. Keine positionsgenaue Prüfung. Keine Betragsberechnung. Kein Widerspruchsschreiben.</w:t>
            </w:r>
          </w:p>
        </w:tc>
      </w:tr>
    </w:tbl>
    <w:p w14:paraId="6EE159BE" w14:textId="77777777" w:rsidR="006E211C" w:rsidRDefault="006E211C">
      <w:pPr>
        <w:spacing w:after="120"/>
      </w:pPr>
    </w:p>
    <w:p w14:paraId="563CCBC1" w14:textId="77777777" w:rsidR="006E211C" w:rsidRDefault="00000000">
      <w:pPr>
        <w:spacing w:after="80"/>
      </w:pPr>
      <w:r>
        <w:rPr>
          <w:rFonts w:ascii="Arial Narrow" w:eastAsia="Arial Narrow" w:hAnsi="Arial Narrow" w:cs="Arial Narrow"/>
          <w:i/>
          <w:iCs/>
          <w:color w:val="666666"/>
          <w:sz w:val="18"/>
          <w:szCs w:val="18"/>
        </w:rPr>
        <w:t>Quelle: nebenkostenabrechnung.com (Mai 2026); finanztip.de (Mai 2026)</w:t>
      </w:r>
    </w:p>
    <w:p w14:paraId="75617D28" w14:textId="77777777" w:rsidR="006E211C" w:rsidRDefault="00000000">
      <w:pPr>
        <w:spacing w:before="280" w:after="100"/>
      </w:pPr>
      <w:r>
        <w:rPr>
          <w:rFonts w:ascii="Arial Narrow" w:eastAsia="Arial Narrow" w:hAnsi="Arial Narrow" w:cs="Arial Narrow"/>
          <w:b/>
          <w:bCs/>
          <w:color w:val="333333"/>
          <w:sz w:val="26"/>
          <w:szCs w:val="26"/>
        </w:rPr>
        <w:t>3.2 Legal-Tech-Plattformen</w:t>
      </w:r>
    </w:p>
    <w:p w14:paraId="380B63C3" w14:textId="77777777" w:rsidR="006E211C" w:rsidRDefault="00000000">
      <w:pPr>
        <w:spacing w:after="120"/>
      </w:pPr>
      <w:r>
        <w:rPr>
          <w:rFonts w:ascii="Arial Narrow" w:eastAsia="Arial Narrow" w:hAnsi="Arial Narrow" w:cs="Arial Narrow"/>
          <w:sz w:val="22"/>
          <w:szCs w:val="22"/>
        </w:rPr>
        <w:t>Conny ist die einzige Legal-Tech-Plattform, die mietrechtliche Ansprüche in Deutschland digital verarbeitet. Sie adressiert jedoch ausschließlich die Mietpreisbremse und hat das Nebenkostensegment bisher nicht erschlossen.</w:t>
      </w:r>
    </w:p>
    <w:p w14:paraId="27FF0FFA" w14:textId="77777777" w:rsidR="006E211C" w:rsidRDefault="006E211C">
      <w:pPr>
        <w:spacing w:after="12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3000"/>
      </w:tblGrid>
      <w:tr w:rsidR="006E211C" w14:paraId="6DF9C29E" w14:textId="77777777">
        <w:tblPrEx>
          <w:tblCellMar>
            <w:top w:w="0" w:type="dxa"/>
            <w:bottom w:w="0" w:type="dxa"/>
          </w:tblCellMar>
        </w:tblPrEx>
        <w:trPr>
          <w:tblHeader/>
        </w:trPr>
        <w:tc>
          <w:tcPr>
            <w:tcW w:w="2000" w:type="dxa"/>
            <w:shd w:val="clear" w:color="auto" w:fill="000000"/>
          </w:tcPr>
          <w:p w14:paraId="7F149F04" w14:textId="77777777" w:rsidR="006E211C" w:rsidRDefault="00000000">
            <w:pPr>
              <w:jc w:val="center"/>
            </w:pPr>
            <w:r>
              <w:rPr>
                <w:rFonts w:ascii="Arial Narrow" w:eastAsia="Arial Narrow" w:hAnsi="Arial Narrow" w:cs="Arial Narrow"/>
                <w:b/>
                <w:bCs/>
                <w:color w:val="FFFFFF"/>
              </w:rPr>
              <w:t>Anbieter</w:t>
            </w:r>
          </w:p>
        </w:tc>
        <w:tc>
          <w:tcPr>
            <w:tcW w:w="2800" w:type="dxa"/>
            <w:shd w:val="clear" w:color="auto" w:fill="000000"/>
          </w:tcPr>
          <w:p w14:paraId="55255B4E" w14:textId="77777777" w:rsidR="006E211C" w:rsidRDefault="00000000">
            <w:pPr>
              <w:jc w:val="center"/>
            </w:pPr>
            <w:r>
              <w:rPr>
                <w:rFonts w:ascii="Arial Narrow" w:eastAsia="Arial Narrow" w:hAnsi="Arial Narrow" w:cs="Arial Narrow"/>
                <w:b/>
                <w:bCs/>
                <w:color w:val="FFFFFF"/>
              </w:rPr>
              <w:t>Beschreibung</w:t>
            </w:r>
          </w:p>
        </w:tc>
        <w:tc>
          <w:tcPr>
            <w:tcW w:w="3000" w:type="dxa"/>
            <w:shd w:val="clear" w:color="auto" w:fill="000000"/>
          </w:tcPr>
          <w:p w14:paraId="152CAD1C" w14:textId="77777777" w:rsidR="006E211C" w:rsidRDefault="00000000">
            <w:pPr>
              <w:jc w:val="center"/>
            </w:pPr>
            <w:r>
              <w:rPr>
                <w:rFonts w:ascii="Arial Narrow" w:eastAsia="Arial Narrow" w:hAnsi="Arial Narrow" w:cs="Arial Narrow"/>
                <w:b/>
                <w:bCs/>
                <w:color w:val="FFFFFF"/>
              </w:rPr>
              <w:t xml:space="preserve">Schwäche als Chance für </w:t>
            </w:r>
            <w:proofErr w:type="spellStart"/>
            <w:r>
              <w:rPr>
                <w:rFonts w:ascii="Arial Narrow" w:eastAsia="Arial Narrow" w:hAnsi="Arial Narrow" w:cs="Arial Narrow"/>
                <w:b/>
                <w:bCs/>
                <w:color w:val="FFFFFF"/>
              </w:rPr>
              <w:t>NebenkostenCheck</w:t>
            </w:r>
            <w:proofErr w:type="spellEnd"/>
          </w:p>
        </w:tc>
      </w:tr>
      <w:tr w:rsidR="006E211C" w14:paraId="6A40BEAB" w14:textId="77777777">
        <w:tblPrEx>
          <w:tblCellMar>
            <w:top w:w="0" w:type="dxa"/>
            <w:bottom w:w="0" w:type="dxa"/>
          </w:tblCellMar>
        </w:tblPrEx>
        <w:tc>
          <w:tcPr>
            <w:tcW w:w="2000" w:type="dxa"/>
            <w:shd w:val="clear" w:color="auto" w:fill="FFFFFF"/>
          </w:tcPr>
          <w:p w14:paraId="21AC1120" w14:textId="77777777" w:rsidR="006E211C" w:rsidRDefault="00000000">
            <w:r>
              <w:rPr>
                <w:rFonts w:ascii="Arial Narrow" w:eastAsia="Arial Narrow" w:hAnsi="Arial Narrow" w:cs="Arial Narrow"/>
              </w:rPr>
              <w:t>conny.de (ehemals wenigermiete.de)</w:t>
            </w:r>
          </w:p>
        </w:tc>
        <w:tc>
          <w:tcPr>
            <w:tcW w:w="2800" w:type="dxa"/>
            <w:shd w:val="clear" w:color="auto" w:fill="FFFFFF"/>
          </w:tcPr>
          <w:p w14:paraId="6119B77D" w14:textId="77777777" w:rsidR="006E211C" w:rsidRDefault="00000000">
            <w:r>
              <w:rPr>
                <w:rFonts w:ascii="Arial Narrow" w:eastAsia="Arial Narrow" w:hAnsi="Arial Narrow" w:cs="Arial Narrow"/>
              </w:rPr>
              <w:t>Legal-Tech-Plattform für Mietrecht. Fokus ausschließlich auf Mietpreisbremse (§556d BGB). Über 500.000 bearbeitete Fälle (Mai 2026). Anwaltliches Betriebsmodell.</w:t>
            </w:r>
          </w:p>
        </w:tc>
        <w:tc>
          <w:tcPr>
            <w:tcW w:w="3000" w:type="dxa"/>
            <w:shd w:val="clear" w:color="auto" w:fill="FFFFFF"/>
          </w:tcPr>
          <w:p w14:paraId="32A11F76" w14:textId="77777777" w:rsidR="006E211C" w:rsidRDefault="00000000">
            <w:r>
              <w:rPr>
                <w:rFonts w:ascii="Arial Narrow" w:eastAsia="Arial Narrow" w:hAnsi="Arial Narrow" w:cs="Arial Narrow"/>
              </w:rPr>
              <w:t xml:space="preserve">Kein Angebot zur Nebenkostenprüfung. </w:t>
            </w:r>
            <w:proofErr w:type="spellStart"/>
            <w:r>
              <w:rPr>
                <w:rFonts w:ascii="Arial Narrow" w:eastAsia="Arial Narrow" w:hAnsi="Arial Narrow" w:cs="Arial Narrow"/>
              </w:rPr>
              <w:t>NebenkostenCheck</w:t>
            </w:r>
            <w:proofErr w:type="spellEnd"/>
            <w:r>
              <w:rPr>
                <w:rFonts w:ascii="Arial Narrow" w:eastAsia="Arial Narrow" w:hAnsi="Arial Narrow" w:cs="Arial Narrow"/>
              </w:rPr>
              <w:t xml:space="preserve"> besetzt das direkt angrenzende, bisher unbesetzte Segment. Connys Marktvalidierung bestätigt die Bereitschaft der Zielgruppe.</w:t>
            </w:r>
          </w:p>
        </w:tc>
      </w:tr>
    </w:tbl>
    <w:p w14:paraId="50DF86EE" w14:textId="77777777" w:rsidR="006E211C" w:rsidRDefault="006E211C">
      <w:pPr>
        <w:spacing w:after="120"/>
      </w:pPr>
    </w:p>
    <w:p w14:paraId="2A482603" w14:textId="77777777" w:rsidR="006E211C" w:rsidRDefault="00000000">
      <w:pPr>
        <w:spacing w:after="80"/>
      </w:pPr>
      <w:r>
        <w:rPr>
          <w:rFonts w:ascii="Arial Narrow" w:eastAsia="Arial Narrow" w:hAnsi="Arial Narrow" w:cs="Arial Narrow"/>
          <w:i/>
          <w:iCs/>
          <w:color w:val="666666"/>
          <w:sz w:val="18"/>
          <w:szCs w:val="18"/>
        </w:rPr>
        <w:t>Quelle: conny.de (Mai 2026)</w:t>
      </w:r>
    </w:p>
    <w:p w14:paraId="2CE71ADB" w14:textId="77777777" w:rsidR="006E211C" w:rsidRDefault="00000000">
      <w:pPr>
        <w:spacing w:before="280" w:after="100"/>
      </w:pPr>
      <w:r>
        <w:rPr>
          <w:rFonts w:ascii="Arial Narrow" w:eastAsia="Arial Narrow" w:hAnsi="Arial Narrow" w:cs="Arial Narrow"/>
          <w:b/>
          <w:bCs/>
          <w:color w:val="333333"/>
          <w:sz w:val="26"/>
          <w:szCs w:val="26"/>
        </w:rPr>
        <w:t>3.3 Beratungsorganisationen</w:t>
      </w:r>
    </w:p>
    <w:p w14:paraId="38FE0E43" w14:textId="77777777" w:rsidR="006E211C" w:rsidRDefault="00000000">
      <w:pPr>
        <w:spacing w:after="120"/>
      </w:pPr>
      <w:r>
        <w:rPr>
          <w:rFonts w:ascii="Arial Narrow" w:eastAsia="Arial Narrow" w:hAnsi="Arial Narrow" w:cs="Arial Narrow"/>
          <w:sz w:val="22"/>
          <w:szCs w:val="22"/>
        </w:rPr>
        <w:t>Mieterbund und Verbraucherzentralen decken den Beratungsbedarf der Mieter ab, sind jedoch nicht digital skalierbar. Sie sind kein direkter Wettbewerber im digitalen Sinne, bestätigen aber durch ihre hohe Auslastung den Bedarf für ein digitales Werkzeug.</w:t>
      </w:r>
    </w:p>
    <w:p w14:paraId="0575FDDB" w14:textId="77777777" w:rsidR="006E211C" w:rsidRDefault="006E211C">
      <w:pPr>
        <w:spacing w:after="12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3000"/>
      </w:tblGrid>
      <w:tr w:rsidR="006E211C" w14:paraId="7ED74954" w14:textId="77777777">
        <w:tblPrEx>
          <w:tblCellMar>
            <w:top w:w="0" w:type="dxa"/>
            <w:bottom w:w="0" w:type="dxa"/>
          </w:tblCellMar>
        </w:tblPrEx>
        <w:trPr>
          <w:tblHeader/>
        </w:trPr>
        <w:tc>
          <w:tcPr>
            <w:tcW w:w="2000" w:type="dxa"/>
            <w:shd w:val="clear" w:color="auto" w:fill="000000"/>
          </w:tcPr>
          <w:p w14:paraId="1A98620C" w14:textId="77777777" w:rsidR="006E211C" w:rsidRDefault="00000000">
            <w:pPr>
              <w:jc w:val="center"/>
            </w:pPr>
            <w:r>
              <w:rPr>
                <w:rFonts w:ascii="Arial Narrow" w:eastAsia="Arial Narrow" w:hAnsi="Arial Narrow" w:cs="Arial Narrow"/>
                <w:b/>
                <w:bCs/>
                <w:color w:val="FFFFFF"/>
              </w:rPr>
              <w:t>Anbieter</w:t>
            </w:r>
          </w:p>
        </w:tc>
        <w:tc>
          <w:tcPr>
            <w:tcW w:w="2800" w:type="dxa"/>
            <w:shd w:val="clear" w:color="auto" w:fill="000000"/>
          </w:tcPr>
          <w:p w14:paraId="62F635A2" w14:textId="77777777" w:rsidR="006E211C" w:rsidRDefault="00000000">
            <w:pPr>
              <w:jc w:val="center"/>
            </w:pPr>
            <w:r>
              <w:rPr>
                <w:rFonts w:ascii="Arial Narrow" w:eastAsia="Arial Narrow" w:hAnsi="Arial Narrow" w:cs="Arial Narrow"/>
                <w:b/>
                <w:bCs/>
                <w:color w:val="FFFFFF"/>
              </w:rPr>
              <w:t>Beschreibung</w:t>
            </w:r>
          </w:p>
        </w:tc>
        <w:tc>
          <w:tcPr>
            <w:tcW w:w="3000" w:type="dxa"/>
            <w:shd w:val="clear" w:color="auto" w:fill="000000"/>
          </w:tcPr>
          <w:p w14:paraId="1A746870" w14:textId="77777777" w:rsidR="006E211C" w:rsidRDefault="00000000">
            <w:pPr>
              <w:jc w:val="center"/>
            </w:pPr>
            <w:r>
              <w:rPr>
                <w:rFonts w:ascii="Arial Narrow" w:eastAsia="Arial Narrow" w:hAnsi="Arial Narrow" w:cs="Arial Narrow"/>
                <w:b/>
                <w:bCs/>
                <w:color w:val="FFFFFF"/>
              </w:rPr>
              <w:t xml:space="preserve">Schwäche als Chance für </w:t>
            </w:r>
            <w:proofErr w:type="spellStart"/>
            <w:r>
              <w:rPr>
                <w:rFonts w:ascii="Arial Narrow" w:eastAsia="Arial Narrow" w:hAnsi="Arial Narrow" w:cs="Arial Narrow"/>
                <w:b/>
                <w:bCs/>
                <w:color w:val="FFFFFF"/>
              </w:rPr>
              <w:t>NebenkostenCheck</w:t>
            </w:r>
            <w:proofErr w:type="spellEnd"/>
          </w:p>
        </w:tc>
      </w:tr>
      <w:tr w:rsidR="006E211C" w14:paraId="0C605157" w14:textId="77777777">
        <w:tblPrEx>
          <w:tblCellMar>
            <w:top w:w="0" w:type="dxa"/>
            <w:bottom w:w="0" w:type="dxa"/>
          </w:tblCellMar>
        </w:tblPrEx>
        <w:tc>
          <w:tcPr>
            <w:tcW w:w="2000" w:type="dxa"/>
            <w:shd w:val="clear" w:color="auto" w:fill="FFFFFF"/>
          </w:tcPr>
          <w:p w14:paraId="24252802" w14:textId="77777777" w:rsidR="006E211C" w:rsidRDefault="00000000">
            <w:r>
              <w:rPr>
                <w:rFonts w:ascii="Arial Narrow" w:eastAsia="Arial Narrow" w:hAnsi="Arial Narrow" w:cs="Arial Narrow"/>
              </w:rPr>
              <w:t>Mieterbund Deutschland</w:t>
            </w:r>
          </w:p>
        </w:tc>
        <w:tc>
          <w:tcPr>
            <w:tcW w:w="2800" w:type="dxa"/>
            <w:shd w:val="clear" w:color="auto" w:fill="FFFFFF"/>
          </w:tcPr>
          <w:p w14:paraId="407C9E62" w14:textId="77777777" w:rsidR="006E211C" w:rsidRDefault="00000000">
            <w:r>
              <w:rPr>
                <w:rFonts w:ascii="Arial Narrow" w:eastAsia="Arial Narrow" w:hAnsi="Arial Narrow" w:cs="Arial Narrow"/>
              </w:rPr>
              <w:t>Interessenverband mit kostenpflichtiger Mitgliedschaft (ca. 70 bis 100 Euro pro Jahr). Persönliche und telefonische Beratung durch Juristen.</w:t>
            </w:r>
          </w:p>
        </w:tc>
        <w:tc>
          <w:tcPr>
            <w:tcW w:w="3000" w:type="dxa"/>
            <w:shd w:val="clear" w:color="auto" w:fill="FFFFFF"/>
          </w:tcPr>
          <w:p w14:paraId="07D4DE49" w14:textId="77777777" w:rsidR="006E211C" w:rsidRDefault="00000000">
            <w:r>
              <w:rPr>
                <w:rFonts w:ascii="Arial Narrow" w:eastAsia="Arial Narrow" w:hAnsi="Arial Narrow" w:cs="Arial Narrow"/>
              </w:rPr>
              <w:t>Nicht digital skalierbar. Mitgliedsbeitrag als Hürde. Keine sofortige digitale Selbstlösung. Hohe Nachfrage belegt ungedeckten Bedarf.</w:t>
            </w:r>
          </w:p>
        </w:tc>
      </w:tr>
      <w:tr w:rsidR="006E211C" w14:paraId="29A8C30B" w14:textId="77777777">
        <w:tblPrEx>
          <w:tblCellMar>
            <w:top w:w="0" w:type="dxa"/>
            <w:bottom w:w="0" w:type="dxa"/>
          </w:tblCellMar>
        </w:tblPrEx>
        <w:tc>
          <w:tcPr>
            <w:tcW w:w="2000" w:type="dxa"/>
            <w:shd w:val="clear" w:color="auto" w:fill="F5F5F5"/>
          </w:tcPr>
          <w:p w14:paraId="661D40A2" w14:textId="77777777" w:rsidR="006E211C" w:rsidRDefault="00000000">
            <w:r>
              <w:rPr>
                <w:rFonts w:ascii="Arial Narrow" w:eastAsia="Arial Narrow" w:hAnsi="Arial Narrow" w:cs="Arial Narrow"/>
              </w:rPr>
              <w:lastRenderedPageBreak/>
              <w:t>Verbraucherzentralen</w:t>
            </w:r>
          </w:p>
        </w:tc>
        <w:tc>
          <w:tcPr>
            <w:tcW w:w="2800" w:type="dxa"/>
            <w:shd w:val="clear" w:color="auto" w:fill="F5F5F5"/>
          </w:tcPr>
          <w:p w14:paraId="0B457261" w14:textId="77777777" w:rsidR="006E211C" w:rsidRDefault="00000000">
            <w:r>
              <w:rPr>
                <w:rFonts w:ascii="Arial Narrow" w:eastAsia="Arial Narrow" w:hAnsi="Arial Narrow" w:cs="Arial Narrow"/>
              </w:rPr>
              <w:t>Öffentlich geförderter Verbraucherschutz. Beratung zu Nebenkostenabrechnungen kostenlos oder günstig.</w:t>
            </w:r>
          </w:p>
        </w:tc>
        <w:tc>
          <w:tcPr>
            <w:tcW w:w="3000" w:type="dxa"/>
            <w:shd w:val="clear" w:color="auto" w:fill="F5F5F5"/>
          </w:tcPr>
          <w:p w14:paraId="02419975" w14:textId="77777777" w:rsidR="006E211C" w:rsidRDefault="00000000">
            <w:r>
              <w:rPr>
                <w:rFonts w:ascii="Arial Narrow" w:eastAsia="Arial Narrow" w:hAnsi="Arial Narrow" w:cs="Arial Narrow"/>
              </w:rPr>
              <w:t>Nicht automatisiert. Wartezeiten. Nicht digital skalierbar. Kein digitales Werkzeug verfügbar.</w:t>
            </w:r>
          </w:p>
        </w:tc>
      </w:tr>
    </w:tbl>
    <w:p w14:paraId="4A4F56E9" w14:textId="77777777" w:rsidR="006E211C" w:rsidRDefault="006E211C">
      <w:pPr>
        <w:spacing w:after="120"/>
      </w:pPr>
    </w:p>
    <w:p w14:paraId="60C61849" w14:textId="77777777" w:rsidR="006E211C" w:rsidRDefault="00000000">
      <w:pPr>
        <w:spacing w:after="80"/>
      </w:pPr>
      <w:r>
        <w:rPr>
          <w:rFonts w:ascii="Arial Narrow" w:eastAsia="Arial Narrow" w:hAnsi="Arial Narrow" w:cs="Arial Narrow"/>
          <w:i/>
          <w:iCs/>
          <w:color w:val="666666"/>
          <w:sz w:val="18"/>
          <w:szCs w:val="18"/>
        </w:rPr>
        <w:t>Quelle: mieterbund.de (Mai 2026); verbraucherzentrale.de (Mai 2026)</w:t>
      </w:r>
    </w:p>
    <w:p w14:paraId="2A9E9B16" w14:textId="77777777" w:rsidR="006E211C" w:rsidRDefault="00000000">
      <w:pPr>
        <w:spacing w:before="280" w:after="100"/>
      </w:pPr>
      <w:r>
        <w:rPr>
          <w:rFonts w:ascii="Arial Narrow" w:eastAsia="Arial Narrow" w:hAnsi="Arial Narrow" w:cs="Arial Narrow"/>
          <w:b/>
          <w:bCs/>
          <w:color w:val="333333"/>
          <w:sz w:val="26"/>
          <w:szCs w:val="26"/>
        </w:rPr>
        <w:t>3.4 Schlussfolgerung: Die Marktlücke</w:t>
      </w:r>
    </w:p>
    <w:p w14:paraId="21B06A6B" w14:textId="77777777" w:rsidR="006E211C" w:rsidRDefault="00000000">
      <w:pPr>
        <w:spacing w:after="120"/>
      </w:pPr>
      <w:r>
        <w:rPr>
          <w:rFonts w:ascii="Arial Narrow" w:eastAsia="Arial Narrow" w:hAnsi="Arial Narrow" w:cs="Arial Narrow"/>
          <w:sz w:val="22"/>
          <w:szCs w:val="22"/>
        </w:rPr>
        <w:t>Der Markt für Mieter-Informationsangebote zu Nebenkostenabrechnungen in Deutschland ist in drei Segmente aufgeteilt: statische Informationsportale ohne interaktive Funktion, eine Legal-Tech-Plattform für ein anderes mietrechtliches Thema und Beratungsorganisationen ohne digitale Skalierbarkeit. Kein Anbieter bietet ein digitales, automatisiertes Werkzeug, das Mieter durch die vollständige, positionsgenaue Prüfung ihrer Nebenkostenabrechnung führt.</w:t>
      </w:r>
    </w:p>
    <w:p w14:paraId="07EF5308" w14:textId="77777777" w:rsidR="006E211C" w:rsidRDefault="00000000">
      <w:pPr>
        <w:spacing w:after="120"/>
      </w:pPr>
      <w:r>
        <w:rPr>
          <w:rFonts w:ascii="Arial Narrow" w:eastAsia="Arial Narrow" w:hAnsi="Arial Narrow" w:cs="Arial Narrow"/>
          <w:sz w:val="22"/>
          <w:szCs w:val="22"/>
        </w:rPr>
        <w:t>Diese Marktlücke ist klar abgegrenzt, durch Eigenrecherche belegt und für WAMOCON mit vorhandener technischer Kompetenz besetzbar.</w:t>
      </w:r>
    </w:p>
    <w:p w14:paraId="57055F93" w14:textId="50329A6C" w:rsidR="006E211C" w:rsidRDefault="00000000" w:rsidP="00CD0B9A">
      <w:pPr>
        <w:pageBreakBefore/>
      </w:pPr>
      <w:r>
        <w:lastRenderedPageBreak/>
        <w:br/>
      </w:r>
      <w:r>
        <w:rPr>
          <w:rFonts w:ascii="Arial Narrow" w:eastAsia="Arial Narrow" w:hAnsi="Arial Narrow" w:cs="Arial Narrow"/>
          <w:b/>
          <w:bCs/>
          <w:color w:val="000000"/>
          <w:sz w:val="34"/>
          <w:szCs w:val="34"/>
        </w:rPr>
        <w:t>4. Zielgruppe</w:t>
      </w:r>
    </w:p>
    <w:p w14:paraId="0430734F" w14:textId="77777777" w:rsidR="006E211C" w:rsidRDefault="00000000">
      <w:pPr>
        <w:spacing w:before="280" w:after="100"/>
      </w:pPr>
      <w:r>
        <w:rPr>
          <w:rFonts w:ascii="Arial Narrow" w:eastAsia="Arial Narrow" w:hAnsi="Arial Narrow" w:cs="Arial Narrow"/>
          <w:b/>
          <w:bCs/>
          <w:color w:val="333333"/>
          <w:sz w:val="26"/>
          <w:szCs w:val="26"/>
        </w:rPr>
        <w:t>4.1 Primäre Zielgruppe</w:t>
      </w:r>
    </w:p>
    <w:p w14:paraId="51C44D34" w14:textId="77777777" w:rsidR="006E211C" w:rsidRDefault="00000000">
      <w:pPr>
        <w:spacing w:after="120"/>
      </w:pPr>
      <w:r>
        <w:rPr>
          <w:rFonts w:ascii="Arial Narrow" w:eastAsia="Arial Narrow" w:hAnsi="Arial Narrow" w:cs="Arial Narrow"/>
          <w:sz w:val="22"/>
          <w:szCs w:val="22"/>
        </w:rPr>
        <w:t>Die primäre Zielgruppe sind Mieter in Deutschland im Alter von 25 bis 65 Jahren, die eine Nebenkostenabrechnung erhalten haben und diese eigenständig prüfen möchten. Die Zielgruppe ist technologieaffin genug für die Nutzung einer Web-App, hat jedoch kein juristisches Fachwissen. Sie möchte wissen, ob ihre Abrechnung korrekt ist, ohne einen Anwalt zu beauftragen oder dem Mieterbund beizutreten.</w:t>
      </w:r>
    </w:p>
    <w:p w14:paraId="72D2A3DF" w14:textId="77777777" w:rsidR="006E211C" w:rsidRDefault="00000000">
      <w:pPr>
        <w:spacing w:after="120"/>
      </w:pPr>
      <w:r>
        <w:rPr>
          <w:rFonts w:ascii="Arial Narrow" w:eastAsia="Arial Narrow" w:hAnsi="Arial Narrow" w:cs="Arial Narrow"/>
          <w:sz w:val="22"/>
          <w:szCs w:val="22"/>
        </w:rPr>
        <w:t>Der Aktivierungszeitpunkt ist die Abrechnung selbst: Sie trifft typischerweise zwischen Januar und März für das vorangehende Abrechnungsjahr ein. Eine hohe Nachzahlung ist der stärkste Aktivierungsauslöser. Die gesetzliche Einwendungsfrist von zwölf Monaten erzeugt einen klar definierten Handlungsdruck.</w:t>
      </w:r>
    </w:p>
    <w:p w14:paraId="15E59601" w14:textId="77777777" w:rsidR="006E211C" w:rsidRDefault="00000000">
      <w:pPr>
        <w:spacing w:before="200" w:after="80"/>
      </w:pPr>
      <w:r>
        <w:rPr>
          <w:rFonts w:ascii="Arial Narrow" w:eastAsia="Arial Narrow" w:hAnsi="Arial Narrow" w:cs="Arial Narrow"/>
          <w:b/>
          <w:bCs/>
          <w:color w:val="333333"/>
          <w:sz w:val="24"/>
          <w:szCs w:val="24"/>
        </w:rPr>
        <w:t>Nutzerprofil 1: Der vorsichtige Prüfer</w:t>
      </w:r>
    </w:p>
    <w:p w14:paraId="23B85EBC" w14:textId="77777777" w:rsidR="006E211C" w:rsidRDefault="00000000">
      <w:pPr>
        <w:spacing w:after="120"/>
      </w:pPr>
      <w:r>
        <w:rPr>
          <w:rFonts w:ascii="Arial Narrow" w:eastAsia="Arial Narrow" w:hAnsi="Arial Narrow" w:cs="Arial Narrow"/>
          <w:sz w:val="22"/>
          <w:szCs w:val="22"/>
        </w:rPr>
        <w:t>Er hat eine hohe Nachzahlung erhalten und möchte diese auf Plausibilität prüfen. Er ist nicht sicher, ob er widersprechen will, aber er möchte wissen, ob es Gründe dafür gibt. Er schätzt eine klare, verständliche Erklärung jeder Position. Er ist bereit, für ein fundiertes Prüfergebnis zu zahlen, wenn der potenzielle Erstattungsbetrag die Kosten übersteigt.</w:t>
      </w:r>
    </w:p>
    <w:p w14:paraId="731718E0" w14:textId="77777777" w:rsidR="006E211C" w:rsidRDefault="00000000">
      <w:pPr>
        <w:spacing w:before="200" w:after="80"/>
      </w:pPr>
      <w:r>
        <w:rPr>
          <w:rFonts w:ascii="Arial Narrow" w:eastAsia="Arial Narrow" w:hAnsi="Arial Narrow" w:cs="Arial Narrow"/>
          <w:b/>
          <w:bCs/>
          <w:color w:val="333333"/>
          <w:sz w:val="24"/>
          <w:szCs w:val="24"/>
        </w:rPr>
        <w:t>Nutzerprofil 2: Der Widerspruchsentschlossene</w:t>
      </w:r>
    </w:p>
    <w:p w14:paraId="58224D9F" w14:textId="77777777" w:rsidR="006E211C" w:rsidRDefault="00000000">
      <w:pPr>
        <w:spacing w:after="120"/>
      </w:pPr>
      <w:r>
        <w:rPr>
          <w:rFonts w:ascii="Arial Narrow" w:eastAsia="Arial Narrow" w:hAnsi="Arial Narrow" w:cs="Arial Narrow"/>
          <w:sz w:val="22"/>
          <w:szCs w:val="22"/>
        </w:rPr>
        <w:t>Er ist bereits überzeugt, dass seine Abrechnung fehlerhaft ist, hat jedoch keine strukturierten Belege und kein fertiges Argument. Er benötigt das Widerspruchsschreiben als fertiges Dokument und die gesetzlichen Referenzen für seine Argumentation gegenüber dem Vermieter. Der Widerspruchsschreiben-Generator ist für ihn der primäre Kaufgrund.</w:t>
      </w:r>
    </w:p>
    <w:p w14:paraId="3708BD88" w14:textId="77777777" w:rsidR="006E211C" w:rsidRDefault="00000000">
      <w:pPr>
        <w:spacing w:before="280" w:after="100"/>
      </w:pPr>
      <w:r>
        <w:rPr>
          <w:rFonts w:ascii="Arial Narrow" w:eastAsia="Arial Narrow" w:hAnsi="Arial Narrow" w:cs="Arial Narrow"/>
          <w:b/>
          <w:bCs/>
          <w:color w:val="333333"/>
          <w:sz w:val="26"/>
          <w:szCs w:val="26"/>
        </w:rPr>
        <w:t>4.2 Sekundäre Zielgruppe</w:t>
      </w:r>
    </w:p>
    <w:p w14:paraId="655BCC0B" w14:textId="77777777" w:rsidR="006E211C" w:rsidRDefault="00000000">
      <w:pPr>
        <w:spacing w:after="120"/>
      </w:pPr>
      <w:r>
        <w:rPr>
          <w:rFonts w:ascii="Arial Narrow" w:eastAsia="Arial Narrow" w:hAnsi="Arial Narrow" w:cs="Arial Narrow"/>
          <w:sz w:val="22"/>
          <w:szCs w:val="22"/>
        </w:rPr>
        <w:t xml:space="preserve">Immobilienverwaltungen und Hausverwaltungen sind eine attraktive sekundäre Zielgruppe für Version 2: Sie erstellen selbst Nebenkostenabrechnungen und könnten </w:t>
      </w:r>
      <w:proofErr w:type="spellStart"/>
      <w:r>
        <w:rPr>
          <w:rFonts w:ascii="Arial Narrow" w:eastAsia="Arial Narrow" w:hAnsi="Arial Narrow" w:cs="Arial Narrow"/>
          <w:sz w:val="22"/>
          <w:szCs w:val="22"/>
        </w:rPr>
        <w:t>NebenkostenCheck</w:t>
      </w:r>
      <w:proofErr w:type="spellEnd"/>
      <w:r>
        <w:rPr>
          <w:rFonts w:ascii="Arial Narrow" w:eastAsia="Arial Narrow" w:hAnsi="Arial Narrow" w:cs="Arial Narrow"/>
          <w:sz w:val="22"/>
          <w:szCs w:val="22"/>
        </w:rPr>
        <w:t xml:space="preserve"> als Compliance-Prüfwerkzeug einsetzen, um vor dem Versand zu prüfen, ob alle Positionen gesetzlich zulässig sind. Diese Verwendung erfordert ein separates Verwaltungsmodul und kommt in Version 2.</w:t>
      </w:r>
    </w:p>
    <w:p w14:paraId="0DAFA056" w14:textId="77777777" w:rsidR="006E211C" w:rsidRDefault="00000000">
      <w:pPr>
        <w:spacing w:before="280" w:after="100"/>
      </w:pPr>
      <w:r>
        <w:rPr>
          <w:rFonts w:ascii="Arial Narrow" w:eastAsia="Arial Narrow" w:hAnsi="Arial Narrow" w:cs="Arial Narrow"/>
          <w:b/>
          <w:bCs/>
          <w:color w:val="333333"/>
          <w:sz w:val="26"/>
          <w:szCs w:val="26"/>
        </w:rPr>
        <w:t>4.3 Nicht-Zielgruppe</w:t>
      </w:r>
    </w:p>
    <w:p w14:paraId="25A6AAA8" w14:textId="77777777" w:rsidR="006E211C" w:rsidRDefault="00000000">
      <w:pPr>
        <w:spacing w:after="120"/>
      </w:pPr>
      <w:r>
        <w:rPr>
          <w:rFonts w:ascii="Arial Narrow" w:eastAsia="Arial Narrow" w:hAnsi="Arial Narrow" w:cs="Arial Narrow"/>
          <w:sz w:val="22"/>
          <w:szCs w:val="22"/>
        </w:rPr>
        <w:t>Eigentümer selbstgenutzter Immobilien sind nicht die Zielgruppe von Version 1. Mieterhaushalte mit Warmmiete-Verträgen ohne separate Abrechnung sind ebenfalls nicht adressiert. Gewerbliche Mieter unterliegen abweichenden rechtlichen Anforderungen und kommen in einer späteren Version.</w:t>
      </w:r>
    </w:p>
    <w:p w14:paraId="345E5AF6" w14:textId="77777777" w:rsidR="00CD0B9A" w:rsidRDefault="00CD0B9A">
      <w:pPr>
        <w:rPr>
          <w:rFonts w:ascii="Arial Narrow" w:eastAsia="Arial Narrow" w:hAnsi="Arial Narrow" w:cs="Arial Narrow"/>
          <w:b/>
          <w:bCs/>
          <w:color w:val="000000"/>
          <w:sz w:val="34"/>
          <w:szCs w:val="34"/>
        </w:rPr>
      </w:pPr>
      <w:r>
        <w:rPr>
          <w:rFonts w:ascii="Arial Narrow" w:eastAsia="Arial Narrow" w:hAnsi="Arial Narrow" w:cs="Arial Narrow"/>
          <w:b/>
          <w:bCs/>
          <w:color w:val="000000"/>
          <w:sz w:val="34"/>
          <w:szCs w:val="34"/>
        </w:rPr>
        <w:br w:type="page"/>
      </w:r>
    </w:p>
    <w:p w14:paraId="0B9F42F3" w14:textId="0089751C" w:rsidR="006E211C" w:rsidRDefault="00000000">
      <w:pPr>
        <w:spacing w:before="400" w:after="160"/>
      </w:pPr>
      <w:r>
        <w:rPr>
          <w:rFonts w:ascii="Arial Narrow" w:eastAsia="Arial Narrow" w:hAnsi="Arial Narrow" w:cs="Arial Narrow"/>
          <w:b/>
          <w:bCs/>
          <w:color w:val="000000"/>
          <w:sz w:val="34"/>
          <w:szCs w:val="34"/>
        </w:rPr>
        <w:lastRenderedPageBreak/>
        <w:t>5. Nutzen und Alleinstellungsmerkmal</w:t>
      </w:r>
    </w:p>
    <w:p w14:paraId="77D81C8C" w14:textId="77777777" w:rsidR="006E211C" w:rsidRDefault="00000000">
      <w:pPr>
        <w:spacing w:before="280" w:after="100"/>
      </w:pPr>
      <w:r>
        <w:rPr>
          <w:rFonts w:ascii="Arial Narrow" w:eastAsia="Arial Narrow" w:hAnsi="Arial Narrow" w:cs="Arial Narrow"/>
          <w:b/>
          <w:bCs/>
          <w:color w:val="333333"/>
          <w:sz w:val="26"/>
          <w:szCs w:val="26"/>
        </w:rPr>
        <w:t>5.1 Nutzen für Kunden</w:t>
      </w:r>
    </w:p>
    <w:p w14:paraId="38CC1082" w14:textId="77777777" w:rsidR="006E211C" w:rsidRDefault="006E211C">
      <w:pPr>
        <w:spacing w:after="12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2600"/>
      </w:tblGrid>
      <w:tr w:rsidR="006E211C" w14:paraId="4833092C" w14:textId="77777777">
        <w:tblPrEx>
          <w:tblCellMar>
            <w:top w:w="0" w:type="dxa"/>
            <w:bottom w:w="0" w:type="dxa"/>
          </w:tblCellMar>
        </w:tblPrEx>
        <w:trPr>
          <w:tblHeader/>
        </w:trPr>
        <w:tc>
          <w:tcPr>
            <w:tcW w:w="2400" w:type="dxa"/>
            <w:shd w:val="clear" w:color="auto" w:fill="000000"/>
          </w:tcPr>
          <w:p w14:paraId="07A22991" w14:textId="77777777" w:rsidR="006E211C" w:rsidRDefault="00000000">
            <w:pPr>
              <w:jc w:val="center"/>
            </w:pPr>
            <w:r>
              <w:rPr>
                <w:rFonts w:ascii="Arial Narrow" w:eastAsia="Arial Narrow" w:hAnsi="Arial Narrow" w:cs="Arial Narrow"/>
                <w:b/>
                <w:bCs/>
                <w:color w:val="FFFFFF"/>
              </w:rPr>
              <w:t>Problem heute</w:t>
            </w:r>
          </w:p>
        </w:tc>
        <w:tc>
          <w:tcPr>
            <w:tcW w:w="2800" w:type="dxa"/>
            <w:shd w:val="clear" w:color="auto" w:fill="000000"/>
          </w:tcPr>
          <w:p w14:paraId="73214716" w14:textId="77777777" w:rsidR="006E211C" w:rsidRDefault="00000000">
            <w:pPr>
              <w:jc w:val="center"/>
            </w:pPr>
            <w:r>
              <w:rPr>
                <w:rFonts w:ascii="Arial Narrow" w:eastAsia="Arial Narrow" w:hAnsi="Arial Narrow" w:cs="Arial Narrow"/>
                <w:b/>
                <w:bCs/>
                <w:color w:val="FFFFFF"/>
              </w:rPr>
              <w:t xml:space="preserve">Lösung durch </w:t>
            </w:r>
            <w:proofErr w:type="spellStart"/>
            <w:r>
              <w:rPr>
                <w:rFonts w:ascii="Arial Narrow" w:eastAsia="Arial Narrow" w:hAnsi="Arial Narrow" w:cs="Arial Narrow"/>
                <w:b/>
                <w:bCs/>
                <w:color w:val="FFFFFF"/>
              </w:rPr>
              <w:t>NebenkostenCheck</w:t>
            </w:r>
            <w:proofErr w:type="spellEnd"/>
          </w:p>
        </w:tc>
        <w:tc>
          <w:tcPr>
            <w:tcW w:w="2600" w:type="dxa"/>
            <w:shd w:val="clear" w:color="auto" w:fill="000000"/>
          </w:tcPr>
          <w:p w14:paraId="5EB105A9" w14:textId="77777777" w:rsidR="006E211C" w:rsidRDefault="00000000">
            <w:pPr>
              <w:jc w:val="center"/>
            </w:pPr>
            <w:r>
              <w:rPr>
                <w:rFonts w:ascii="Arial Narrow" w:eastAsia="Arial Narrow" w:hAnsi="Arial Narrow" w:cs="Arial Narrow"/>
                <w:b/>
                <w:bCs/>
                <w:color w:val="FFFFFF"/>
              </w:rPr>
              <w:t>Konkreter Vorteil</w:t>
            </w:r>
          </w:p>
        </w:tc>
      </w:tr>
      <w:tr w:rsidR="006E211C" w14:paraId="637AD58E" w14:textId="77777777">
        <w:tblPrEx>
          <w:tblCellMar>
            <w:top w:w="0" w:type="dxa"/>
            <w:bottom w:w="0" w:type="dxa"/>
          </w:tblCellMar>
        </w:tblPrEx>
        <w:tc>
          <w:tcPr>
            <w:tcW w:w="2400" w:type="dxa"/>
            <w:shd w:val="clear" w:color="auto" w:fill="FFFFFF"/>
          </w:tcPr>
          <w:p w14:paraId="68F3C296" w14:textId="77777777" w:rsidR="006E211C" w:rsidRDefault="00000000">
            <w:r>
              <w:rPr>
                <w:rFonts w:ascii="Arial Narrow" w:eastAsia="Arial Narrow" w:hAnsi="Arial Narrow" w:cs="Arial Narrow"/>
              </w:rPr>
              <w:t>Mieter kann Abrechnung nicht eigenständig prüfen (fehlendes Fachwissen)</w:t>
            </w:r>
          </w:p>
        </w:tc>
        <w:tc>
          <w:tcPr>
            <w:tcW w:w="2800" w:type="dxa"/>
            <w:shd w:val="clear" w:color="auto" w:fill="FFFFFF"/>
          </w:tcPr>
          <w:p w14:paraId="6A7CDA05" w14:textId="77777777" w:rsidR="006E211C" w:rsidRDefault="00000000">
            <w:r>
              <w:rPr>
                <w:rFonts w:ascii="Arial Narrow" w:eastAsia="Arial Narrow" w:hAnsi="Arial Narrow" w:cs="Arial Narrow"/>
              </w:rPr>
              <w:t>Schritt-für-Schritt-Assistent mit Erklärungen zu jeder Position in verständlicher Sprache</w:t>
            </w:r>
          </w:p>
        </w:tc>
        <w:tc>
          <w:tcPr>
            <w:tcW w:w="2600" w:type="dxa"/>
            <w:shd w:val="clear" w:color="auto" w:fill="FFFFFF"/>
          </w:tcPr>
          <w:p w14:paraId="52C4D060" w14:textId="77777777" w:rsidR="006E211C" w:rsidRDefault="00000000">
            <w:r>
              <w:rPr>
                <w:rFonts w:ascii="Arial Narrow" w:eastAsia="Arial Narrow" w:hAnsi="Arial Narrow" w:cs="Arial Narrow"/>
              </w:rPr>
              <w:t>Vollständige Prüfung ohne juristische Vorkenntnisse in unter 30 Minuten</w:t>
            </w:r>
          </w:p>
        </w:tc>
      </w:tr>
      <w:tr w:rsidR="006E211C" w14:paraId="68793683" w14:textId="77777777">
        <w:tblPrEx>
          <w:tblCellMar>
            <w:top w:w="0" w:type="dxa"/>
            <w:bottom w:w="0" w:type="dxa"/>
          </w:tblCellMar>
        </w:tblPrEx>
        <w:tc>
          <w:tcPr>
            <w:tcW w:w="2400" w:type="dxa"/>
            <w:shd w:val="clear" w:color="auto" w:fill="F5F5F5"/>
          </w:tcPr>
          <w:p w14:paraId="7A5F8AE3" w14:textId="77777777" w:rsidR="006E211C" w:rsidRDefault="00000000">
            <w:r>
              <w:rPr>
                <w:rFonts w:ascii="Arial Narrow" w:eastAsia="Arial Narrow" w:hAnsi="Arial Narrow" w:cs="Arial Narrow"/>
              </w:rPr>
              <w:t>Keine sofortige Information, ob Positionen unzulässig sind</w:t>
            </w:r>
          </w:p>
        </w:tc>
        <w:tc>
          <w:tcPr>
            <w:tcW w:w="2800" w:type="dxa"/>
            <w:shd w:val="clear" w:color="auto" w:fill="F5F5F5"/>
          </w:tcPr>
          <w:p w14:paraId="3E6032A8" w14:textId="77777777" w:rsidR="006E211C" w:rsidRDefault="00000000">
            <w:r>
              <w:rPr>
                <w:rFonts w:ascii="Arial Narrow" w:eastAsia="Arial Narrow" w:hAnsi="Arial Narrow" w:cs="Arial Narrow"/>
              </w:rPr>
              <w:t>Automatischer Abgleich mit BetrKV-Liste, Ampeldarstellung des Gesamtergebnisses</w:t>
            </w:r>
          </w:p>
        </w:tc>
        <w:tc>
          <w:tcPr>
            <w:tcW w:w="2600" w:type="dxa"/>
            <w:shd w:val="clear" w:color="auto" w:fill="F5F5F5"/>
          </w:tcPr>
          <w:p w14:paraId="0B842B2E" w14:textId="77777777" w:rsidR="006E211C" w:rsidRDefault="00000000">
            <w:r>
              <w:rPr>
                <w:rFonts w:ascii="Arial Narrow" w:eastAsia="Arial Narrow" w:hAnsi="Arial Narrow" w:cs="Arial Narrow"/>
              </w:rPr>
              <w:t>Sofortiges, klares Ergebnis mit Gesetzesreferenz pro Position</w:t>
            </w:r>
          </w:p>
        </w:tc>
      </w:tr>
      <w:tr w:rsidR="006E211C" w14:paraId="72D71A90" w14:textId="77777777">
        <w:tblPrEx>
          <w:tblCellMar>
            <w:top w:w="0" w:type="dxa"/>
            <w:bottom w:w="0" w:type="dxa"/>
          </w:tblCellMar>
        </w:tblPrEx>
        <w:tc>
          <w:tcPr>
            <w:tcW w:w="2400" w:type="dxa"/>
            <w:shd w:val="clear" w:color="auto" w:fill="FFFFFF"/>
          </w:tcPr>
          <w:p w14:paraId="0D2D1F47" w14:textId="77777777" w:rsidR="006E211C" w:rsidRDefault="00000000">
            <w:r>
              <w:rPr>
                <w:rFonts w:ascii="Arial Narrow" w:eastAsia="Arial Narrow" w:hAnsi="Arial Narrow" w:cs="Arial Narrow"/>
              </w:rPr>
              <w:t>HKVO-Konformität der Heizkostenabrechnung nicht prüfbar</w:t>
            </w:r>
          </w:p>
        </w:tc>
        <w:tc>
          <w:tcPr>
            <w:tcW w:w="2800" w:type="dxa"/>
            <w:shd w:val="clear" w:color="auto" w:fill="FFFFFF"/>
          </w:tcPr>
          <w:p w14:paraId="1715988C" w14:textId="77777777" w:rsidR="006E211C" w:rsidRDefault="00000000">
            <w:r>
              <w:rPr>
                <w:rFonts w:ascii="Arial Narrow" w:eastAsia="Arial Narrow" w:hAnsi="Arial Narrow" w:cs="Arial Narrow"/>
              </w:rPr>
              <w:t>Automatische Prüfung des Verbrauchsanteils nach HKVO §7</w:t>
            </w:r>
          </w:p>
        </w:tc>
        <w:tc>
          <w:tcPr>
            <w:tcW w:w="2600" w:type="dxa"/>
            <w:shd w:val="clear" w:color="auto" w:fill="FFFFFF"/>
          </w:tcPr>
          <w:p w14:paraId="3289FDB7" w14:textId="77777777" w:rsidR="006E211C" w:rsidRDefault="00000000">
            <w:r>
              <w:rPr>
                <w:rFonts w:ascii="Arial Narrow" w:eastAsia="Arial Narrow" w:hAnsi="Arial Narrow" w:cs="Arial Narrow"/>
              </w:rPr>
              <w:t>Verlässliche Prüfung des häufig fehlerträchtigen Teils der Abrechnung</w:t>
            </w:r>
          </w:p>
        </w:tc>
      </w:tr>
      <w:tr w:rsidR="006E211C" w14:paraId="7B894F52" w14:textId="77777777">
        <w:tblPrEx>
          <w:tblCellMar>
            <w:top w:w="0" w:type="dxa"/>
            <w:bottom w:w="0" w:type="dxa"/>
          </w:tblCellMar>
        </w:tblPrEx>
        <w:tc>
          <w:tcPr>
            <w:tcW w:w="2400" w:type="dxa"/>
            <w:shd w:val="clear" w:color="auto" w:fill="F5F5F5"/>
          </w:tcPr>
          <w:p w14:paraId="4122F249" w14:textId="77777777" w:rsidR="006E211C" w:rsidRDefault="00000000">
            <w:r>
              <w:rPr>
                <w:rFonts w:ascii="Arial Narrow" w:eastAsia="Arial Narrow" w:hAnsi="Arial Narrow" w:cs="Arial Narrow"/>
              </w:rPr>
              <w:t>Widerspruchsschreiben erfordert Anwalt oder Mieterbund-Mitgliedschaft</w:t>
            </w:r>
          </w:p>
        </w:tc>
        <w:tc>
          <w:tcPr>
            <w:tcW w:w="2800" w:type="dxa"/>
            <w:shd w:val="clear" w:color="auto" w:fill="F5F5F5"/>
          </w:tcPr>
          <w:p w14:paraId="74B5AA9D" w14:textId="77777777" w:rsidR="006E211C" w:rsidRDefault="00000000">
            <w:r>
              <w:rPr>
                <w:rFonts w:ascii="Arial Narrow" w:eastAsia="Arial Narrow" w:hAnsi="Arial Narrow" w:cs="Arial Narrow"/>
              </w:rPr>
              <w:t>Automatisch generiertes Widerspruchsschreiben mit Gesetzesreferenzen</w:t>
            </w:r>
          </w:p>
        </w:tc>
        <w:tc>
          <w:tcPr>
            <w:tcW w:w="2600" w:type="dxa"/>
            <w:shd w:val="clear" w:color="auto" w:fill="F5F5F5"/>
          </w:tcPr>
          <w:p w14:paraId="785F4FE7" w14:textId="77777777" w:rsidR="006E211C" w:rsidRDefault="00000000">
            <w:r>
              <w:rPr>
                <w:rFonts w:ascii="Arial Narrow" w:eastAsia="Arial Narrow" w:hAnsi="Arial Narrow" w:cs="Arial Narrow"/>
              </w:rPr>
              <w:t>Professionelles Schreiben ohne Mitgliedsbeitrag oder Anwaltshonorar</w:t>
            </w:r>
          </w:p>
        </w:tc>
      </w:tr>
      <w:tr w:rsidR="006E211C" w14:paraId="28F18B3F" w14:textId="77777777">
        <w:tblPrEx>
          <w:tblCellMar>
            <w:top w:w="0" w:type="dxa"/>
            <w:bottom w:w="0" w:type="dxa"/>
          </w:tblCellMar>
        </w:tblPrEx>
        <w:tc>
          <w:tcPr>
            <w:tcW w:w="2400" w:type="dxa"/>
            <w:shd w:val="clear" w:color="auto" w:fill="FFFFFF"/>
          </w:tcPr>
          <w:p w14:paraId="5DB4E71C" w14:textId="77777777" w:rsidR="006E211C" w:rsidRDefault="00000000">
            <w:r>
              <w:rPr>
                <w:rFonts w:ascii="Arial Narrow" w:eastAsia="Arial Narrow" w:hAnsi="Arial Narrow" w:cs="Arial Narrow"/>
              </w:rPr>
              <w:t>12-Monats-Einwendungsfrist unbekannt oder vergessen</w:t>
            </w:r>
          </w:p>
        </w:tc>
        <w:tc>
          <w:tcPr>
            <w:tcW w:w="2800" w:type="dxa"/>
            <w:shd w:val="clear" w:color="auto" w:fill="FFFFFF"/>
          </w:tcPr>
          <w:p w14:paraId="001313CA" w14:textId="77777777" w:rsidR="006E211C" w:rsidRDefault="00000000">
            <w:r>
              <w:rPr>
                <w:rFonts w:ascii="Arial Narrow" w:eastAsia="Arial Narrow" w:hAnsi="Arial Narrow" w:cs="Arial Narrow"/>
              </w:rPr>
              <w:t>Automatische Fristenüberwachung mit Erinnerungsbenachrichtigungen</w:t>
            </w:r>
          </w:p>
        </w:tc>
        <w:tc>
          <w:tcPr>
            <w:tcW w:w="2600" w:type="dxa"/>
            <w:shd w:val="clear" w:color="auto" w:fill="FFFFFF"/>
          </w:tcPr>
          <w:p w14:paraId="76EACE19" w14:textId="77777777" w:rsidR="006E211C" w:rsidRDefault="00000000">
            <w:r>
              <w:rPr>
                <w:rFonts w:ascii="Arial Narrow" w:eastAsia="Arial Narrow" w:hAnsi="Arial Narrow" w:cs="Arial Narrow"/>
              </w:rPr>
              <w:t>Kein versehentlicher Verlust des Widerspruchsrechts mehr</w:t>
            </w:r>
          </w:p>
        </w:tc>
      </w:tr>
    </w:tbl>
    <w:p w14:paraId="5577C23B" w14:textId="77777777" w:rsidR="006E211C" w:rsidRDefault="006E211C">
      <w:pPr>
        <w:spacing w:after="120"/>
      </w:pPr>
    </w:p>
    <w:p w14:paraId="6E63432C" w14:textId="77777777" w:rsidR="006E211C" w:rsidRDefault="00000000">
      <w:pPr>
        <w:spacing w:before="280" w:after="100"/>
      </w:pPr>
      <w:r>
        <w:rPr>
          <w:rFonts w:ascii="Arial Narrow" w:eastAsia="Arial Narrow" w:hAnsi="Arial Narrow" w:cs="Arial Narrow"/>
          <w:b/>
          <w:bCs/>
          <w:color w:val="333333"/>
          <w:sz w:val="26"/>
          <w:szCs w:val="26"/>
        </w:rPr>
        <w:t>5.2 Nutzen für die WAMOCON GmbH</w:t>
      </w:r>
    </w:p>
    <w:p w14:paraId="7114E4D8" w14:textId="77777777" w:rsidR="006E211C" w:rsidRDefault="00000000">
      <w:pPr>
        <w:spacing w:after="120"/>
      </w:pPr>
      <w:proofErr w:type="spellStart"/>
      <w:r>
        <w:rPr>
          <w:rFonts w:ascii="Arial Narrow" w:eastAsia="Arial Narrow" w:hAnsi="Arial Narrow" w:cs="Arial Narrow"/>
          <w:sz w:val="22"/>
          <w:szCs w:val="22"/>
        </w:rPr>
        <w:t>NebenkostenCheck</w:t>
      </w:r>
      <w:proofErr w:type="spellEnd"/>
      <w:r>
        <w:rPr>
          <w:rFonts w:ascii="Arial Narrow" w:eastAsia="Arial Narrow" w:hAnsi="Arial Narrow" w:cs="Arial Narrow"/>
          <w:sz w:val="22"/>
          <w:szCs w:val="22"/>
        </w:rPr>
        <w:t xml:space="preserve"> ist ein digitales Produkt mit hohem Skalierungspotenzial. Der Entwicklungsaufwand für Version 1 ist einmalig, die Erlöse wachsen mit der Nutzerzahl. Das Produkt benötigt keine physische Infrastruktur und kann ohne proportionalen Personalaufwand skalieren.</w:t>
      </w:r>
    </w:p>
    <w:p w14:paraId="499C2808" w14:textId="77777777" w:rsidR="006E211C" w:rsidRDefault="00000000">
      <w:pPr>
        <w:spacing w:after="180"/>
      </w:pPr>
      <w:r>
        <w:rPr>
          <w:rFonts w:ascii="Arial Narrow" w:eastAsia="Arial Narrow" w:hAnsi="Arial Narrow" w:cs="Arial Narrow"/>
          <w:sz w:val="22"/>
          <w:szCs w:val="22"/>
        </w:rPr>
        <w:t>Das Geschäftsmodell folgt dem bewährten Freemium</w:t>
      </w:r>
      <w:r>
        <w:rPr>
          <w:rStyle w:val="Funotenzeichen"/>
        </w:rPr>
        <w:footnoteReference w:id="10"/>
      </w:r>
      <w:r>
        <w:rPr>
          <w:rFonts w:ascii="Arial Narrow" w:eastAsia="Arial Narrow" w:hAnsi="Arial Narrow" w:cs="Arial Narrow"/>
          <w:sz w:val="22"/>
          <w:szCs w:val="22"/>
        </w:rPr>
        <w:t xml:space="preserve">-Muster: Ein kostenloser Basis-Check zeigt, ob Auffälligkeiten vorliegen, ohne den vollständigen Befund oder das Widerspruchsschreiben zu liefern. Die Pro-Funktion wird als Einzel-Transaktion pro Abrechnung oder als Jahresabonnement angeboten. Dieser </w:t>
      </w:r>
      <w:proofErr w:type="spellStart"/>
      <w:r>
        <w:rPr>
          <w:rFonts w:ascii="Arial Narrow" w:eastAsia="Arial Narrow" w:hAnsi="Arial Narrow" w:cs="Arial Narrow"/>
          <w:sz w:val="22"/>
          <w:szCs w:val="22"/>
        </w:rPr>
        <w:t>Monetarisierungsmoment</w:t>
      </w:r>
      <w:proofErr w:type="spellEnd"/>
      <w:r>
        <w:rPr>
          <w:rFonts w:ascii="Arial Narrow" w:eastAsia="Arial Narrow" w:hAnsi="Arial Narrow" w:cs="Arial Narrow"/>
          <w:sz w:val="22"/>
          <w:szCs w:val="22"/>
        </w:rPr>
        <w:t xml:space="preserve"> tritt genau dann ein, wenn der Nutzer bereits Daten eingegeben hat und ein konkretes Prüfergebnis sieht.</w:t>
      </w:r>
    </w:p>
    <w:p w14:paraId="06B89499" w14:textId="77777777" w:rsidR="006E211C" w:rsidRDefault="00000000">
      <w:pPr>
        <w:spacing w:after="120"/>
      </w:pPr>
      <w:proofErr w:type="spellStart"/>
      <w:r>
        <w:rPr>
          <w:rFonts w:ascii="Arial Narrow" w:eastAsia="Arial Narrow" w:hAnsi="Arial Narrow" w:cs="Arial Narrow"/>
          <w:sz w:val="22"/>
          <w:szCs w:val="22"/>
        </w:rPr>
        <w:t>NebenkostenCheck</w:t>
      </w:r>
      <w:proofErr w:type="spellEnd"/>
      <w:r>
        <w:rPr>
          <w:rFonts w:ascii="Arial Narrow" w:eastAsia="Arial Narrow" w:hAnsi="Arial Narrow" w:cs="Arial Narrow"/>
          <w:sz w:val="22"/>
          <w:szCs w:val="22"/>
        </w:rPr>
        <w:t xml:space="preserve"> positioniert WAMOCON als Anbieter von verbraucherorientierten Digitalprodukten im deutschen Markt. Dieser Positionierungsgewinn ist für künftige Produkterweiterungen strategisch wertvoll.</w:t>
      </w:r>
    </w:p>
    <w:p w14:paraId="72297551" w14:textId="77777777" w:rsidR="006E211C" w:rsidRDefault="00000000">
      <w:pPr>
        <w:spacing w:before="280" w:after="100"/>
      </w:pPr>
      <w:r>
        <w:rPr>
          <w:rFonts w:ascii="Arial Narrow" w:eastAsia="Arial Narrow" w:hAnsi="Arial Narrow" w:cs="Arial Narrow"/>
          <w:b/>
          <w:bCs/>
          <w:color w:val="333333"/>
          <w:sz w:val="26"/>
          <w:szCs w:val="26"/>
        </w:rPr>
        <w:t>5.3 Alleinstellungsmerkmal</w:t>
      </w:r>
    </w:p>
    <w:p w14:paraId="3B86860F" w14:textId="77777777" w:rsidR="006E211C" w:rsidRDefault="00000000">
      <w:pPr>
        <w:spacing w:after="120"/>
      </w:pPr>
      <w:proofErr w:type="spellStart"/>
      <w:r>
        <w:rPr>
          <w:rFonts w:ascii="Arial Narrow" w:eastAsia="Arial Narrow" w:hAnsi="Arial Narrow" w:cs="Arial Narrow"/>
          <w:sz w:val="22"/>
          <w:szCs w:val="22"/>
        </w:rPr>
        <w:t>NebenkostenCheck</w:t>
      </w:r>
      <w:proofErr w:type="spellEnd"/>
      <w:r>
        <w:rPr>
          <w:rFonts w:ascii="Arial Narrow" w:eastAsia="Arial Narrow" w:hAnsi="Arial Narrow" w:cs="Arial Narrow"/>
          <w:sz w:val="22"/>
          <w:szCs w:val="22"/>
        </w:rPr>
        <w:t xml:space="preserve"> ist das erste und einzige digitale Werkzeug in Deutschland, das Mieter vollständig und interaktiv durch die Prüfung ihrer Nebenkostenabrechnung führt, einschließlich BetrKV-Konformitätsprüfung, HKVO-Validierung, Betragsberechnung und Widerspruchsschreiben-Generator, ohne juristische Vorkenntnisse und ohne Mitgliedschaft in einer Beratungsorganisation.</w:t>
      </w:r>
    </w:p>
    <w:p w14:paraId="7E41495B" w14:textId="77777777" w:rsidR="00CD0B9A" w:rsidRDefault="00CD0B9A">
      <w:pPr>
        <w:rPr>
          <w:rFonts w:ascii="Arial Narrow" w:eastAsia="Arial Narrow" w:hAnsi="Arial Narrow" w:cs="Arial Narrow"/>
          <w:b/>
          <w:bCs/>
          <w:color w:val="000000"/>
          <w:sz w:val="34"/>
          <w:szCs w:val="34"/>
        </w:rPr>
      </w:pPr>
      <w:r>
        <w:rPr>
          <w:rFonts w:ascii="Arial Narrow" w:eastAsia="Arial Narrow" w:hAnsi="Arial Narrow" w:cs="Arial Narrow"/>
          <w:b/>
          <w:bCs/>
          <w:color w:val="000000"/>
          <w:sz w:val="34"/>
          <w:szCs w:val="34"/>
        </w:rPr>
        <w:br w:type="page"/>
      </w:r>
    </w:p>
    <w:p w14:paraId="32FFC8C4" w14:textId="46AD37C5" w:rsidR="006E211C" w:rsidRDefault="00000000">
      <w:pPr>
        <w:spacing w:before="400" w:after="160"/>
      </w:pPr>
      <w:r>
        <w:rPr>
          <w:rFonts w:ascii="Arial Narrow" w:eastAsia="Arial Narrow" w:hAnsi="Arial Narrow" w:cs="Arial Narrow"/>
          <w:b/>
          <w:bCs/>
          <w:color w:val="000000"/>
          <w:sz w:val="34"/>
          <w:szCs w:val="34"/>
        </w:rPr>
        <w:lastRenderedPageBreak/>
        <w:t>6. Besondere Herausforderungen und Abhängigkeiten</w:t>
      </w:r>
    </w:p>
    <w:p w14:paraId="19C5D1E9" w14:textId="77777777" w:rsidR="006E211C" w:rsidRDefault="00000000">
      <w:pPr>
        <w:spacing w:before="280" w:after="100"/>
      </w:pPr>
      <w:r>
        <w:rPr>
          <w:rFonts w:ascii="Arial Narrow" w:eastAsia="Arial Narrow" w:hAnsi="Arial Narrow" w:cs="Arial Narrow"/>
          <w:b/>
          <w:bCs/>
          <w:color w:val="333333"/>
          <w:sz w:val="26"/>
          <w:szCs w:val="26"/>
        </w:rPr>
        <w:t>6.1 Rechtsrahmen: RDG-Abgrenzung</w:t>
      </w:r>
    </w:p>
    <w:p w14:paraId="55128ECA" w14:textId="77777777" w:rsidR="006E211C" w:rsidRDefault="00000000">
      <w:pPr>
        <w:spacing w:after="180"/>
      </w:pPr>
      <w:r>
        <w:rPr>
          <w:rFonts w:ascii="Arial Narrow" w:eastAsia="Arial Narrow" w:hAnsi="Arial Narrow" w:cs="Arial Narrow"/>
          <w:sz w:val="22"/>
          <w:szCs w:val="22"/>
        </w:rPr>
        <w:t xml:space="preserve">Das Rechtsdienstleistungsgesetz (RDG, § 2) setzt die wichtigste Rahmenbedingung für </w:t>
      </w:r>
      <w:proofErr w:type="spellStart"/>
      <w:r>
        <w:rPr>
          <w:rFonts w:ascii="Arial Narrow" w:eastAsia="Arial Narrow" w:hAnsi="Arial Narrow" w:cs="Arial Narrow"/>
          <w:sz w:val="22"/>
          <w:szCs w:val="22"/>
        </w:rPr>
        <w:t>NebenkostenCheck</w:t>
      </w:r>
      <w:proofErr w:type="spellEnd"/>
      <w:r>
        <w:rPr>
          <w:rFonts w:ascii="Arial Narrow" w:eastAsia="Arial Narrow" w:hAnsi="Arial Narrow" w:cs="Arial Narrow"/>
          <w:sz w:val="22"/>
          <w:szCs w:val="22"/>
        </w:rPr>
        <w:t xml:space="preserve">. Das System darf prüfen, ob Positionen formal der BetrKV entsprechen, und darf vorgefertigte Widerspruchsschreiben auf Basis der eingegebenen Daten generieren. Es darf keine individuelle juristische Beratung im Einzelfall leisten. Diese Abgrenzung muss im Produkt klar kommuniziert werden. Jede Ergebnisseite enthält einen deutlichen Hinweis, dass </w:t>
      </w:r>
      <w:proofErr w:type="spellStart"/>
      <w:r>
        <w:rPr>
          <w:rFonts w:ascii="Arial Narrow" w:eastAsia="Arial Narrow" w:hAnsi="Arial Narrow" w:cs="Arial Narrow"/>
          <w:sz w:val="22"/>
          <w:szCs w:val="22"/>
        </w:rPr>
        <w:t>NebenkostenCheck</w:t>
      </w:r>
      <w:proofErr w:type="spellEnd"/>
      <w:r>
        <w:rPr>
          <w:rFonts w:ascii="Arial Narrow" w:eastAsia="Arial Narrow" w:hAnsi="Arial Narrow" w:cs="Arial Narrow"/>
          <w:sz w:val="22"/>
          <w:szCs w:val="22"/>
        </w:rPr>
        <w:t xml:space="preserve"> keine Rechtsberatung erbringt. Das generierte Widerspruchsschreiben ist ein Mustertext, kein Rechtsrat. Vor dem öffentlichen Launch ist eine rechtliche Prüfung der Produktbeschreibung und aller Disclaimer durch einen Fachanwalt für IT-Recht zwingend erforderlich.</w:t>
      </w:r>
    </w:p>
    <w:p w14:paraId="43FCCF99" w14:textId="77777777" w:rsidR="006E211C" w:rsidRDefault="00000000">
      <w:pPr>
        <w:spacing w:before="280" w:after="100"/>
      </w:pPr>
      <w:r>
        <w:rPr>
          <w:rFonts w:ascii="Arial Narrow" w:eastAsia="Arial Narrow" w:hAnsi="Arial Narrow" w:cs="Arial Narrow"/>
          <w:b/>
          <w:bCs/>
          <w:color w:val="333333"/>
          <w:sz w:val="26"/>
          <w:szCs w:val="26"/>
        </w:rPr>
        <w:t>6.2 Datenqualität und Nutzerfehler</w:t>
      </w:r>
    </w:p>
    <w:p w14:paraId="54B4EFDB" w14:textId="77777777" w:rsidR="006E211C" w:rsidRDefault="00000000">
      <w:pPr>
        <w:spacing w:after="120"/>
      </w:pPr>
      <w:proofErr w:type="spellStart"/>
      <w:r>
        <w:rPr>
          <w:rFonts w:ascii="Arial Narrow" w:eastAsia="Arial Narrow" w:hAnsi="Arial Narrow" w:cs="Arial Narrow"/>
          <w:sz w:val="22"/>
          <w:szCs w:val="22"/>
        </w:rPr>
        <w:t>NebenkostenCheck</w:t>
      </w:r>
      <w:proofErr w:type="spellEnd"/>
      <w:r>
        <w:rPr>
          <w:rFonts w:ascii="Arial Narrow" w:eastAsia="Arial Narrow" w:hAnsi="Arial Narrow" w:cs="Arial Narrow"/>
          <w:sz w:val="22"/>
          <w:szCs w:val="22"/>
        </w:rPr>
        <w:t xml:space="preserve"> prüft ausschließlich, was der Nutzer eingibt. Fehlerhafte oder unvollständige Eingaben führen zu fehlerhaften Prüfergebnissen. Dem wird entgegengewirkt durch klar beschriftete Eingabefelder mit Inline-Erklärungen, Pflichtfelder für kritische Angaben, Plausibilitätsprüfungen und einen deutlichen Hinweis auf jeder Ergebnisseite, dass das Ergebnis nur so gut ist wie die Eingabe.</w:t>
      </w:r>
    </w:p>
    <w:p w14:paraId="3C628524" w14:textId="77777777" w:rsidR="006E211C" w:rsidRDefault="00000000">
      <w:pPr>
        <w:spacing w:before="280" w:after="100"/>
      </w:pPr>
      <w:r>
        <w:rPr>
          <w:rFonts w:ascii="Arial Narrow" w:eastAsia="Arial Narrow" w:hAnsi="Arial Narrow" w:cs="Arial Narrow"/>
          <w:b/>
          <w:bCs/>
          <w:color w:val="333333"/>
          <w:sz w:val="26"/>
          <w:szCs w:val="26"/>
        </w:rPr>
        <w:t>6.3 Aktualität der Rechtslage</w:t>
      </w:r>
    </w:p>
    <w:p w14:paraId="2A9A9517" w14:textId="77777777" w:rsidR="006E211C" w:rsidRDefault="00000000">
      <w:pPr>
        <w:spacing w:after="120"/>
      </w:pPr>
      <w:r>
        <w:rPr>
          <w:rFonts w:ascii="Arial Narrow" w:eastAsia="Arial Narrow" w:hAnsi="Arial Narrow" w:cs="Arial Narrow"/>
          <w:sz w:val="22"/>
          <w:szCs w:val="22"/>
        </w:rPr>
        <w:t>Die BetrKV und die HKVO sind stabile, langfristige Regelwerke, die selten geändert werden. Rechtsänderungen werden mit gesetzlichem Vorlauf angekündigt. Die hinterlegte BetrKV-Liste und die HKVO-Parameter sind daher als konfigurierbare Datenbankeinträge angelegt, nicht als hart kodierte Werte, sodass Updates ohne erneutes Code-</w:t>
      </w:r>
      <w:proofErr w:type="spellStart"/>
      <w:r>
        <w:rPr>
          <w:rFonts w:ascii="Arial Narrow" w:eastAsia="Arial Narrow" w:hAnsi="Arial Narrow" w:cs="Arial Narrow"/>
          <w:sz w:val="22"/>
          <w:szCs w:val="22"/>
        </w:rPr>
        <w:t>Deployment</w:t>
      </w:r>
      <w:proofErr w:type="spellEnd"/>
      <w:r>
        <w:rPr>
          <w:rFonts w:ascii="Arial Narrow" w:eastAsia="Arial Narrow" w:hAnsi="Arial Narrow" w:cs="Arial Narrow"/>
          <w:sz w:val="22"/>
          <w:szCs w:val="22"/>
        </w:rPr>
        <w:t xml:space="preserve"> möglich sind.</w:t>
      </w:r>
    </w:p>
    <w:p w14:paraId="07565320" w14:textId="77777777" w:rsidR="006E211C" w:rsidRDefault="00000000">
      <w:pPr>
        <w:spacing w:before="280" w:after="100"/>
      </w:pPr>
      <w:r>
        <w:rPr>
          <w:rFonts w:ascii="Arial Narrow" w:eastAsia="Arial Narrow" w:hAnsi="Arial Narrow" w:cs="Arial Narrow"/>
          <w:b/>
          <w:bCs/>
          <w:color w:val="333333"/>
          <w:sz w:val="26"/>
          <w:szCs w:val="26"/>
        </w:rPr>
        <w:t>6.4 Scope-Disziplin in Version 1</w:t>
      </w:r>
    </w:p>
    <w:p w14:paraId="15BF95D8" w14:textId="77777777" w:rsidR="006E211C" w:rsidRDefault="00000000">
      <w:pPr>
        <w:spacing w:after="120"/>
      </w:pPr>
      <w:r>
        <w:rPr>
          <w:rFonts w:ascii="Arial Narrow" w:eastAsia="Arial Narrow" w:hAnsi="Arial Narrow" w:cs="Arial Narrow"/>
          <w:sz w:val="22"/>
          <w:szCs w:val="22"/>
        </w:rPr>
        <w:t>Version 1 deckt Wohnraummietverträge in Deutschland ab. Gewerbliche Mietverträge, Warmmiete-Konstruktionen ohne Einzelabrechnung sowie Sonderthemen wie Solarstromeinspeisung, Ladeinfrastruktur für Elektrofahrzeuge und die monatliche Fernwärmeverbrauchsinformation nach §4 FFVAV sind explizit nicht in Scope. Keine künstlich intelligenzgestützte Einzelfallinterpretation von Grenzfällen in Version 1. Kein automatisches Erkennen der Abrechnung per Kamerafoto. Dieser Scope muss aktiv verteidigt werden.</w:t>
      </w:r>
    </w:p>
    <w:p w14:paraId="71E4412E" w14:textId="77777777" w:rsidR="006E211C" w:rsidRDefault="00000000">
      <w:pPr>
        <w:spacing w:before="280" w:after="100"/>
      </w:pPr>
      <w:r>
        <w:rPr>
          <w:rFonts w:ascii="Arial Narrow" w:eastAsia="Arial Narrow" w:hAnsi="Arial Narrow" w:cs="Arial Narrow"/>
          <w:b/>
          <w:bCs/>
          <w:color w:val="333333"/>
          <w:sz w:val="26"/>
          <w:szCs w:val="26"/>
        </w:rPr>
        <w:t>6.5 Domänenwissen im Mietrecht als Projektrisiko</w:t>
      </w:r>
    </w:p>
    <w:p w14:paraId="5CA56703" w14:textId="77777777" w:rsidR="006E211C" w:rsidRDefault="00000000">
      <w:pPr>
        <w:spacing w:after="120"/>
      </w:pPr>
      <w:proofErr w:type="spellStart"/>
      <w:r>
        <w:rPr>
          <w:rFonts w:ascii="Arial Narrow" w:eastAsia="Arial Narrow" w:hAnsi="Arial Narrow" w:cs="Arial Narrow"/>
          <w:sz w:val="22"/>
          <w:szCs w:val="22"/>
        </w:rPr>
        <w:t>NebenkostenCheck</w:t>
      </w:r>
      <w:proofErr w:type="spellEnd"/>
      <w:r>
        <w:rPr>
          <w:rFonts w:ascii="Arial Narrow" w:eastAsia="Arial Narrow" w:hAnsi="Arial Narrow" w:cs="Arial Narrow"/>
          <w:sz w:val="22"/>
          <w:szCs w:val="22"/>
        </w:rPr>
        <w:t xml:space="preserve"> liegt thematisch weiter von WAMOCONs Kernkompetenz (B2B IT-Testmanagement) entfernt als ein rein technisches Softwarethema. WAMOCON bringt nachgewiesene Kompetenz in strukturierter Prüflogik und Software-Qualitätsmanagement mit, jedoch nicht in Verbraucher-Mietrecht. Für die initiale Befüllung der BetrKV-Liste, die Prüflogik und die Formulierung des Widerspruchsschreibens ist juristische Fachberatung durch einen Fachanwalt für Mietrecht erforderlich.</w:t>
      </w:r>
    </w:p>
    <w:p w14:paraId="506DCE1B" w14:textId="77777777" w:rsidR="006E211C" w:rsidRDefault="00000000">
      <w:pPr>
        <w:spacing w:after="120"/>
      </w:pPr>
      <w:r>
        <w:rPr>
          <w:rFonts w:ascii="Arial Narrow" w:eastAsia="Arial Narrow" w:hAnsi="Arial Narrow" w:cs="Arial Narrow"/>
          <w:sz w:val="22"/>
          <w:szCs w:val="22"/>
        </w:rPr>
        <w:t>Dieser Beratungsaufwand ist ein einmaliger Kostenfaktor von geschätzt 1.500 bis 3.000 Euro und ist als Projektposition vor dem Launch einzuplanen. Es handelt sich um eine beherrschbare Abhängigkeit, die frühzeitig adressiert werden muss, um Verzögerungen im Entwicklungsplan zu vermeiden.</w:t>
      </w:r>
    </w:p>
    <w:p w14:paraId="5A58C48E" w14:textId="77777777" w:rsidR="00CD0B9A" w:rsidRDefault="00CD0B9A">
      <w:pPr>
        <w:rPr>
          <w:rFonts w:ascii="Arial Narrow" w:eastAsia="Arial Narrow" w:hAnsi="Arial Narrow" w:cs="Arial Narrow"/>
          <w:b/>
          <w:bCs/>
          <w:color w:val="000000"/>
          <w:sz w:val="34"/>
          <w:szCs w:val="34"/>
        </w:rPr>
      </w:pPr>
      <w:r>
        <w:rPr>
          <w:rFonts w:ascii="Arial Narrow" w:eastAsia="Arial Narrow" w:hAnsi="Arial Narrow" w:cs="Arial Narrow"/>
          <w:b/>
          <w:bCs/>
          <w:color w:val="000000"/>
          <w:sz w:val="34"/>
          <w:szCs w:val="34"/>
        </w:rPr>
        <w:br w:type="page"/>
      </w:r>
    </w:p>
    <w:p w14:paraId="5EC11C60" w14:textId="32E6C678" w:rsidR="006E211C" w:rsidRDefault="00000000">
      <w:pPr>
        <w:spacing w:before="400" w:after="160"/>
      </w:pPr>
      <w:r>
        <w:rPr>
          <w:rFonts w:ascii="Arial Narrow" w:eastAsia="Arial Narrow" w:hAnsi="Arial Narrow" w:cs="Arial Narrow"/>
          <w:b/>
          <w:bCs/>
          <w:color w:val="000000"/>
          <w:sz w:val="34"/>
          <w:szCs w:val="34"/>
        </w:rPr>
        <w:lastRenderedPageBreak/>
        <w:t>7. Anforderungen Version 1</w:t>
      </w:r>
    </w:p>
    <w:p w14:paraId="316A7F45" w14:textId="77777777" w:rsidR="006E211C" w:rsidRDefault="00000000">
      <w:pPr>
        <w:spacing w:after="120"/>
      </w:pPr>
      <w:r>
        <w:rPr>
          <w:rFonts w:ascii="Arial Narrow" w:eastAsia="Arial Narrow" w:hAnsi="Arial Narrow" w:cs="Arial Narrow"/>
          <w:sz w:val="22"/>
          <w:szCs w:val="22"/>
        </w:rPr>
        <w:t>Version 1 konzentriert sich auf den vollständigen Prüfzyklus: strukturierte Dateneingabe, automatische Rechtsprüfung, Ergebnisdarstellung, Widerspruchsschreiben-Generator und Fristenüberwachung. Alle Anforderungen sind in Hauptprozesse und Basisfunktionalitäten unterteilt.</w:t>
      </w:r>
    </w:p>
    <w:p w14:paraId="5DA13F39" w14:textId="77777777" w:rsidR="006E211C" w:rsidRDefault="00000000">
      <w:pPr>
        <w:spacing w:before="280" w:after="100"/>
      </w:pPr>
      <w:r>
        <w:rPr>
          <w:rFonts w:ascii="Arial Narrow" w:eastAsia="Arial Narrow" w:hAnsi="Arial Narrow" w:cs="Arial Narrow"/>
          <w:b/>
          <w:bCs/>
          <w:color w:val="333333"/>
          <w:sz w:val="26"/>
          <w:szCs w:val="26"/>
        </w:rPr>
        <w:t>7.1 Hauptprozesse</w:t>
      </w:r>
    </w:p>
    <w:p w14:paraId="0E0360A7" w14:textId="77777777" w:rsidR="006E211C" w:rsidRDefault="00000000">
      <w:pPr>
        <w:spacing w:before="200" w:after="80"/>
      </w:pPr>
      <w:r>
        <w:rPr>
          <w:rFonts w:ascii="Arial Narrow" w:eastAsia="Arial Narrow" w:hAnsi="Arial Narrow" w:cs="Arial Narrow"/>
          <w:b/>
          <w:bCs/>
          <w:color w:val="333333"/>
          <w:sz w:val="24"/>
          <w:szCs w:val="24"/>
        </w:rPr>
        <w:t>7.1.1 Abrechnung erfassen</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700"/>
        <w:gridCol w:w="1200"/>
        <w:gridCol w:w="1000"/>
      </w:tblGrid>
      <w:tr w:rsidR="006E211C" w14:paraId="29E98F46" w14:textId="77777777">
        <w:tblPrEx>
          <w:tblCellMar>
            <w:top w:w="0" w:type="dxa"/>
            <w:bottom w:w="0" w:type="dxa"/>
          </w:tblCellMar>
        </w:tblPrEx>
        <w:trPr>
          <w:tblHeader/>
        </w:trPr>
        <w:tc>
          <w:tcPr>
            <w:tcW w:w="900" w:type="dxa"/>
            <w:shd w:val="clear" w:color="auto" w:fill="000000"/>
          </w:tcPr>
          <w:p w14:paraId="329F8C35" w14:textId="77777777" w:rsidR="006E211C" w:rsidRDefault="00000000">
            <w:pPr>
              <w:jc w:val="center"/>
            </w:pPr>
            <w:r>
              <w:rPr>
                <w:rFonts w:ascii="Arial Narrow" w:eastAsia="Arial Narrow" w:hAnsi="Arial Narrow" w:cs="Arial Narrow"/>
                <w:b/>
                <w:bCs/>
                <w:color w:val="FFFFFF"/>
              </w:rPr>
              <w:t>ID</w:t>
            </w:r>
          </w:p>
        </w:tc>
        <w:tc>
          <w:tcPr>
            <w:tcW w:w="4700" w:type="dxa"/>
            <w:shd w:val="clear" w:color="auto" w:fill="000000"/>
          </w:tcPr>
          <w:p w14:paraId="2DD2A72B" w14:textId="77777777" w:rsidR="006E211C" w:rsidRDefault="00000000">
            <w:pPr>
              <w:jc w:val="center"/>
            </w:pPr>
            <w:r>
              <w:rPr>
                <w:rFonts w:ascii="Arial Narrow" w:eastAsia="Arial Narrow" w:hAnsi="Arial Narrow" w:cs="Arial Narrow"/>
                <w:b/>
                <w:bCs/>
                <w:color w:val="FFFFFF"/>
              </w:rPr>
              <w:t>Anforderung</w:t>
            </w:r>
          </w:p>
        </w:tc>
        <w:tc>
          <w:tcPr>
            <w:tcW w:w="1200" w:type="dxa"/>
            <w:shd w:val="clear" w:color="auto" w:fill="000000"/>
          </w:tcPr>
          <w:p w14:paraId="0563F544" w14:textId="77777777" w:rsidR="006E211C" w:rsidRDefault="00000000">
            <w:pPr>
              <w:jc w:val="center"/>
            </w:pPr>
            <w:r>
              <w:rPr>
                <w:rFonts w:ascii="Arial Narrow" w:eastAsia="Arial Narrow" w:hAnsi="Arial Narrow" w:cs="Arial Narrow"/>
                <w:b/>
                <w:bCs/>
                <w:color w:val="FFFFFF"/>
              </w:rPr>
              <w:t>Priorität</w:t>
            </w:r>
          </w:p>
        </w:tc>
        <w:tc>
          <w:tcPr>
            <w:tcW w:w="1000" w:type="dxa"/>
            <w:shd w:val="clear" w:color="auto" w:fill="000000"/>
          </w:tcPr>
          <w:p w14:paraId="66C4E09B" w14:textId="77777777" w:rsidR="006E211C" w:rsidRDefault="00000000">
            <w:pPr>
              <w:jc w:val="center"/>
            </w:pPr>
            <w:r>
              <w:rPr>
                <w:rFonts w:ascii="Arial Narrow" w:eastAsia="Arial Narrow" w:hAnsi="Arial Narrow" w:cs="Arial Narrow"/>
                <w:b/>
                <w:bCs/>
                <w:color w:val="FFFFFF"/>
              </w:rPr>
              <w:t>Status</w:t>
            </w:r>
          </w:p>
        </w:tc>
      </w:tr>
      <w:tr w:rsidR="006E211C" w14:paraId="165EE77D" w14:textId="77777777">
        <w:tblPrEx>
          <w:tblCellMar>
            <w:top w:w="0" w:type="dxa"/>
            <w:bottom w:w="0" w:type="dxa"/>
          </w:tblCellMar>
        </w:tblPrEx>
        <w:tc>
          <w:tcPr>
            <w:tcW w:w="900" w:type="dxa"/>
            <w:shd w:val="clear" w:color="auto" w:fill="FFFFFF"/>
          </w:tcPr>
          <w:p w14:paraId="002A38AA" w14:textId="77777777" w:rsidR="006E211C" w:rsidRDefault="00000000">
            <w:r>
              <w:rPr>
                <w:rFonts w:ascii="Arial Narrow" w:eastAsia="Arial Narrow" w:hAnsi="Arial Narrow" w:cs="Arial Narrow"/>
              </w:rPr>
              <w:t>K-01</w:t>
            </w:r>
          </w:p>
        </w:tc>
        <w:tc>
          <w:tcPr>
            <w:tcW w:w="4700" w:type="dxa"/>
            <w:shd w:val="clear" w:color="auto" w:fill="FFFFFF"/>
          </w:tcPr>
          <w:p w14:paraId="6ECC8921" w14:textId="77777777" w:rsidR="006E211C" w:rsidRDefault="00000000">
            <w:r>
              <w:rPr>
                <w:rFonts w:ascii="Arial Narrow" w:eastAsia="Arial Narrow" w:hAnsi="Arial Narrow" w:cs="Arial Narrow"/>
              </w:rPr>
              <w:t>Mieter legt eine neue Abrechnung an: Abrechnungsjahr, Datum des Eingangs (Zugangsdatum), Name und Adresse des Vermieters oder der Hausverwaltung, Wohnfläche des Mieters in Quadratmetern, monatliche Vorauszahlung und abgerechneter Saldo (Nachzahlung oder Guthaben)</w:t>
            </w:r>
          </w:p>
        </w:tc>
        <w:tc>
          <w:tcPr>
            <w:tcW w:w="1200" w:type="dxa"/>
            <w:shd w:val="clear" w:color="auto" w:fill="FFFFFF"/>
          </w:tcPr>
          <w:p w14:paraId="37B599BF" w14:textId="77777777" w:rsidR="006E211C" w:rsidRDefault="00000000">
            <w:r>
              <w:rPr>
                <w:rFonts w:ascii="Arial Narrow" w:eastAsia="Arial Narrow" w:hAnsi="Arial Narrow" w:cs="Arial Narrow"/>
              </w:rPr>
              <w:t>Muss</w:t>
            </w:r>
          </w:p>
        </w:tc>
        <w:tc>
          <w:tcPr>
            <w:tcW w:w="1000" w:type="dxa"/>
            <w:shd w:val="clear" w:color="auto" w:fill="FFFFFF"/>
          </w:tcPr>
          <w:p w14:paraId="4CD805AF" w14:textId="77777777" w:rsidR="006E211C" w:rsidRDefault="00000000">
            <w:r>
              <w:rPr>
                <w:rFonts w:ascii="Arial Narrow" w:eastAsia="Arial Narrow" w:hAnsi="Arial Narrow" w:cs="Arial Narrow"/>
              </w:rPr>
              <w:t>Neu</w:t>
            </w:r>
          </w:p>
        </w:tc>
      </w:tr>
      <w:tr w:rsidR="006E211C" w14:paraId="055FFA4E" w14:textId="77777777">
        <w:tblPrEx>
          <w:tblCellMar>
            <w:top w:w="0" w:type="dxa"/>
            <w:bottom w:w="0" w:type="dxa"/>
          </w:tblCellMar>
        </w:tblPrEx>
        <w:tc>
          <w:tcPr>
            <w:tcW w:w="900" w:type="dxa"/>
            <w:shd w:val="clear" w:color="auto" w:fill="F5F5F5"/>
          </w:tcPr>
          <w:p w14:paraId="51E362E0" w14:textId="77777777" w:rsidR="006E211C" w:rsidRDefault="00000000">
            <w:r>
              <w:rPr>
                <w:rFonts w:ascii="Arial Narrow" w:eastAsia="Arial Narrow" w:hAnsi="Arial Narrow" w:cs="Arial Narrow"/>
              </w:rPr>
              <w:t>K-02</w:t>
            </w:r>
          </w:p>
        </w:tc>
        <w:tc>
          <w:tcPr>
            <w:tcW w:w="4700" w:type="dxa"/>
            <w:shd w:val="clear" w:color="auto" w:fill="F5F5F5"/>
          </w:tcPr>
          <w:p w14:paraId="1B551B9F" w14:textId="77777777" w:rsidR="006E211C" w:rsidRDefault="00000000">
            <w:r>
              <w:rPr>
                <w:rFonts w:ascii="Arial Narrow" w:eastAsia="Arial Narrow" w:hAnsi="Arial Narrow" w:cs="Arial Narrow"/>
              </w:rPr>
              <w:t>Schritt-für-Schritt-Assistent führt den Mieter durch die Erfassung aller Betriebskostenpositionen der Abrechnung</w:t>
            </w:r>
          </w:p>
        </w:tc>
        <w:tc>
          <w:tcPr>
            <w:tcW w:w="1200" w:type="dxa"/>
            <w:shd w:val="clear" w:color="auto" w:fill="F5F5F5"/>
          </w:tcPr>
          <w:p w14:paraId="2B1159FC" w14:textId="77777777" w:rsidR="006E211C" w:rsidRDefault="00000000">
            <w:r>
              <w:rPr>
                <w:rFonts w:ascii="Arial Narrow" w:eastAsia="Arial Narrow" w:hAnsi="Arial Narrow" w:cs="Arial Narrow"/>
              </w:rPr>
              <w:t>Muss</w:t>
            </w:r>
          </w:p>
        </w:tc>
        <w:tc>
          <w:tcPr>
            <w:tcW w:w="1000" w:type="dxa"/>
            <w:shd w:val="clear" w:color="auto" w:fill="F5F5F5"/>
          </w:tcPr>
          <w:p w14:paraId="53B5ED5D" w14:textId="77777777" w:rsidR="006E211C" w:rsidRDefault="00000000">
            <w:r>
              <w:rPr>
                <w:rFonts w:ascii="Arial Narrow" w:eastAsia="Arial Narrow" w:hAnsi="Arial Narrow" w:cs="Arial Narrow"/>
              </w:rPr>
              <w:t>Neu</w:t>
            </w:r>
          </w:p>
        </w:tc>
      </w:tr>
      <w:tr w:rsidR="006E211C" w14:paraId="4888D991" w14:textId="77777777">
        <w:tblPrEx>
          <w:tblCellMar>
            <w:top w:w="0" w:type="dxa"/>
            <w:bottom w:w="0" w:type="dxa"/>
          </w:tblCellMar>
        </w:tblPrEx>
        <w:tc>
          <w:tcPr>
            <w:tcW w:w="900" w:type="dxa"/>
            <w:shd w:val="clear" w:color="auto" w:fill="FFFFFF"/>
          </w:tcPr>
          <w:p w14:paraId="4E123CEE" w14:textId="77777777" w:rsidR="006E211C" w:rsidRDefault="00000000">
            <w:r>
              <w:rPr>
                <w:rFonts w:ascii="Arial Narrow" w:eastAsia="Arial Narrow" w:hAnsi="Arial Narrow" w:cs="Arial Narrow"/>
              </w:rPr>
              <w:t>K-03</w:t>
            </w:r>
          </w:p>
        </w:tc>
        <w:tc>
          <w:tcPr>
            <w:tcW w:w="4700" w:type="dxa"/>
            <w:shd w:val="clear" w:color="auto" w:fill="FFFFFF"/>
          </w:tcPr>
          <w:p w14:paraId="2CB851F3" w14:textId="77777777" w:rsidR="006E211C" w:rsidRDefault="00000000">
            <w:r>
              <w:rPr>
                <w:rFonts w:ascii="Arial Narrow" w:eastAsia="Arial Narrow" w:hAnsi="Arial Narrow" w:cs="Arial Narrow"/>
              </w:rPr>
              <w:t>Für jede erfasste Position: Auswahl der Kostenart aus einer hinterlegten Liste aller BetrKV-Kategorien sowie Freitext-Alternativeingabe bei unbekannter Kategorie</w:t>
            </w:r>
          </w:p>
        </w:tc>
        <w:tc>
          <w:tcPr>
            <w:tcW w:w="1200" w:type="dxa"/>
            <w:shd w:val="clear" w:color="auto" w:fill="FFFFFF"/>
          </w:tcPr>
          <w:p w14:paraId="362CA8CD" w14:textId="77777777" w:rsidR="006E211C" w:rsidRDefault="00000000">
            <w:r>
              <w:rPr>
                <w:rFonts w:ascii="Arial Narrow" w:eastAsia="Arial Narrow" w:hAnsi="Arial Narrow" w:cs="Arial Narrow"/>
              </w:rPr>
              <w:t>Muss</w:t>
            </w:r>
          </w:p>
        </w:tc>
        <w:tc>
          <w:tcPr>
            <w:tcW w:w="1000" w:type="dxa"/>
            <w:shd w:val="clear" w:color="auto" w:fill="FFFFFF"/>
          </w:tcPr>
          <w:p w14:paraId="6A548BEC" w14:textId="77777777" w:rsidR="006E211C" w:rsidRDefault="00000000">
            <w:r>
              <w:rPr>
                <w:rFonts w:ascii="Arial Narrow" w:eastAsia="Arial Narrow" w:hAnsi="Arial Narrow" w:cs="Arial Narrow"/>
              </w:rPr>
              <w:t>Neu</w:t>
            </w:r>
          </w:p>
        </w:tc>
      </w:tr>
      <w:tr w:rsidR="006E211C" w14:paraId="6779DC59" w14:textId="77777777">
        <w:tblPrEx>
          <w:tblCellMar>
            <w:top w:w="0" w:type="dxa"/>
            <w:bottom w:w="0" w:type="dxa"/>
          </w:tblCellMar>
        </w:tblPrEx>
        <w:tc>
          <w:tcPr>
            <w:tcW w:w="900" w:type="dxa"/>
            <w:shd w:val="clear" w:color="auto" w:fill="F5F5F5"/>
          </w:tcPr>
          <w:p w14:paraId="450F5AAE" w14:textId="77777777" w:rsidR="006E211C" w:rsidRDefault="00000000">
            <w:r>
              <w:rPr>
                <w:rFonts w:ascii="Arial Narrow" w:eastAsia="Arial Narrow" w:hAnsi="Arial Narrow" w:cs="Arial Narrow"/>
              </w:rPr>
              <w:t>K-04</w:t>
            </w:r>
          </w:p>
        </w:tc>
        <w:tc>
          <w:tcPr>
            <w:tcW w:w="4700" w:type="dxa"/>
            <w:shd w:val="clear" w:color="auto" w:fill="F5F5F5"/>
          </w:tcPr>
          <w:p w14:paraId="7916983A" w14:textId="77777777" w:rsidR="006E211C" w:rsidRDefault="00000000">
            <w:r>
              <w:rPr>
                <w:rFonts w:ascii="Arial Narrow" w:eastAsia="Arial Narrow" w:hAnsi="Arial Narrow" w:cs="Arial Narrow"/>
              </w:rPr>
              <w:t>Für jede Position: Eingabe des abgerechneten Gesamtbetrags, des Umlageschlüssels (z. B. nach Wohnfläche, nach Wohneinheiten, nach Verbrauch) und des auf den Mieter entfallenden Anteils</w:t>
            </w:r>
          </w:p>
        </w:tc>
        <w:tc>
          <w:tcPr>
            <w:tcW w:w="1200" w:type="dxa"/>
            <w:shd w:val="clear" w:color="auto" w:fill="F5F5F5"/>
          </w:tcPr>
          <w:p w14:paraId="72DAF329" w14:textId="77777777" w:rsidR="006E211C" w:rsidRDefault="00000000">
            <w:r>
              <w:rPr>
                <w:rFonts w:ascii="Arial Narrow" w:eastAsia="Arial Narrow" w:hAnsi="Arial Narrow" w:cs="Arial Narrow"/>
              </w:rPr>
              <w:t>Muss</w:t>
            </w:r>
          </w:p>
        </w:tc>
        <w:tc>
          <w:tcPr>
            <w:tcW w:w="1000" w:type="dxa"/>
            <w:shd w:val="clear" w:color="auto" w:fill="F5F5F5"/>
          </w:tcPr>
          <w:p w14:paraId="54AF631B" w14:textId="77777777" w:rsidR="006E211C" w:rsidRDefault="00000000">
            <w:r>
              <w:rPr>
                <w:rFonts w:ascii="Arial Narrow" w:eastAsia="Arial Narrow" w:hAnsi="Arial Narrow" w:cs="Arial Narrow"/>
              </w:rPr>
              <w:t>Neu</w:t>
            </w:r>
          </w:p>
        </w:tc>
      </w:tr>
      <w:tr w:rsidR="006E211C" w14:paraId="24721710" w14:textId="77777777">
        <w:tblPrEx>
          <w:tblCellMar>
            <w:top w:w="0" w:type="dxa"/>
            <w:bottom w:w="0" w:type="dxa"/>
          </w:tblCellMar>
        </w:tblPrEx>
        <w:tc>
          <w:tcPr>
            <w:tcW w:w="900" w:type="dxa"/>
            <w:shd w:val="clear" w:color="auto" w:fill="FFFFFF"/>
          </w:tcPr>
          <w:p w14:paraId="49071E7E" w14:textId="77777777" w:rsidR="006E211C" w:rsidRDefault="00000000">
            <w:r>
              <w:rPr>
                <w:rFonts w:ascii="Arial Narrow" w:eastAsia="Arial Narrow" w:hAnsi="Arial Narrow" w:cs="Arial Narrow"/>
              </w:rPr>
              <w:t>K-05</w:t>
            </w:r>
          </w:p>
        </w:tc>
        <w:tc>
          <w:tcPr>
            <w:tcW w:w="4700" w:type="dxa"/>
            <w:shd w:val="clear" w:color="auto" w:fill="FFFFFF"/>
          </w:tcPr>
          <w:p w14:paraId="3129B1A6" w14:textId="77777777" w:rsidR="006E211C" w:rsidRDefault="00000000">
            <w:r>
              <w:rPr>
                <w:rFonts w:ascii="Arial Narrow" w:eastAsia="Arial Narrow" w:hAnsi="Arial Narrow" w:cs="Arial Narrow"/>
              </w:rPr>
              <w:t>Erfassung der Heizkostenabrechnung als eigener Abschnitt: Gesamtheizkosten, davon verbrauchsabhängiger Anteil in Prozent und verbrauchsunabhängiger Anteil in Prozent</w:t>
            </w:r>
          </w:p>
        </w:tc>
        <w:tc>
          <w:tcPr>
            <w:tcW w:w="1200" w:type="dxa"/>
            <w:shd w:val="clear" w:color="auto" w:fill="FFFFFF"/>
          </w:tcPr>
          <w:p w14:paraId="2790FA08" w14:textId="77777777" w:rsidR="006E211C" w:rsidRDefault="00000000">
            <w:r>
              <w:rPr>
                <w:rFonts w:ascii="Arial Narrow" w:eastAsia="Arial Narrow" w:hAnsi="Arial Narrow" w:cs="Arial Narrow"/>
              </w:rPr>
              <w:t>Muss</w:t>
            </w:r>
          </w:p>
        </w:tc>
        <w:tc>
          <w:tcPr>
            <w:tcW w:w="1000" w:type="dxa"/>
            <w:shd w:val="clear" w:color="auto" w:fill="FFFFFF"/>
          </w:tcPr>
          <w:p w14:paraId="7FD4DEBE" w14:textId="77777777" w:rsidR="006E211C" w:rsidRDefault="00000000">
            <w:r>
              <w:rPr>
                <w:rFonts w:ascii="Arial Narrow" w:eastAsia="Arial Narrow" w:hAnsi="Arial Narrow" w:cs="Arial Narrow"/>
              </w:rPr>
              <w:t>Neu</w:t>
            </w:r>
          </w:p>
        </w:tc>
      </w:tr>
      <w:tr w:rsidR="006E211C" w14:paraId="1714A7A4" w14:textId="77777777">
        <w:tblPrEx>
          <w:tblCellMar>
            <w:top w:w="0" w:type="dxa"/>
            <w:bottom w:w="0" w:type="dxa"/>
          </w:tblCellMar>
        </w:tblPrEx>
        <w:tc>
          <w:tcPr>
            <w:tcW w:w="900" w:type="dxa"/>
            <w:shd w:val="clear" w:color="auto" w:fill="F5F5F5"/>
          </w:tcPr>
          <w:p w14:paraId="47EB73FD" w14:textId="77777777" w:rsidR="006E211C" w:rsidRDefault="00000000">
            <w:r>
              <w:rPr>
                <w:rFonts w:ascii="Arial Narrow" w:eastAsia="Arial Narrow" w:hAnsi="Arial Narrow" w:cs="Arial Narrow"/>
              </w:rPr>
              <w:t>K-06</w:t>
            </w:r>
          </w:p>
        </w:tc>
        <w:tc>
          <w:tcPr>
            <w:tcW w:w="4700" w:type="dxa"/>
            <w:shd w:val="clear" w:color="auto" w:fill="F5F5F5"/>
          </w:tcPr>
          <w:p w14:paraId="2ECD8D13" w14:textId="77777777" w:rsidR="006E211C" w:rsidRDefault="00000000">
            <w:r>
              <w:rPr>
                <w:rFonts w:ascii="Arial Narrow" w:eastAsia="Arial Narrow" w:hAnsi="Arial Narrow" w:cs="Arial Narrow"/>
              </w:rPr>
              <w:t>Fortschrittsanzeige während der Erfassung: Anzahl erfasster Positionen, Vollständigkeitsstatus, Schaltfläche zur Auslösung der Prüfung</w:t>
            </w:r>
          </w:p>
        </w:tc>
        <w:tc>
          <w:tcPr>
            <w:tcW w:w="1200" w:type="dxa"/>
            <w:shd w:val="clear" w:color="auto" w:fill="F5F5F5"/>
          </w:tcPr>
          <w:p w14:paraId="1EA9D56A" w14:textId="77777777" w:rsidR="006E211C" w:rsidRDefault="00000000">
            <w:r>
              <w:rPr>
                <w:rFonts w:ascii="Arial Narrow" w:eastAsia="Arial Narrow" w:hAnsi="Arial Narrow" w:cs="Arial Narrow"/>
              </w:rPr>
              <w:t>Muss</w:t>
            </w:r>
          </w:p>
        </w:tc>
        <w:tc>
          <w:tcPr>
            <w:tcW w:w="1000" w:type="dxa"/>
            <w:shd w:val="clear" w:color="auto" w:fill="F5F5F5"/>
          </w:tcPr>
          <w:p w14:paraId="746D103B" w14:textId="77777777" w:rsidR="006E211C" w:rsidRDefault="00000000">
            <w:r>
              <w:rPr>
                <w:rFonts w:ascii="Arial Narrow" w:eastAsia="Arial Narrow" w:hAnsi="Arial Narrow" w:cs="Arial Narrow"/>
              </w:rPr>
              <w:t>Neu</w:t>
            </w:r>
          </w:p>
        </w:tc>
      </w:tr>
      <w:tr w:rsidR="006E211C" w14:paraId="41049226" w14:textId="77777777">
        <w:tblPrEx>
          <w:tblCellMar>
            <w:top w:w="0" w:type="dxa"/>
            <w:bottom w:w="0" w:type="dxa"/>
          </w:tblCellMar>
        </w:tblPrEx>
        <w:tc>
          <w:tcPr>
            <w:tcW w:w="900" w:type="dxa"/>
            <w:shd w:val="clear" w:color="auto" w:fill="FFFFFF"/>
          </w:tcPr>
          <w:p w14:paraId="0E6FE9F7" w14:textId="77777777" w:rsidR="006E211C" w:rsidRDefault="00000000">
            <w:r>
              <w:rPr>
                <w:rFonts w:ascii="Arial Narrow" w:eastAsia="Arial Narrow" w:hAnsi="Arial Narrow" w:cs="Arial Narrow"/>
              </w:rPr>
              <w:t>K-07</w:t>
            </w:r>
          </w:p>
        </w:tc>
        <w:tc>
          <w:tcPr>
            <w:tcW w:w="4700" w:type="dxa"/>
            <w:shd w:val="clear" w:color="auto" w:fill="FFFFFF"/>
          </w:tcPr>
          <w:p w14:paraId="766F62B9" w14:textId="77777777" w:rsidR="006E211C" w:rsidRDefault="00000000">
            <w:r>
              <w:rPr>
                <w:rFonts w:ascii="Arial Narrow" w:eastAsia="Arial Narrow" w:hAnsi="Arial Narrow" w:cs="Arial Narrow"/>
              </w:rPr>
              <w:t>Bereits erfasste Abrechnungen können bearbeitet werden, solange die Prüfung noch nicht abgeschlossen wurde</w:t>
            </w:r>
          </w:p>
        </w:tc>
        <w:tc>
          <w:tcPr>
            <w:tcW w:w="1200" w:type="dxa"/>
            <w:shd w:val="clear" w:color="auto" w:fill="FFFFFF"/>
          </w:tcPr>
          <w:p w14:paraId="2A2B43AD" w14:textId="77777777" w:rsidR="006E211C" w:rsidRDefault="00000000">
            <w:r>
              <w:rPr>
                <w:rFonts w:ascii="Arial Narrow" w:eastAsia="Arial Narrow" w:hAnsi="Arial Narrow" w:cs="Arial Narrow"/>
              </w:rPr>
              <w:t>Muss</w:t>
            </w:r>
          </w:p>
        </w:tc>
        <w:tc>
          <w:tcPr>
            <w:tcW w:w="1000" w:type="dxa"/>
            <w:shd w:val="clear" w:color="auto" w:fill="FFFFFF"/>
          </w:tcPr>
          <w:p w14:paraId="58D0100C" w14:textId="77777777" w:rsidR="006E211C" w:rsidRDefault="00000000">
            <w:r>
              <w:rPr>
                <w:rFonts w:ascii="Arial Narrow" w:eastAsia="Arial Narrow" w:hAnsi="Arial Narrow" w:cs="Arial Narrow"/>
              </w:rPr>
              <w:t>Neu</w:t>
            </w:r>
          </w:p>
        </w:tc>
      </w:tr>
    </w:tbl>
    <w:p w14:paraId="676783F5" w14:textId="77777777" w:rsidR="006E211C" w:rsidRDefault="006E211C">
      <w:pPr>
        <w:spacing w:after="120"/>
      </w:pPr>
    </w:p>
    <w:p w14:paraId="093E4B23" w14:textId="77777777" w:rsidR="006E211C" w:rsidRDefault="00000000">
      <w:pPr>
        <w:spacing w:before="200" w:after="80"/>
      </w:pPr>
      <w:r>
        <w:rPr>
          <w:rFonts w:ascii="Arial Narrow" w:eastAsia="Arial Narrow" w:hAnsi="Arial Narrow" w:cs="Arial Narrow"/>
          <w:b/>
          <w:bCs/>
          <w:color w:val="333333"/>
          <w:sz w:val="24"/>
          <w:szCs w:val="24"/>
        </w:rPr>
        <w:t>7.1.2 Rechtsprüfung nach §556 BGB, BetrKV und HKVO</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700"/>
        <w:gridCol w:w="1200"/>
        <w:gridCol w:w="1000"/>
      </w:tblGrid>
      <w:tr w:rsidR="006E211C" w14:paraId="321E90E8" w14:textId="77777777">
        <w:tblPrEx>
          <w:tblCellMar>
            <w:top w:w="0" w:type="dxa"/>
            <w:bottom w:w="0" w:type="dxa"/>
          </w:tblCellMar>
        </w:tblPrEx>
        <w:trPr>
          <w:tblHeader/>
        </w:trPr>
        <w:tc>
          <w:tcPr>
            <w:tcW w:w="900" w:type="dxa"/>
            <w:shd w:val="clear" w:color="auto" w:fill="000000"/>
          </w:tcPr>
          <w:p w14:paraId="35D53E3B" w14:textId="77777777" w:rsidR="006E211C" w:rsidRDefault="00000000">
            <w:pPr>
              <w:jc w:val="center"/>
            </w:pPr>
            <w:r>
              <w:rPr>
                <w:rFonts w:ascii="Arial Narrow" w:eastAsia="Arial Narrow" w:hAnsi="Arial Narrow" w:cs="Arial Narrow"/>
                <w:b/>
                <w:bCs/>
                <w:color w:val="FFFFFF"/>
              </w:rPr>
              <w:t>ID</w:t>
            </w:r>
          </w:p>
        </w:tc>
        <w:tc>
          <w:tcPr>
            <w:tcW w:w="4700" w:type="dxa"/>
            <w:shd w:val="clear" w:color="auto" w:fill="000000"/>
          </w:tcPr>
          <w:p w14:paraId="50C11FF8" w14:textId="77777777" w:rsidR="006E211C" w:rsidRDefault="00000000">
            <w:pPr>
              <w:jc w:val="center"/>
            </w:pPr>
            <w:r>
              <w:rPr>
                <w:rFonts w:ascii="Arial Narrow" w:eastAsia="Arial Narrow" w:hAnsi="Arial Narrow" w:cs="Arial Narrow"/>
                <w:b/>
                <w:bCs/>
                <w:color w:val="FFFFFF"/>
              </w:rPr>
              <w:t>Anforderung</w:t>
            </w:r>
          </w:p>
        </w:tc>
        <w:tc>
          <w:tcPr>
            <w:tcW w:w="1200" w:type="dxa"/>
            <w:shd w:val="clear" w:color="auto" w:fill="000000"/>
          </w:tcPr>
          <w:p w14:paraId="1BF45253" w14:textId="77777777" w:rsidR="006E211C" w:rsidRDefault="00000000">
            <w:pPr>
              <w:jc w:val="center"/>
            </w:pPr>
            <w:r>
              <w:rPr>
                <w:rFonts w:ascii="Arial Narrow" w:eastAsia="Arial Narrow" w:hAnsi="Arial Narrow" w:cs="Arial Narrow"/>
                <w:b/>
                <w:bCs/>
                <w:color w:val="FFFFFF"/>
              </w:rPr>
              <w:t>Priorität</w:t>
            </w:r>
          </w:p>
        </w:tc>
        <w:tc>
          <w:tcPr>
            <w:tcW w:w="1000" w:type="dxa"/>
            <w:shd w:val="clear" w:color="auto" w:fill="000000"/>
          </w:tcPr>
          <w:p w14:paraId="0706FCD8" w14:textId="77777777" w:rsidR="006E211C" w:rsidRDefault="00000000">
            <w:pPr>
              <w:jc w:val="center"/>
            </w:pPr>
            <w:r>
              <w:rPr>
                <w:rFonts w:ascii="Arial Narrow" w:eastAsia="Arial Narrow" w:hAnsi="Arial Narrow" w:cs="Arial Narrow"/>
                <w:b/>
                <w:bCs/>
                <w:color w:val="FFFFFF"/>
              </w:rPr>
              <w:t>Status</w:t>
            </w:r>
          </w:p>
        </w:tc>
      </w:tr>
      <w:tr w:rsidR="006E211C" w14:paraId="56AC6C52" w14:textId="77777777">
        <w:tblPrEx>
          <w:tblCellMar>
            <w:top w:w="0" w:type="dxa"/>
            <w:bottom w:w="0" w:type="dxa"/>
          </w:tblCellMar>
        </w:tblPrEx>
        <w:tc>
          <w:tcPr>
            <w:tcW w:w="900" w:type="dxa"/>
            <w:shd w:val="clear" w:color="auto" w:fill="FFFFFF"/>
          </w:tcPr>
          <w:p w14:paraId="59A9F516" w14:textId="77777777" w:rsidR="006E211C" w:rsidRDefault="00000000">
            <w:r>
              <w:rPr>
                <w:rFonts w:ascii="Arial Narrow" w:eastAsia="Arial Narrow" w:hAnsi="Arial Narrow" w:cs="Arial Narrow"/>
              </w:rPr>
              <w:t>K-08</w:t>
            </w:r>
          </w:p>
        </w:tc>
        <w:tc>
          <w:tcPr>
            <w:tcW w:w="4700" w:type="dxa"/>
            <w:shd w:val="clear" w:color="auto" w:fill="FFFFFF"/>
          </w:tcPr>
          <w:p w14:paraId="682C40E7" w14:textId="77777777" w:rsidR="006E211C" w:rsidRDefault="00000000">
            <w:r>
              <w:rPr>
                <w:rFonts w:ascii="Arial Narrow" w:eastAsia="Arial Narrow" w:hAnsi="Arial Narrow" w:cs="Arial Narrow"/>
              </w:rPr>
              <w:t>System prüft jede erfasste Position gegen die abschließende Liste der BetrKV und klassifiziert sie als: zulässig, nicht zulässig (mit BetrKV-Referenz und Begründung in verständlicher Sprache) oder prüfungswürdig (Position nicht eindeutig zuordenbar)</w:t>
            </w:r>
          </w:p>
        </w:tc>
        <w:tc>
          <w:tcPr>
            <w:tcW w:w="1200" w:type="dxa"/>
            <w:shd w:val="clear" w:color="auto" w:fill="FFFFFF"/>
          </w:tcPr>
          <w:p w14:paraId="04C2DE0D" w14:textId="77777777" w:rsidR="006E211C" w:rsidRDefault="00000000">
            <w:r>
              <w:rPr>
                <w:rFonts w:ascii="Arial Narrow" w:eastAsia="Arial Narrow" w:hAnsi="Arial Narrow" w:cs="Arial Narrow"/>
              </w:rPr>
              <w:t>Muss</w:t>
            </w:r>
          </w:p>
        </w:tc>
        <w:tc>
          <w:tcPr>
            <w:tcW w:w="1000" w:type="dxa"/>
            <w:shd w:val="clear" w:color="auto" w:fill="FFFFFF"/>
          </w:tcPr>
          <w:p w14:paraId="42CD3D10" w14:textId="77777777" w:rsidR="006E211C" w:rsidRDefault="00000000">
            <w:r>
              <w:rPr>
                <w:rFonts w:ascii="Arial Narrow" w:eastAsia="Arial Narrow" w:hAnsi="Arial Narrow" w:cs="Arial Narrow"/>
              </w:rPr>
              <w:t>Neu</w:t>
            </w:r>
          </w:p>
        </w:tc>
      </w:tr>
      <w:tr w:rsidR="006E211C" w14:paraId="1BE84A07" w14:textId="77777777">
        <w:tblPrEx>
          <w:tblCellMar>
            <w:top w:w="0" w:type="dxa"/>
            <w:bottom w:w="0" w:type="dxa"/>
          </w:tblCellMar>
        </w:tblPrEx>
        <w:tc>
          <w:tcPr>
            <w:tcW w:w="900" w:type="dxa"/>
            <w:shd w:val="clear" w:color="auto" w:fill="F5F5F5"/>
          </w:tcPr>
          <w:p w14:paraId="2FC47A01" w14:textId="77777777" w:rsidR="006E211C" w:rsidRDefault="00000000">
            <w:r>
              <w:rPr>
                <w:rFonts w:ascii="Arial Narrow" w:eastAsia="Arial Narrow" w:hAnsi="Arial Narrow" w:cs="Arial Narrow"/>
              </w:rPr>
              <w:t>K-09</w:t>
            </w:r>
          </w:p>
        </w:tc>
        <w:tc>
          <w:tcPr>
            <w:tcW w:w="4700" w:type="dxa"/>
            <w:shd w:val="clear" w:color="auto" w:fill="F5F5F5"/>
          </w:tcPr>
          <w:p w14:paraId="1F8947A4" w14:textId="77777777" w:rsidR="006E211C" w:rsidRDefault="00000000">
            <w:r>
              <w:rPr>
                <w:rFonts w:ascii="Arial Narrow" w:eastAsia="Arial Narrow" w:hAnsi="Arial Narrow" w:cs="Arial Narrow"/>
              </w:rPr>
              <w:t>System prüft, ob die Abrechnung innerhalb von 12 Monaten nach Ende des Abrechnungszeitraums zugegangen ist (§556 Abs. 3 BGB); verspätete Abrechnung wird als formaler Mangel mit Gesetzesreferenz markiert</w:t>
            </w:r>
          </w:p>
        </w:tc>
        <w:tc>
          <w:tcPr>
            <w:tcW w:w="1200" w:type="dxa"/>
            <w:shd w:val="clear" w:color="auto" w:fill="F5F5F5"/>
          </w:tcPr>
          <w:p w14:paraId="708E18CB" w14:textId="77777777" w:rsidR="006E211C" w:rsidRDefault="00000000">
            <w:r>
              <w:rPr>
                <w:rFonts w:ascii="Arial Narrow" w:eastAsia="Arial Narrow" w:hAnsi="Arial Narrow" w:cs="Arial Narrow"/>
              </w:rPr>
              <w:t>Muss</w:t>
            </w:r>
          </w:p>
        </w:tc>
        <w:tc>
          <w:tcPr>
            <w:tcW w:w="1000" w:type="dxa"/>
            <w:shd w:val="clear" w:color="auto" w:fill="F5F5F5"/>
          </w:tcPr>
          <w:p w14:paraId="165A291F" w14:textId="77777777" w:rsidR="006E211C" w:rsidRDefault="00000000">
            <w:r>
              <w:rPr>
                <w:rFonts w:ascii="Arial Narrow" w:eastAsia="Arial Narrow" w:hAnsi="Arial Narrow" w:cs="Arial Narrow"/>
              </w:rPr>
              <w:t>Neu</w:t>
            </w:r>
          </w:p>
        </w:tc>
      </w:tr>
      <w:tr w:rsidR="006E211C" w14:paraId="15ACC5A3" w14:textId="77777777">
        <w:tblPrEx>
          <w:tblCellMar>
            <w:top w:w="0" w:type="dxa"/>
            <w:bottom w:w="0" w:type="dxa"/>
          </w:tblCellMar>
        </w:tblPrEx>
        <w:tc>
          <w:tcPr>
            <w:tcW w:w="900" w:type="dxa"/>
            <w:shd w:val="clear" w:color="auto" w:fill="FFFFFF"/>
          </w:tcPr>
          <w:p w14:paraId="396CB820" w14:textId="77777777" w:rsidR="006E211C" w:rsidRDefault="00000000">
            <w:r>
              <w:rPr>
                <w:rFonts w:ascii="Arial Narrow" w:eastAsia="Arial Narrow" w:hAnsi="Arial Narrow" w:cs="Arial Narrow"/>
              </w:rPr>
              <w:t>K-10</w:t>
            </w:r>
          </w:p>
        </w:tc>
        <w:tc>
          <w:tcPr>
            <w:tcW w:w="4700" w:type="dxa"/>
            <w:shd w:val="clear" w:color="auto" w:fill="FFFFFF"/>
          </w:tcPr>
          <w:p w14:paraId="1AE06557" w14:textId="77777777" w:rsidR="006E211C" w:rsidRDefault="00000000">
            <w:r>
              <w:rPr>
                <w:rFonts w:ascii="Arial Narrow" w:eastAsia="Arial Narrow" w:hAnsi="Arial Narrow" w:cs="Arial Narrow"/>
              </w:rPr>
              <w:t>System prüft den Verbrauchsanteil der Heizkosten: Wert unter 50% oder über 70% wird als HKVO-Verstoß (§7 HKVO) mit Erklärung markiert</w:t>
            </w:r>
          </w:p>
        </w:tc>
        <w:tc>
          <w:tcPr>
            <w:tcW w:w="1200" w:type="dxa"/>
            <w:shd w:val="clear" w:color="auto" w:fill="FFFFFF"/>
          </w:tcPr>
          <w:p w14:paraId="2D9C798C" w14:textId="77777777" w:rsidR="006E211C" w:rsidRDefault="00000000">
            <w:r>
              <w:rPr>
                <w:rFonts w:ascii="Arial Narrow" w:eastAsia="Arial Narrow" w:hAnsi="Arial Narrow" w:cs="Arial Narrow"/>
              </w:rPr>
              <w:t>Muss</w:t>
            </w:r>
          </w:p>
        </w:tc>
        <w:tc>
          <w:tcPr>
            <w:tcW w:w="1000" w:type="dxa"/>
            <w:shd w:val="clear" w:color="auto" w:fill="FFFFFF"/>
          </w:tcPr>
          <w:p w14:paraId="66EFB983" w14:textId="77777777" w:rsidR="006E211C" w:rsidRDefault="00000000">
            <w:r>
              <w:rPr>
                <w:rFonts w:ascii="Arial Narrow" w:eastAsia="Arial Narrow" w:hAnsi="Arial Narrow" w:cs="Arial Narrow"/>
              </w:rPr>
              <w:t>Neu</w:t>
            </w:r>
          </w:p>
        </w:tc>
      </w:tr>
      <w:tr w:rsidR="006E211C" w14:paraId="219C095E" w14:textId="77777777">
        <w:tblPrEx>
          <w:tblCellMar>
            <w:top w:w="0" w:type="dxa"/>
            <w:bottom w:w="0" w:type="dxa"/>
          </w:tblCellMar>
        </w:tblPrEx>
        <w:tc>
          <w:tcPr>
            <w:tcW w:w="900" w:type="dxa"/>
            <w:shd w:val="clear" w:color="auto" w:fill="F5F5F5"/>
          </w:tcPr>
          <w:p w14:paraId="2026B909" w14:textId="77777777" w:rsidR="006E211C" w:rsidRDefault="00000000">
            <w:r>
              <w:rPr>
                <w:rFonts w:ascii="Arial Narrow" w:eastAsia="Arial Narrow" w:hAnsi="Arial Narrow" w:cs="Arial Narrow"/>
              </w:rPr>
              <w:t>K-11</w:t>
            </w:r>
          </w:p>
        </w:tc>
        <w:tc>
          <w:tcPr>
            <w:tcW w:w="4700" w:type="dxa"/>
            <w:shd w:val="clear" w:color="auto" w:fill="F5F5F5"/>
          </w:tcPr>
          <w:p w14:paraId="0895584D" w14:textId="77777777" w:rsidR="006E211C" w:rsidRDefault="00000000">
            <w:r>
              <w:rPr>
                <w:rFonts w:ascii="Arial Narrow" w:eastAsia="Arial Narrow" w:hAnsi="Arial Narrow" w:cs="Arial Narrow"/>
              </w:rPr>
              <w:t>System prüft Vollständigkeit der Abrechnung: fehlende Angaben zu Verteilungsschlüssel, Gesamtkosten der Liegenschaft oder Mieteranteil werden als formale Mängel markiert</w:t>
            </w:r>
          </w:p>
        </w:tc>
        <w:tc>
          <w:tcPr>
            <w:tcW w:w="1200" w:type="dxa"/>
            <w:shd w:val="clear" w:color="auto" w:fill="F5F5F5"/>
          </w:tcPr>
          <w:p w14:paraId="64694721" w14:textId="77777777" w:rsidR="006E211C" w:rsidRDefault="00000000">
            <w:r>
              <w:rPr>
                <w:rFonts w:ascii="Arial Narrow" w:eastAsia="Arial Narrow" w:hAnsi="Arial Narrow" w:cs="Arial Narrow"/>
              </w:rPr>
              <w:t>Soll</w:t>
            </w:r>
          </w:p>
        </w:tc>
        <w:tc>
          <w:tcPr>
            <w:tcW w:w="1000" w:type="dxa"/>
            <w:shd w:val="clear" w:color="auto" w:fill="F5F5F5"/>
          </w:tcPr>
          <w:p w14:paraId="35DAAFEE" w14:textId="77777777" w:rsidR="006E211C" w:rsidRDefault="00000000">
            <w:r>
              <w:rPr>
                <w:rFonts w:ascii="Arial Narrow" w:eastAsia="Arial Narrow" w:hAnsi="Arial Narrow" w:cs="Arial Narrow"/>
              </w:rPr>
              <w:t>Neu</w:t>
            </w:r>
          </w:p>
        </w:tc>
      </w:tr>
      <w:tr w:rsidR="006E211C" w14:paraId="5349E095" w14:textId="77777777">
        <w:tblPrEx>
          <w:tblCellMar>
            <w:top w:w="0" w:type="dxa"/>
            <w:bottom w:w="0" w:type="dxa"/>
          </w:tblCellMar>
        </w:tblPrEx>
        <w:tc>
          <w:tcPr>
            <w:tcW w:w="900" w:type="dxa"/>
            <w:shd w:val="clear" w:color="auto" w:fill="FFFFFF"/>
          </w:tcPr>
          <w:p w14:paraId="7A200EB2" w14:textId="77777777" w:rsidR="006E211C" w:rsidRDefault="00000000">
            <w:r>
              <w:rPr>
                <w:rFonts w:ascii="Arial Narrow" w:eastAsia="Arial Narrow" w:hAnsi="Arial Narrow" w:cs="Arial Narrow"/>
              </w:rPr>
              <w:t>K-12</w:t>
            </w:r>
          </w:p>
        </w:tc>
        <w:tc>
          <w:tcPr>
            <w:tcW w:w="4700" w:type="dxa"/>
            <w:shd w:val="clear" w:color="auto" w:fill="FFFFFF"/>
          </w:tcPr>
          <w:p w14:paraId="3AE0C1AB" w14:textId="77777777" w:rsidR="006E211C" w:rsidRDefault="00000000">
            <w:r>
              <w:rPr>
                <w:rFonts w:ascii="Arial Narrow" w:eastAsia="Arial Narrow" w:hAnsi="Arial Narrow" w:cs="Arial Narrow"/>
              </w:rPr>
              <w:t>Zusammenfassung der Prüfergebnisse: Anzahl nicht zulässiger Positionen, Anzahl prüfungswürdiger Positionen, kumulierter Betrag der beanstandeten Positionen</w:t>
            </w:r>
          </w:p>
        </w:tc>
        <w:tc>
          <w:tcPr>
            <w:tcW w:w="1200" w:type="dxa"/>
            <w:shd w:val="clear" w:color="auto" w:fill="FFFFFF"/>
          </w:tcPr>
          <w:p w14:paraId="5B729277" w14:textId="77777777" w:rsidR="006E211C" w:rsidRDefault="00000000">
            <w:r>
              <w:rPr>
                <w:rFonts w:ascii="Arial Narrow" w:eastAsia="Arial Narrow" w:hAnsi="Arial Narrow" w:cs="Arial Narrow"/>
              </w:rPr>
              <w:t>Muss</w:t>
            </w:r>
          </w:p>
        </w:tc>
        <w:tc>
          <w:tcPr>
            <w:tcW w:w="1000" w:type="dxa"/>
            <w:shd w:val="clear" w:color="auto" w:fill="FFFFFF"/>
          </w:tcPr>
          <w:p w14:paraId="5569B4CC" w14:textId="77777777" w:rsidR="006E211C" w:rsidRDefault="00000000">
            <w:r>
              <w:rPr>
                <w:rFonts w:ascii="Arial Narrow" w:eastAsia="Arial Narrow" w:hAnsi="Arial Narrow" w:cs="Arial Narrow"/>
              </w:rPr>
              <w:t>Neu</w:t>
            </w:r>
          </w:p>
        </w:tc>
      </w:tr>
    </w:tbl>
    <w:p w14:paraId="5439923D" w14:textId="77777777" w:rsidR="006E211C" w:rsidRDefault="006E211C">
      <w:pPr>
        <w:spacing w:after="120"/>
      </w:pPr>
    </w:p>
    <w:p w14:paraId="3EC02663" w14:textId="77777777" w:rsidR="00CD0B9A" w:rsidRDefault="00CD0B9A">
      <w:pPr>
        <w:rPr>
          <w:rFonts w:ascii="Arial Narrow" w:eastAsia="Arial Narrow" w:hAnsi="Arial Narrow" w:cs="Arial Narrow"/>
          <w:b/>
          <w:bCs/>
          <w:color w:val="333333"/>
          <w:sz w:val="24"/>
          <w:szCs w:val="24"/>
        </w:rPr>
      </w:pPr>
      <w:r>
        <w:rPr>
          <w:rFonts w:ascii="Arial Narrow" w:eastAsia="Arial Narrow" w:hAnsi="Arial Narrow" w:cs="Arial Narrow"/>
          <w:b/>
          <w:bCs/>
          <w:color w:val="333333"/>
          <w:sz w:val="24"/>
          <w:szCs w:val="24"/>
        </w:rPr>
        <w:br w:type="page"/>
      </w:r>
    </w:p>
    <w:p w14:paraId="3FAC0D65" w14:textId="1A79690F" w:rsidR="006E211C" w:rsidRDefault="00000000">
      <w:pPr>
        <w:spacing w:before="200" w:after="80"/>
      </w:pPr>
      <w:r>
        <w:rPr>
          <w:rFonts w:ascii="Arial Narrow" w:eastAsia="Arial Narrow" w:hAnsi="Arial Narrow" w:cs="Arial Narrow"/>
          <w:b/>
          <w:bCs/>
          <w:color w:val="333333"/>
          <w:sz w:val="24"/>
          <w:szCs w:val="24"/>
        </w:rPr>
        <w:lastRenderedPageBreak/>
        <w:t>7.1.3 Ergebnisanzeige und Betragsberechnung</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700"/>
        <w:gridCol w:w="1200"/>
        <w:gridCol w:w="1000"/>
      </w:tblGrid>
      <w:tr w:rsidR="006E211C" w14:paraId="72422E44" w14:textId="77777777">
        <w:tblPrEx>
          <w:tblCellMar>
            <w:top w:w="0" w:type="dxa"/>
            <w:bottom w:w="0" w:type="dxa"/>
          </w:tblCellMar>
        </w:tblPrEx>
        <w:trPr>
          <w:tblHeader/>
        </w:trPr>
        <w:tc>
          <w:tcPr>
            <w:tcW w:w="900" w:type="dxa"/>
            <w:shd w:val="clear" w:color="auto" w:fill="000000"/>
          </w:tcPr>
          <w:p w14:paraId="468AB05C" w14:textId="77777777" w:rsidR="006E211C" w:rsidRDefault="00000000">
            <w:pPr>
              <w:jc w:val="center"/>
            </w:pPr>
            <w:r>
              <w:rPr>
                <w:rFonts w:ascii="Arial Narrow" w:eastAsia="Arial Narrow" w:hAnsi="Arial Narrow" w:cs="Arial Narrow"/>
                <w:b/>
                <w:bCs/>
                <w:color w:val="FFFFFF"/>
              </w:rPr>
              <w:t>ID</w:t>
            </w:r>
          </w:p>
        </w:tc>
        <w:tc>
          <w:tcPr>
            <w:tcW w:w="4700" w:type="dxa"/>
            <w:shd w:val="clear" w:color="auto" w:fill="000000"/>
          </w:tcPr>
          <w:p w14:paraId="519C9D00" w14:textId="77777777" w:rsidR="006E211C" w:rsidRDefault="00000000">
            <w:pPr>
              <w:jc w:val="center"/>
            </w:pPr>
            <w:r>
              <w:rPr>
                <w:rFonts w:ascii="Arial Narrow" w:eastAsia="Arial Narrow" w:hAnsi="Arial Narrow" w:cs="Arial Narrow"/>
                <w:b/>
                <w:bCs/>
                <w:color w:val="FFFFFF"/>
              </w:rPr>
              <w:t>Anforderung</w:t>
            </w:r>
          </w:p>
        </w:tc>
        <w:tc>
          <w:tcPr>
            <w:tcW w:w="1200" w:type="dxa"/>
            <w:shd w:val="clear" w:color="auto" w:fill="000000"/>
          </w:tcPr>
          <w:p w14:paraId="003FF234" w14:textId="77777777" w:rsidR="006E211C" w:rsidRDefault="00000000">
            <w:pPr>
              <w:jc w:val="center"/>
            </w:pPr>
            <w:r>
              <w:rPr>
                <w:rFonts w:ascii="Arial Narrow" w:eastAsia="Arial Narrow" w:hAnsi="Arial Narrow" w:cs="Arial Narrow"/>
                <w:b/>
                <w:bCs/>
                <w:color w:val="FFFFFF"/>
              </w:rPr>
              <w:t>Priorität</w:t>
            </w:r>
          </w:p>
        </w:tc>
        <w:tc>
          <w:tcPr>
            <w:tcW w:w="1000" w:type="dxa"/>
            <w:shd w:val="clear" w:color="auto" w:fill="000000"/>
          </w:tcPr>
          <w:p w14:paraId="303B6944" w14:textId="77777777" w:rsidR="006E211C" w:rsidRDefault="00000000">
            <w:pPr>
              <w:jc w:val="center"/>
            </w:pPr>
            <w:r>
              <w:rPr>
                <w:rFonts w:ascii="Arial Narrow" w:eastAsia="Arial Narrow" w:hAnsi="Arial Narrow" w:cs="Arial Narrow"/>
                <w:b/>
                <w:bCs/>
                <w:color w:val="FFFFFF"/>
              </w:rPr>
              <w:t>Status</w:t>
            </w:r>
          </w:p>
        </w:tc>
      </w:tr>
      <w:tr w:rsidR="006E211C" w14:paraId="766FDC37" w14:textId="77777777">
        <w:tblPrEx>
          <w:tblCellMar>
            <w:top w:w="0" w:type="dxa"/>
            <w:bottom w:w="0" w:type="dxa"/>
          </w:tblCellMar>
        </w:tblPrEx>
        <w:tc>
          <w:tcPr>
            <w:tcW w:w="900" w:type="dxa"/>
            <w:shd w:val="clear" w:color="auto" w:fill="FFFFFF"/>
          </w:tcPr>
          <w:p w14:paraId="6FF5E9C0" w14:textId="77777777" w:rsidR="006E211C" w:rsidRDefault="00000000">
            <w:r>
              <w:rPr>
                <w:rFonts w:ascii="Arial Narrow" w:eastAsia="Arial Narrow" w:hAnsi="Arial Narrow" w:cs="Arial Narrow"/>
              </w:rPr>
              <w:t>K-13</w:t>
            </w:r>
          </w:p>
        </w:tc>
        <w:tc>
          <w:tcPr>
            <w:tcW w:w="4700" w:type="dxa"/>
            <w:shd w:val="clear" w:color="auto" w:fill="FFFFFF"/>
          </w:tcPr>
          <w:p w14:paraId="48155F1D" w14:textId="77777777" w:rsidR="006E211C" w:rsidRDefault="00000000">
            <w:r>
              <w:rPr>
                <w:rFonts w:ascii="Arial Narrow" w:eastAsia="Arial Narrow" w:hAnsi="Arial Narrow" w:cs="Arial Narrow"/>
              </w:rPr>
              <w:t>Ergebnisseite zeigt alle geprüften Positionen in einer strukturierten Übersicht mit Status (zulässig, nicht zulässig, prüfungswürdig) und Begründung für nicht zulässige Positionen</w:t>
            </w:r>
          </w:p>
        </w:tc>
        <w:tc>
          <w:tcPr>
            <w:tcW w:w="1200" w:type="dxa"/>
            <w:shd w:val="clear" w:color="auto" w:fill="FFFFFF"/>
          </w:tcPr>
          <w:p w14:paraId="76EEB8D1" w14:textId="77777777" w:rsidR="006E211C" w:rsidRDefault="00000000">
            <w:r>
              <w:rPr>
                <w:rFonts w:ascii="Arial Narrow" w:eastAsia="Arial Narrow" w:hAnsi="Arial Narrow" w:cs="Arial Narrow"/>
              </w:rPr>
              <w:t>Muss</w:t>
            </w:r>
          </w:p>
        </w:tc>
        <w:tc>
          <w:tcPr>
            <w:tcW w:w="1000" w:type="dxa"/>
            <w:shd w:val="clear" w:color="auto" w:fill="FFFFFF"/>
          </w:tcPr>
          <w:p w14:paraId="3F352F99" w14:textId="77777777" w:rsidR="006E211C" w:rsidRDefault="00000000">
            <w:r>
              <w:rPr>
                <w:rFonts w:ascii="Arial Narrow" w:eastAsia="Arial Narrow" w:hAnsi="Arial Narrow" w:cs="Arial Narrow"/>
              </w:rPr>
              <w:t>Neu</w:t>
            </w:r>
          </w:p>
        </w:tc>
      </w:tr>
      <w:tr w:rsidR="006E211C" w14:paraId="58E76139" w14:textId="77777777">
        <w:tblPrEx>
          <w:tblCellMar>
            <w:top w:w="0" w:type="dxa"/>
            <w:bottom w:w="0" w:type="dxa"/>
          </w:tblCellMar>
        </w:tblPrEx>
        <w:tc>
          <w:tcPr>
            <w:tcW w:w="900" w:type="dxa"/>
            <w:shd w:val="clear" w:color="auto" w:fill="F5F5F5"/>
          </w:tcPr>
          <w:p w14:paraId="3C602FCE" w14:textId="77777777" w:rsidR="006E211C" w:rsidRDefault="00000000">
            <w:r>
              <w:rPr>
                <w:rFonts w:ascii="Arial Narrow" w:eastAsia="Arial Narrow" w:hAnsi="Arial Narrow" w:cs="Arial Narrow"/>
              </w:rPr>
              <w:t>K-14</w:t>
            </w:r>
          </w:p>
        </w:tc>
        <w:tc>
          <w:tcPr>
            <w:tcW w:w="4700" w:type="dxa"/>
            <w:shd w:val="clear" w:color="auto" w:fill="F5F5F5"/>
          </w:tcPr>
          <w:p w14:paraId="5116B532" w14:textId="77777777" w:rsidR="006E211C" w:rsidRDefault="00000000">
            <w:r>
              <w:rPr>
                <w:rFonts w:ascii="Arial Narrow" w:eastAsia="Arial Narrow" w:hAnsi="Arial Narrow" w:cs="Arial Narrow"/>
              </w:rPr>
              <w:t xml:space="preserve">Für nicht zulässige Positionen: Anzeige des beanstandeten Betrags und kumulierte Gesamtsumme aller potenziell </w:t>
            </w:r>
            <w:proofErr w:type="spellStart"/>
            <w:r>
              <w:rPr>
                <w:rFonts w:ascii="Arial Narrow" w:eastAsia="Arial Narrow" w:hAnsi="Arial Narrow" w:cs="Arial Narrow"/>
              </w:rPr>
              <w:t>zurückforderbaren</w:t>
            </w:r>
            <w:proofErr w:type="spellEnd"/>
            <w:r>
              <w:rPr>
                <w:rFonts w:ascii="Arial Narrow" w:eastAsia="Arial Narrow" w:hAnsi="Arial Narrow" w:cs="Arial Narrow"/>
              </w:rPr>
              <w:t xml:space="preserve"> Beträge</w:t>
            </w:r>
          </w:p>
        </w:tc>
        <w:tc>
          <w:tcPr>
            <w:tcW w:w="1200" w:type="dxa"/>
            <w:shd w:val="clear" w:color="auto" w:fill="F5F5F5"/>
          </w:tcPr>
          <w:p w14:paraId="6F322451" w14:textId="77777777" w:rsidR="006E211C" w:rsidRDefault="00000000">
            <w:r>
              <w:rPr>
                <w:rFonts w:ascii="Arial Narrow" w:eastAsia="Arial Narrow" w:hAnsi="Arial Narrow" w:cs="Arial Narrow"/>
              </w:rPr>
              <w:t>Muss</w:t>
            </w:r>
          </w:p>
        </w:tc>
        <w:tc>
          <w:tcPr>
            <w:tcW w:w="1000" w:type="dxa"/>
            <w:shd w:val="clear" w:color="auto" w:fill="F5F5F5"/>
          </w:tcPr>
          <w:p w14:paraId="71A81981" w14:textId="77777777" w:rsidR="006E211C" w:rsidRDefault="00000000">
            <w:r>
              <w:rPr>
                <w:rFonts w:ascii="Arial Narrow" w:eastAsia="Arial Narrow" w:hAnsi="Arial Narrow" w:cs="Arial Narrow"/>
              </w:rPr>
              <w:t>Neu</w:t>
            </w:r>
          </w:p>
        </w:tc>
      </w:tr>
      <w:tr w:rsidR="006E211C" w14:paraId="2D89A34E" w14:textId="77777777">
        <w:tblPrEx>
          <w:tblCellMar>
            <w:top w:w="0" w:type="dxa"/>
            <w:bottom w:w="0" w:type="dxa"/>
          </w:tblCellMar>
        </w:tblPrEx>
        <w:tc>
          <w:tcPr>
            <w:tcW w:w="900" w:type="dxa"/>
            <w:shd w:val="clear" w:color="auto" w:fill="FFFFFF"/>
          </w:tcPr>
          <w:p w14:paraId="3F89AF2F" w14:textId="77777777" w:rsidR="006E211C" w:rsidRDefault="00000000">
            <w:r>
              <w:rPr>
                <w:rFonts w:ascii="Arial Narrow" w:eastAsia="Arial Narrow" w:hAnsi="Arial Narrow" w:cs="Arial Narrow"/>
              </w:rPr>
              <w:t>K-15</w:t>
            </w:r>
          </w:p>
        </w:tc>
        <w:tc>
          <w:tcPr>
            <w:tcW w:w="4700" w:type="dxa"/>
            <w:shd w:val="clear" w:color="auto" w:fill="FFFFFF"/>
          </w:tcPr>
          <w:p w14:paraId="201271FF" w14:textId="77777777" w:rsidR="006E211C" w:rsidRDefault="00000000">
            <w:r>
              <w:rPr>
                <w:rFonts w:ascii="Arial Narrow" w:eastAsia="Arial Narrow" w:hAnsi="Arial Narrow" w:cs="Arial Narrow"/>
              </w:rPr>
              <w:t>Ampeldarstellung der Gesamtbewertung: Grün (keine Auffälligkeiten), Gelb (prüfungswürdige Positionen vorhanden), Rot (nicht zulässige Positionen gefunden)</w:t>
            </w:r>
          </w:p>
        </w:tc>
        <w:tc>
          <w:tcPr>
            <w:tcW w:w="1200" w:type="dxa"/>
            <w:shd w:val="clear" w:color="auto" w:fill="FFFFFF"/>
          </w:tcPr>
          <w:p w14:paraId="7EAC07E5" w14:textId="77777777" w:rsidR="006E211C" w:rsidRDefault="00000000">
            <w:r>
              <w:rPr>
                <w:rFonts w:ascii="Arial Narrow" w:eastAsia="Arial Narrow" w:hAnsi="Arial Narrow" w:cs="Arial Narrow"/>
              </w:rPr>
              <w:t>Muss</w:t>
            </w:r>
          </w:p>
        </w:tc>
        <w:tc>
          <w:tcPr>
            <w:tcW w:w="1000" w:type="dxa"/>
            <w:shd w:val="clear" w:color="auto" w:fill="FFFFFF"/>
          </w:tcPr>
          <w:p w14:paraId="28B7C83D" w14:textId="77777777" w:rsidR="006E211C" w:rsidRDefault="00000000">
            <w:r>
              <w:rPr>
                <w:rFonts w:ascii="Arial Narrow" w:eastAsia="Arial Narrow" w:hAnsi="Arial Narrow" w:cs="Arial Narrow"/>
              </w:rPr>
              <w:t>Neu</w:t>
            </w:r>
          </w:p>
        </w:tc>
      </w:tr>
      <w:tr w:rsidR="006E211C" w14:paraId="41513A5F" w14:textId="77777777">
        <w:tblPrEx>
          <w:tblCellMar>
            <w:top w:w="0" w:type="dxa"/>
            <w:bottom w:w="0" w:type="dxa"/>
          </w:tblCellMar>
        </w:tblPrEx>
        <w:tc>
          <w:tcPr>
            <w:tcW w:w="900" w:type="dxa"/>
            <w:shd w:val="clear" w:color="auto" w:fill="F5F5F5"/>
          </w:tcPr>
          <w:p w14:paraId="144AA455" w14:textId="77777777" w:rsidR="006E211C" w:rsidRDefault="00000000">
            <w:r>
              <w:rPr>
                <w:rFonts w:ascii="Arial Narrow" w:eastAsia="Arial Narrow" w:hAnsi="Arial Narrow" w:cs="Arial Narrow"/>
              </w:rPr>
              <w:t>K-16</w:t>
            </w:r>
          </w:p>
        </w:tc>
        <w:tc>
          <w:tcPr>
            <w:tcW w:w="4700" w:type="dxa"/>
            <w:shd w:val="clear" w:color="auto" w:fill="F5F5F5"/>
          </w:tcPr>
          <w:p w14:paraId="0E8EFED0" w14:textId="77777777" w:rsidR="006E211C" w:rsidRDefault="00000000">
            <w:r>
              <w:rPr>
                <w:rFonts w:ascii="Arial Narrow" w:eastAsia="Arial Narrow" w:hAnsi="Arial Narrow" w:cs="Arial Narrow"/>
              </w:rPr>
              <w:t>Verbleibende Tage bis Ablauf der 12-Monats-Einwendungsfrist werden auf der Ergebnisseite prominent angezeigt</w:t>
            </w:r>
          </w:p>
        </w:tc>
        <w:tc>
          <w:tcPr>
            <w:tcW w:w="1200" w:type="dxa"/>
            <w:shd w:val="clear" w:color="auto" w:fill="F5F5F5"/>
          </w:tcPr>
          <w:p w14:paraId="1ED2324E" w14:textId="77777777" w:rsidR="006E211C" w:rsidRDefault="00000000">
            <w:r>
              <w:rPr>
                <w:rFonts w:ascii="Arial Narrow" w:eastAsia="Arial Narrow" w:hAnsi="Arial Narrow" w:cs="Arial Narrow"/>
              </w:rPr>
              <w:t>Muss</w:t>
            </w:r>
          </w:p>
        </w:tc>
        <w:tc>
          <w:tcPr>
            <w:tcW w:w="1000" w:type="dxa"/>
            <w:shd w:val="clear" w:color="auto" w:fill="F5F5F5"/>
          </w:tcPr>
          <w:p w14:paraId="00E08B6B" w14:textId="77777777" w:rsidR="006E211C" w:rsidRDefault="00000000">
            <w:r>
              <w:rPr>
                <w:rFonts w:ascii="Arial Narrow" w:eastAsia="Arial Narrow" w:hAnsi="Arial Narrow" w:cs="Arial Narrow"/>
              </w:rPr>
              <w:t>Neu</w:t>
            </w:r>
          </w:p>
        </w:tc>
      </w:tr>
      <w:tr w:rsidR="006E211C" w14:paraId="380DE2A3" w14:textId="77777777">
        <w:tblPrEx>
          <w:tblCellMar>
            <w:top w:w="0" w:type="dxa"/>
            <w:bottom w:w="0" w:type="dxa"/>
          </w:tblCellMar>
        </w:tblPrEx>
        <w:tc>
          <w:tcPr>
            <w:tcW w:w="900" w:type="dxa"/>
            <w:shd w:val="clear" w:color="auto" w:fill="FFFFFF"/>
          </w:tcPr>
          <w:p w14:paraId="643938AF" w14:textId="77777777" w:rsidR="006E211C" w:rsidRDefault="00000000">
            <w:r>
              <w:rPr>
                <w:rFonts w:ascii="Arial Narrow" w:eastAsia="Arial Narrow" w:hAnsi="Arial Narrow" w:cs="Arial Narrow"/>
              </w:rPr>
              <w:t>K-17</w:t>
            </w:r>
          </w:p>
        </w:tc>
        <w:tc>
          <w:tcPr>
            <w:tcW w:w="4700" w:type="dxa"/>
            <w:shd w:val="clear" w:color="auto" w:fill="FFFFFF"/>
          </w:tcPr>
          <w:p w14:paraId="024085A4" w14:textId="77777777" w:rsidR="006E211C" w:rsidRDefault="00000000">
            <w:r>
              <w:rPr>
                <w:rFonts w:ascii="Arial Narrow" w:eastAsia="Arial Narrow" w:hAnsi="Arial Narrow" w:cs="Arial Narrow"/>
              </w:rPr>
              <w:t xml:space="preserve">Jede Ergebnisseite enthält einen klar sichtbaren Hinweis: </w:t>
            </w:r>
            <w:proofErr w:type="spellStart"/>
            <w:r>
              <w:rPr>
                <w:rFonts w:ascii="Arial Narrow" w:eastAsia="Arial Narrow" w:hAnsi="Arial Narrow" w:cs="Arial Narrow"/>
              </w:rPr>
              <w:t>NebenkostenCheck</w:t>
            </w:r>
            <w:proofErr w:type="spellEnd"/>
            <w:r>
              <w:rPr>
                <w:rFonts w:ascii="Arial Narrow" w:eastAsia="Arial Narrow" w:hAnsi="Arial Narrow" w:cs="Arial Narrow"/>
              </w:rPr>
              <w:t xml:space="preserve"> erbringt keine Rechtsberatung und ersetzt keinen Rechtsanwalt</w:t>
            </w:r>
          </w:p>
        </w:tc>
        <w:tc>
          <w:tcPr>
            <w:tcW w:w="1200" w:type="dxa"/>
            <w:shd w:val="clear" w:color="auto" w:fill="FFFFFF"/>
          </w:tcPr>
          <w:p w14:paraId="0053A5EB" w14:textId="77777777" w:rsidR="006E211C" w:rsidRDefault="00000000">
            <w:r>
              <w:rPr>
                <w:rFonts w:ascii="Arial Narrow" w:eastAsia="Arial Narrow" w:hAnsi="Arial Narrow" w:cs="Arial Narrow"/>
              </w:rPr>
              <w:t>Muss</w:t>
            </w:r>
          </w:p>
        </w:tc>
        <w:tc>
          <w:tcPr>
            <w:tcW w:w="1000" w:type="dxa"/>
            <w:shd w:val="clear" w:color="auto" w:fill="FFFFFF"/>
          </w:tcPr>
          <w:p w14:paraId="2410EAD6" w14:textId="77777777" w:rsidR="006E211C" w:rsidRDefault="00000000">
            <w:r>
              <w:rPr>
                <w:rFonts w:ascii="Arial Narrow" w:eastAsia="Arial Narrow" w:hAnsi="Arial Narrow" w:cs="Arial Narrow"/>
              </w:rPr>
              <w:t>Neu</w:t>
            </w:r>
          </w:p>
        </w:tc>
      </w:tr>
      <w:tr w:rsidR="006E211C" w14:paraId="22A8DF9C" w14:textId="77777777">
        <w:tblPrEx>
          <w:tblCellMar>
            <w:top w:w="0" w:type="dxa"/>
            <w:bottom w:w="0" w:type="dxa"/>
          </w:tblCellMar>
        </w:tblPrEx>
        <w:tc>
          <w:tcPr>
            <w:tcW w:w="900" w:type="dxa"/>
            <w:shd w:val="clear" w:color="auto" w:fill="F5F5F5"/>
          </w:tcPr>
          <w:p w14:paraId="07BC5B10" w14:textId="77777777" w:rsidR="006E211C" w:rsidRDefault="00000000">
            <w:r>
              <w:rPr>
                <w:rFonts w:ascii="Arial Narrow" w:eastAsia="Arial Narrow" w:hAnsi="Arial Narrow" w:cs="Arial Narrow"/>
              </w:rPr>
              <w:t>K-18</w:t>
            </w:r>
          </w:p>
        </w:tc>
        <w:tc>
          <w:tcPr>
            <w:tcW w:w="4700" w:type="dxa"/>
            <w:shd w:val="clear" w:color="auto" w:fill="F5F5F5"/>
          </w:tcPr>
          <w:p w14:paraId="5FFE321A" w14:textId="77777777" w:rsidR="006E211C" w:rsidRDefault="00000000">
            <w:r>
              <w:rPr>
                <w:rFonts w:ascii="Arial Narrow" w:eastAsia="Arial Narrow" w:hAnsi="Arial Narrow" w:cs="Arial Narrow"/>
              </w:rPr>
              <w:t>Free-Tarif: Ampeldarstellung und Gesamtzahl der Auffälligkeiten sichtbar; Detailbegründungen pro Position und Widerspruchsschreiben nur im Pro-Tarif</w:t>
            </w:r>
          </w:p>
        </w:tc>
        <w:tc>
          <w:tcPr>
            <w:tcW w:w="1200" w:type="dxa"/>
            <w:shd w:val="clear" w:color="auto" w:fill="F5F5F5"/>
          </w:tcPr>
          <w:p w14:paraId="35D4FF9D" w14:textId="77777777" w:rsidR="006E211C" w:rsidRDefault="00000000">
            <w:r>
              <w:rPr>
                <w:rFonts w:ascii="Arial Narrow" w:eastAsia="Arial Narrow" w:hAnsi="Arial Narrow" w:cs="Arial Narrow"/>
              </w:rPr>
              <w:t>Muss</w:t>
            </w:r>
          </w:p>
        </w:tc>
        <w:tc>
          <w:tcPr>
            <w:tcW w:w="1000" w:type="dxa"/>
            <w:shd w:val="clear" w:color="auto" w:fill="F5F5F5"/>
          </w:tcPr>
          <w:p w14:paraId="475F00A7" w14:textId="77777777" w:rsidR="006E211C" w:rsidRDefault="00000000">
            <w:r>
              <w:rPr>
                <w:rFonts w:ascii="Arial Narrow" w:eastAsia="Arial Narrow" w:hAnsi="Arial Narrow" w:cs="Arial Narrow"/>
              </w:rPr>
              <w:t>Neu</w:t>
            </w:r>
          </w:p>
        </w:tc>
      </w:tr>
    </w:tbl>
    <w:p w14:paraId="43972E73" w14:textId="77777777" w:rsidR="006E211C" w:rsidRDefault="006E211C">
      <w:pPr>
        <w:spacing w:after="120"/>
      </w:pPr>
    </w:p>
    <w:p w14:paraId="19DDD642" w14:textId="77777777" w:rsidR="006E211C" w:rsidRDefault="00000000">
      <w:pPr>
        <w:spacing w:before="200" w:after="80"/>
      </w:pPr>
      <w:r>
        <w:rPr>
          <w:rFonts w:ascii="Arial Narrow" w:eastAsia="Arial Narrow" w:hAnsi="Arial Narrow" w:cs="Arial Narrow"/>
          <w:b/>
          <w:bCs/>
          <w:color w:val="333333"/>
          <w:sz w:val="24"/>
          <w:szCs w:val="24"/>
        </w:rPr>
        <w:t>7.1.4 Widerspruchsschreiben-Generator (Pro-Funktion)</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700"/>
        <w:gridCol w:w="1200"/>
        <w:gridCol w:w="1000"/>
      </w:tblGrid>
      <w:tr w:rsidR="006E211C" w14:paraId="4B9D04E2" w14:textId="77777777">
        <w:tblPrEx>
          <w:tblCellMar>
            <w:top w:w="0" w:type="dxa"/>
            <w:bottom w:w="0" w:type="dxa"/>
          </w:tblCellMar>
        </w:tblPrEx>
        <w:trPr>
          <w:tblHeader/>
        </w:trPr>
        <w:tc>
          <w:tcPr>
            <w:tcW w:w="900" w:type="dxa"/>
            <w:shd w:val="clear" w:color="auto" w:fill="000000"/>
          </w:tcPr>
          <w:p w14:paraId="6E716BB4" w14:textId="77777777" w:rsidR="006E211C" w:rsidRDefault="00000000">
            <w:pPr>
              <w:jc w:val="center"/>
            </w:pPr>
            <w:r>
              <w:rPr>
                <w:rFonts w:ascii="Arial Narrow" w:eastAsia="Arial Narrow" w:hAnsi="Arial Narrow" w:cs="Arial Narrow"/>
                <w:b/>
                <w:bCs/>
                <w:color w:val="FFFFFF"/>
              </w:rPr>
              <w:t>ID</w:t>
            </w:r>
          </w:p>
        </w:tc>
        <w:tc>
          <w:tcPr>
            <w:tcW w:w="4700" w:type="dxa"/>
            <w:shd w:val="clear" w:color="auto" w:fill="000000"/>
          </w:tcPr>
          <w:p w14:paraId="103DCE68" w14:textId="77777777" w:rsidR="006E211C" w:rsidRDefault="00000000">
            <w:pPr>
              <w:jc w:val="center"/>
            </w:pPr>
            <w:r>
              <w:rPr>
                <w:rFonts w:ascii="Arial Narrow" w:eastAsia="Arial Narrow" w:hAnsi="Arial Narrow" w:cs="Arial Narrow"/>
                <w:b/>
                <w:bCs/>
                <w:color w:val="FFFFFF"/>
              </w:rPr>
              <w:t>Anforderung</w:t>
            </w:r>
          </w:p>
        </w:tc>
        <w:tc>
          <w:tcPr>
            <w:tcW w:w="1200" w:type="dxa"/>
            <w:shd w:val="clear" w:color="auto" w:fill="000000"/>
          </w:tcPr>
          <w:p w14:paraId="2E24228E" w14:textId="77777777" w:rsidR="006E211C" w:rsidRDefault="00000000">
            <w:pPr>
              <w:jc w:val="center"/>
            </w:pPr>
            <w:r>
              <w:rPr>
                <w:rFonts w:ascii="Arial Narrow" w:eastAsia="Arial Narrow" w:hAnsi="Arial Narrow" w:cs="Arial Narrow"/>
                <w:b/>
                <w:bCs/>
                <w:color w:val="FFFFFF"/>
              </w:rPr>
              <w:t>Priorität</w:t>
            </w:r>
          </w:p>
        </w:tc>
        <w:tc>
          <w:tcPr>
            <w:tcW w:w="1000" w:type="dxa"/>
            <w:shd w:val="clear" w:color="auto" w:fill="000000"/>
          </w:tcPr>
          <w:p w14:paraId="3B4E72F5" w14:textId="77777777" w:rsidR="006E211C" w:rsidRDefault="00000000">
            <w:pPr>
              <w:jc w:val="center"/>
            </w:pPr>
            <w:r>
              <w:rPr>
                <w:rFonts w:ascii="Arial Narrow" w:eastAsia="Arial Narrow" w:hAnsi="Arial Narrow" w:cs="Arial Narrow"/>
                <w:b/>
                <w:bCs/>
                <w:color w:val="FFFFFF"/>
              </w:rPr>
              <w:t>Status</w:t>
            </w:r>
          </w:p>
        </w:tc>
      </w:tr>
      <w:tr w:rsidR="006E211C" w14:paraId="623DD46F" w14:textId="77777777">
        <w:tblPrEx>
          <w:tblCellMar>
            <w:top w:w="0" w:type="dxa"/>
            <w:bottom w:w="0" w:type="dxa"/>
          </w:tblCellMar>
        </w:tblPrEx>
        <w:tc>
          <w:tcPr>
            <w:tcW w:w="900" w:type="dxa"/>
            <w:shd w:val="clear" w:color="auto" w:fill="FFFFFF"/>
          </w:tcPr>
          <w:p w14:paraId="61D130CF" w14:textId="77777777" w:rsidR="006E211C" w:rsidRDefault="00000000">
            <w:r>
              <w:rPr>
                <w:rFonts w:ascii="Arial Narrow" w:eastAsia="Arial Narrow" w:hAnsi="Arial Narrow" w:cs="Arial Narrow"/>
              </w:rPr>
              <w:t>K-19</w:t>
            </w:r>
          </w:p>
        </w:tc>
        <w:tc>
          <w:tcPr>
            <w:tcW w:w="4700" w:type="dxa"/>
            <w:shd w:val="clear" w:color="auto" w:fill="FFFFFF"/>
          </w:tcPr>
          <w:p w14:paraId="314A65D1" w14:textId="77777777" w:rsidR="006E211C" w:rsidRDefault="00000000">
            <w:r>
              <w:rPr>
                <w:rFonts w:ascii="Arial Narrow" w:eastAsia="Arial Narrow" w:hAnsi="Arial Narrow" w:cs="Arial Narrow"/>
              </w:rPr>
              <w:t>Für Abrechnungen mit nicht zulässigen Positionen: Generierung eines Widerspruchsschreibens auf Basis der erfassten Daten und Prüfergebnisse (Pro-Tarif-Funktion)</w:t>
            </w:r>
          </w:p>
        </w:tc>
        <w:tc>
          <w:tcPr>
            <w:tcW w:w="1200" w:type="dxa"/>
            <w:shd w:val="clear" w:color="auto" w:fill="FFFFFF"/>
          </w:tcPr>
          <w:p w14:paraId="0E30DCFE" w14:textId="77777777" w:rsidR="006E211C" w:rsidRDefault="00000000">
            <w:r>
              <w:rPr>
                <w:rFonts w:ascii="Arial Narrow" w:eastAsia="Arial Narrow" w:hAnsi="Arial Narrow" w:cs="Arial Narrow"/>
              </w:rPr>
              <w:t>Muss</w:t>
            </w:r>
          </w:p>
        </w:tc>
        <w:tc>
          <w:tcPr>
            <w:tcW w:w="1000" w:type="dxa"/>
            <w:shd w:val="clear" w:color="auto" w:fill="FFFFFF"/>
          </w:tcPr>
          <w:p w14:paraId="039ABC7E" w14:textId="77777777" w:rsidR="006E211C" w:rsidRDefault="00000000">
            <w:r>
              <w:rPr>
                <w:rFonts w:ascii="Arial Narrow" w:eastAsia="Arial Narrow" w:hAnsi="Arial Narrow" w:cs="Arial Narrow"/>
              </w:rPr>
              <w:t>Neu</w:t>
            </w:r>
          </w:p>
        </w:tc>
      </w:tr>
      <w:tr w:rsidR="006E211C" w14:paraId="1BCEA00A" w14:textId="77777777">
        <w:tblPrEx>
          <w:tblCellMar>
            <w:top w:w="0" w:type="dxa"/>
            <w:bottom w:w="0" w:type="dxa"/>
          </w:tblCellMar>
        </w:tblPrEx>
        <w:tc>
          <w:tcPr>
            <w:tcW w:w="900" w:type="dxa"/>
            <w:shd w:val="clear" w:color="auto" w:fill="F5F5F5"/>
          </w:tcPr>
          <w:p w14:paraId="790B9C09" w14:textId="77777777" w:rsidR="006E211C" w:rsidRDefault="00000000">
            <w:r>
              <w:rPr>
                <w:rFonts w:ascii="Arial Narrow" w:eastAsia="Arial Narrow" w:hAnsi="Arial Narrow" w:cs="Arial Narrow"/>
              </w:rPr>
              <w:t>K-20</w:t>
            </w:r>
          </w:p>
        </w:tc>
        <w:tc>
          <w:tcPr>
            <w:tcW w:w="4700" w:type="dxa"/>
            <w:shd w:val="clear" w:color="auto" w:fill="F5F5F5"/>
          </w:tcPr>
          <w:p w14:paraId="4D6DECD2" w14:textId="77777777" w:rsidR="006E211C" w:rsidRDefault="00000000">
            <w:r>
              <w:rPr>
                <w:rFonts w:ascii="Arial Narrow" w:eastAsia="Arial Narrow" w:hAnsi="Arial Narrow" w:cs="Arial Narrow"/>
              </w:rPr>
              <w:t>Das Widerspruchsschreiben enthält: Absender (Mieterdaten), Empfänger (Vermieter oder Hausverwaltung), Datum, Betreff mit Abrechnungsjahr, Auflistung der beanstandeten Positionen mit Betrag und Gesetzesreferenz (BetrKV oder HKVO) sowie Forderung nach korrigierter Abrechnung oder Erstattung</w:t>
            </w:r>
          </w:p>
        </w:tc>
        <w:tc>
          <w:tcPr>
            <w:tcW w:w="1200" w:type="dxa"/>
            <w:shd w:val="clear" w:color="auto" w:fill="F5F5F5"/>
          </w:tcPr>
          <w:p w14:paraId="0D230F55" w14:textId="77777777" w:rsidR="006E211C" w:rsidRDefault="00000000">
            <w:r>
              <w:rPr>
                <w:rFonts w:ascii="Arial Narrow" w:eastAsia="Arial Narrow" w:hAnsi="Arial Narrow" w:cs="Arial Narrow"/>
              </w:rPr>
              <w:t>Muss</w:t>
            </w:r>
          </w:p>
        </w:tc>
        <w:tc>
          <w:tcPr>
            <w:tcW w:w="1000" w:type="dxa"/>
            <w:shd w:val="clear" w:color="auto" w:fill="F5F5F5"/>
          </w:tcPr>
          <w:p w14:paraId="150FD798" w14:textId="77777777" w:rsidR="006E211C" w:rsidRDefault="00000000">
            <w:r>
              <w:rPr>
                <w:rFonts w:ascii="Arial Narrow" w:eastAsia="Arial Narrow" w:hAnsi="Arial Narrow" w:cs="Arial Narrow"/>
              </w:rPr>
              <w:t>Neu</w:t>
            </w:r>
          </w:p>
        </w:tc>
      </w:tr>
      <w:tr w:rsidR="006E211C" w14:paraId="49A753E2" w14:textId="77777777">
        <w:tblPrEx>
          <w:tblCellMar>
            <w:top w:w="0" w:type="dxa"/>
            <w:bottom w:w="0" w:type="dxa"/>
          </w:tblCellMar>
        </w:tblPrEx>
        <w:tc>
          <w:tcPr>
            <w:tcW w:w="900" w:type="dxa"/>
            <w:shd w:val="clear" w:color="auto" w:fill="FFFFFF"/>
          </w:tcPr>
          <w:p w14:paraId="60DE4D7D" w14:textId="77777777" w:rsidR="006E211C" w:rsidRDefault="00000000">
            <w:r>
              <w:rPr>
                <w:rFonts w:ascii="Arial Narrow" w:eastAsia="Arial Narrow" w:hAnsi="Arial Narrow" w:cs="Arial Narrow"/>
              </w:rPr>
              <w:t>K-21</w:t>
            </w:r>
          </w:p>
        </w:tc>
        <w:tc>
          <w:tcPr>
            <w:tcW w:w="4700" w:type="dxa"/>
            <w:shd w:val="clear" w:color="auto" w:fill="FFFFFF"/>
          </w:tcPr>
          <w:p w14:paraId="4B4F948B" w14:textId="77777777" w:rsidR="006E211C" w:rsidRDefault="00000000">
            <w:r>
              <w:rPr>
                <w:rFonts w:ascii="Arial Narrow" w:eastAsia="Arial Narrow" w:hAnsi="Arial Narrow" w:cs="Arial Narrow"/>
                <w:sz w:val="22"/>
                <w:szCs w:val="22"/>
              </w:rPr>
              <w:t>Widerspruchsschreiben ist als PDF</w:t>
            </w:r>
            <w:r>
              <w:rPr>
                <w:rFonts w:ascii="Arial Narrow" w:eastAsia="Arial Narrow" w:hAnsi="Arial Narrow" w:cs="Arial Narrow"/>
              </w:rPr>
              <w:t>[</w:t>
            </w:r>
            <w:proofErr w:type="spellStart"/>
            <w:r>
              <w:rPr>
                <w:rFonts w:ascii="Arial Narrow" w:eastAsia="Arial Narrow" w:hAnsi="Arial Narrow" w:cs="Arial Narrow"/>
              </w:rPr>
              <w:t>object</w:t>
            </w:r>
            <w:proofErr w:type="spellEnd"/>
            <w:r>
              <w:rPr>
                <w:rFonts w:ascii="Arial Narrow" w:eastAsia="Arial Narrow" w:hAnsi="Arial Narrow" w:cs="Arial Narrow"/>
              </w:rPr>
              <w:t xml:space="preserve"> </w:t>
            </w:r>
            <w:proofErr w:type="spellStart"/>
            <w:r>
              <w:rPr>
                <w:rFonts w:ascii="Arial Narrow" w:eastAsia="Arial Narrow" w:hAnsi="Arial Narrow" w:cs="Arial Narrow"/>
              </w:rPr>
              <w:t>Object</w:t>
            </w:r>
            <w:proofErr w:type="spellEnd"/>
            <w:r>
              <w:rPr>
                <w:rFonts w:ascii="Arial Narrow" w:eastAsia="Arial Narrow" w:hAnsi="Arial Narrow" w:cs="Arial Narrow"/>
              </w:rPr>
              <w:t>]</w:t>
            </w:r>
            <w:r>
              <w:rPr>
                <w:rFonts w:ascii="Arial Narrow" w:eastAsia="Arial Narrow" w:hAnsi="Arial Narrow" w:cs="Arial Narrow"/>
                <w:sz w:val="22"/>
                <w:szCs w:val="22"/>
              </w:rPr>
              <w:t>-Datei herunterladbar; optionaler DOCX-Export</w:t>
            </w:r>
          </w:p>
        </w:tc>
        <w:tc>
          <w:tcPr>
            <w:tcW w:w="1200" w:type="dxa"/>
            <w:shd w:val="clear" w:color="auto" w:fill="FFFFFF"/>
          </w:tcPr>
          <w:p w14:paraId="4702740F" w14:textId="77777777" w:rsidR="006E211C" w:rsidRDefault="00000000">
            <w:r>
              <w:rPr>
                <w:rFonts w:ascii="Arial Narrow" w:eastAsia="Arial Narrow" w:hAnsi="Arial Narrow" w:cs="Arial Narrow"/>
              </w:rPr>
              <w:t>Muss</w:t>
            </w:r>
          </w:p>
        </w:tc>
        <w:tc>
          <w:tcPr>
            <w:tcW w:w="1000" w:type="dxa"/>
            <w:shd w:val="clear" w:color="auto" w:fill="FFFFFF"/>
          </w:tcPr>
          <w:p w14:paraId="442B3BF1" w14:textId="77777777" w:rsidR="006E211C" w:rsidRDefault="00000000">
            <w:r>
              <w:rPr>
                <w:rFonts w:ascii="Arial Narrow" w:eastAsia="Arial Narrow" w:hAnsi="Arial Narrow" w:cs="Arial Narrow"/>
              </w:rPr>
              <w:t>Neu</w:t>
            </w:r>
          </w:p>
        </w:tc>
      </w:tr>
      <w:tr w:rsidR="006E211C" w14:paraId="1DD4A1B2" w14:textId="77777777">
        <w:tblPrEx>
          <w:tblCellMar>
            <w:top w:w="0" w:type="dxa"/>
            <w:bottom w:w="0" w:type="dxa"/>
          </w:tblCellMar>
        </w:tblPrEx>
        <w:tc>
          <w:tcPr>
            <w:tcW w:w="900" w:type="dxa"/>
            <w:shd w:val="clear" w:color="auto" w:fill="F5F5F5"/>
          </w:tcPr>
          <w:p w14:paraId="3349DBF2" w14:textId="77777777" w:rsidR="006E211C" w:rsidRDefault="00000000">
            <w:r>
              <w:rPr>
                <w:rFonts w:ascii="Arial Narrow" w:eastAsia="Arial Narrow" w:hAnsi="Arial Narrow" w:cs="Arial Narrow"/>
              </w:rPr>
              <w:t>K-22</w:t>
            </w:r>
          </w:p>
        </w:tc>
        <w:tc>
          <w:tcPr>
            <w:tcW w:w="4700" w:type="dxa"/>
            <w:shd w:val="clear" w:color="auto" w:fill="F5F5F5"/>
          </w:tcPr>
          <w:p w14:paraId="33879A66" w14:textId="77777777" w:rsidR="006E211C" w:rsidRDefault="00000000">
            <w:r>
              <w:rPr>
                <w:rFonts w:ascii="Arial Narrow" w:eastAsia="Arial Narrow" w:hAnsi="Arial Narrow" w:cs="Arial Narrow"/>
              </w:rPr>
              <w:t>Nicht ausgefüllte Pflichtangaben (z. B. fehlende Vermieteradresse) werden im Schreiben als [BITTE ERGÄNZEN]-Platzhalter deutlich markiert</w:t>
            </w:r>
          </w:p>
        </w:tc>
        <w:tc>
          <w:tcPr>
            <w:tcW w:w="1200" w:type="dxa"/>
            <w:shd w:val="clear" w:color="auto" w:fill="F5F5F5"/>
          </w:tcPr>
          <w:p w14:paraId="743AF978" w14:textId="77777777" w:rsidR="006E211C" w:rsidRDefault="00000000">
            <w:r>
              <w:rPr>
                <w:rFonts w:ascii="Arial Narrow" w:eastAsia="Arial Narrow" w:hAnsi="Arial Narrow" w:cs="Arial Narrow"/>
              </w:rPr>
              <w:t>Muss</w:t>
            </w:r>
          </w:p>
        </w:tc>
        <w:tc>
          <w:tcPr>
            <w:tcW w:w="1000" w:type="dxa"/>
            <w:shd w:val="clear" w:color="auto" w:fill="F5F5F5"/>
          </w:tcPr>
          <w:p w14:paraId="15815633" w14:textId="77777777" w:rsidR="006E211C" w:rsidRDefault="00000000">
            <w:r>
              <w:rPr>
                <w:rFonts w:ascii="Arial Narrow" w:eastAsia="Arial Narrow" w:hAnsi="Arial Narrow" w:cs="Arial Narrow"/>
              </w:rPr>
              <w:t>Neu</w:t>
            </w:r>
          </w:p>
        </w:tc>
      </w:tr>
      <w:tr w:rsidR="006E211C" w14:paraId="6F0A218C" w14:textId="77777777">
        <w:tblPrEx>
          <w:tblCellMar>
            <w:top w:w="0" w:type="dxa"/>
            <w:bottom w:w="0" w:type="dxa"/>
          </w:tblCellMar>
        </w:tblPrEx>
        <w:tc>
          <w:tcPr>
            <w:tcW w:w="900" w:type="dxa"/>
            <w:shd w:val="clear" w:color="auto" w:fill="FFFFFF"/>
          </w:tcPr>
          <w:p w14:paraId="014BE1DD" w14:textId="77777777" w:rsidR="006E211C" w:rsidRDefault="00000000">
            <w:r>
              <w:rPr>
                <w:rFonts w:ascii="Arial Narrow" w:eastAsia="Arial Narrow" w:hAnsi="Arial Narrow" w:cs="Arial Narrow"/>
              </w:rPr>
              <w:t>K-23</w:t>
            </w:r>
          </w:p>
        </w:tc>
        <w:tc>
          <w:tcPr>
            <w:tcW w:w="4700" w:type="dxa"/>
            <w:shd w:val="clear" w:color="auto" w:fill="FFFFFF"/>
          </w:tcPr>
          <w:p w14:paraId="5724979A" w14:textId="77777777" w:rsidR="006E211C" w:rsidRDefault="00000000">
            <w:r>
              <w:rPr>
                <w:rFonts w:ascii="Arial Narrow" w:eastAsia="Arial Narrow" w:hAnsi="Arial Narrow" w:cs="Arial Narrow"/>
              </w:rPr>
              <w:t>Das generierte Schreiben enthält den Hinweis, dass es ein Mustertext ist und keine anwaltliche Rechtsberatung darstellt</w:t>
            </w:r>
          </w:p>
        </w:tc>
        <w:tc>
          <w:tcPr>
            <w:tcW w:w="1200" w:type="dxa"/>
            <w:shd w:val="clear" w:color="auto" w:fill="FFFFFF"/>
          </w:tcPr>
          <w:p w14:paraId="31D8D141" w14:textId="77777777" w:rsidR="006E211C" w:rsidRDefault="00000000">
            <w:r>
              <w:rPr>
                <w:rFonts w:ascii="Arial Narrow" w:eastAsia="Arial Narrow" w:hAnsi="Arial Narrow" w:cs="Arial Narrow"/>
              </w:rPr>
              <w:t>Muss</w:t>
            </w:r>
          </w:p>
        </w:tc>
        <w:tc>
          <w:tcPr>
            <w:tcW w:w="1000" w:type="dxa"/>
            <w:shd w:val="clear" w:color="auto" w:fill="FFFFFF"/>
          </w:tcPr>
          <w:p w14:paraId="65E0758A" w14:textId="77777777" w:rsidR="006E211C" w:rsidRDefault="00000000">
            <w:r>
              <w:rPr>
                <w:rFonts w:ascii="Arial Narrow" w:eastAsia="Arial Narrow" w:hAnsi="Arial Narrow" w:cs="Arial Narrow"/>
              </w:rPr>
              <w:t>Neu</w:t>
            </w:r>
          </w:p>
        </w:tc>
      </w:tr>
    </w:tbl>
    <w:p w14:paraId="72B5DFB5" w14:textId="77777777" w:rsidR="006E211C" w:rsidRDefault="006E211C">
      <w:pPr>
        <w:spacing w:after="120"/>
      </w:pPr>
    </w:p>
    <w:p w14:paraId="465419AA" w14:textId="77777777" w:rsidR="006E211C" w:rsidRDefault="00000000">
      <w:pPr>
        <w:spacing w:before="200" w:after="80"/>
      </w:pPr>
      <w:r>
        <w:rPr>
          <w:rFonts w:ascii="Arial Narrow" w:eastAsia="Arial Narrow" w:hAnsi="Arial Narrow" w:cs="Arial Narrow"/>
          <w:b/>
          <w:bCs/>
          <w:color w:val="333333"/>
          <w:sz w:val="24"/>
          <w:szCs w:val="24"/>
        </w:rPr>
        <w:t>7.1.5 Fristenüberwachung</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700"/>
        <w:gridCol w:w="1200"/>
        <w:gridCol w:w="1000"/>
      </w:tblGrid>
      <w:tr w:rsidR="006E211C" w14:paraId="2F8AACCB" w14:textId="77777777">
        <w:tblPrEx>
          <w:tblCellMar>
            <w:top w:w="0" w:type="dxa"/>
            <w:bottom w:w="0" w:type="dxa"/>
          </w:tblCellMar>
        </w:tblPrEx>
        <w:trPr>
          <w:tblHeader/>
        </w:trPr>
        <w:tc>
          <w:tcPr>
            <w:tcW w:w="900" w:type="dxa"/>
            <w:shd w:val="clear" w:color="auto" w:fill="000000"/>
          </w:tcPr>
          <w:p w14:paraId="236972CA" w14:textId="77777777" w:rsidR="006E211C" w:rsidRDefault="00000000">
            <w:pPr>
              <w:jc w:val="center"/>
            </w:pPr>
            <w:r>
              <w:rPr>
                <w:rFonts w:ascii="Arial Narrow" w:eastAsia="Arial Narrow" w:hAnsi="Arial Narrow" w:cs="Arial Narrow"/>
                <w:b/>
                <w:bCs/>
                <w:color w:val="FFFFFF"/>
              </w:rPr>
              <w:t>ID</w:t>
            </w:r>
          </w:p>
        </w:tc>
        <w:tc>
          <w:tcPr>
            <w:tcW w:w="4700" w:type="dxa"/>
            <w:shd w:val="clear" w:color="auto" w:fill="000000"/>
          </w:tcPr>
          <w:p w14:paraId="1F6575AB" w14:textId="77777777" w:rsidR="006E211C" w:rsidRDefault="00000000">
            <w:pPr>
              <w:jc w:val="center"/>
            </w:pPr>
            <w:r>
              <w:rPr>
                <w:rFonts w:ascii="Arial Narrow" w:eastAsia="Arial Narrow" w:hAnsi="Arial Narrow" w:cs="Arial Narrow"/>
                <w:b/>
                <w:bCs/>
                <w:color w:val="FFFFFF"/>
              </w:rPr>
              <w:t>Anforderung</w:t>
            </w:r>
          </w:p>
        </w:tc>
        <w:tc>
          <w:tcPr>
            <w:tcW w:w="1200" w:type="dxa"/>
            <w:shd w:val="clear" w:color="auto" w:fill="000000"/>
          </w:tcPr>
          <w:p w14:paraId="125FE323" w14:textId="77777777" w:rsidR="006E211C" w:rsidRDefault="00000000">
            <w:pPr>
              <w:jc w:val="center"/>
            </w:pPr>
            <w:r>
              <w:rPr>
                <w:rFonts w:ascii="Arial Narrow" w:eastAsia="Arial Narrow" w:hAnsi="Arial Narrow" w:cs="Arial Narrow"/>
                <w:b/>
                <w:bCs/>
                <w:color w:val="FFFFFF"/>
              </w:rPr>
              <w:t>Priorität</w:t>
            </w:r>
          </w:p>
        </w:tc>
        <w:tc>
          <w:tcPr>
            <w:tcW w:w="1000" w:type="dxa"/>
            <w:shd w:val="clear" w:color="auto" w:fill="000000"/>
          </w:tcPr>
          <w:p w14:paraId="03996A2B" w14:textId="77777777" w:rsidR="006E211C" w:rsidRDefault="00000000">
            <w:pPr>
              <w:jc w:val="center"/>
            </w:pPr>
            <w:r>
              <w:rPr>
                <w:rFonts w:ascii="Arial Narrow" w:eastAsia="Arial Narrow" w:hAnsi="Arial Narrow" w:cs="Arial Narrow"/>
                <w:b/>
                <w:bCs/>
                <w:color w:val="FFFFFF"/>
              </w:rPr>
              <w:t>Status</w:t>
            </w:r>
          </w:p>
        </w:tc>
      </w:tr>
      <w:tr w:rsidR="006E211C" w14:paraId="0C1229E1" w14:textId="77777777">
        <w:tblPrEx>
          <w:tblCellMar>
            <w:top w:w="0" w:type="dxa"/>
            <w:bottom w:w="0" w:type="dxa"/>
          </w:tblCellMar>
        </w:tblPrEx>
        <w:tc>
          <w:tcPr>
            <w:tcW w:w="900" w:type="dxa"/>
            <w:shd w:val="clear" w:color="auto" w:fill="FFFFFF"/>
          </w:tcPr>
          <w:p w14:paraId="7613B1EC" w14:textId="77777777" w:rsidR="006E211C" w:rsidRDefault="00000000">
            <w:r>
              <w:rPr>
                <w:rFonts w:ascii="Arial Narrow" w:eastAsia="Arial Narrow" w:hAnsi="Arial Narrow" w:cs="Arial Narrow"/>
              </w:rPr>
              <w:t>K-24</w:t>
            </w:r>
          </w:p>
        </w:tc>
        <w:tc>
          <w:tcPr>
            <w:tcW w:w="4700" w:type="dxa"/>
            <w:shd w:val="clear" w:color="auto" w:fill="FFFFFF"/>
          </w:tcPr>
          <w:p w14:paraId="6C9DA431" w14:textId="77777777" w:rsidR="006E211C" w:rsidRDefault="00000000">
            <w:r>
              <w:rPr>
                <w:rFonts w:ascii="Arial Narrow" w:eastAsia="Arial Narrow" w:hAnsi="Arial Narrow" w:cs="Arial Narrow"/>
              </w:rPr>
              <w:t>System berechnet automatisch das Fristende: 12 Monate nach dem eingegebenen Zugangsdatum der Abrechnung gemäß §556 Abs. 3 BGB</w:t>
            </w:r>
          </w:p>
        </w:tc>
        <w:tc>
          <w:tcPr>
            <w:tcW w:w="1200" w:type="dxa"/>
            <w:shd w:val="clear" w:color="auto" w:fill="FFFFFF"/>
          </w:tcPr>
          <w:p w14:paraId="76B0D692" w14:textId="77777777" w:rsidR="006E211C" w:rsidRDefault="00000000">
            <w:r>
              <w:rPr>
                <w:rFonts w:ascii="Arial Narrow" w:eastAsia="Arial Narrow" w:hAnsi="Arial Narrow" w:cs="Arial Narrow"/>
              </w:rPr>
              <w:t>Muss</w:t>
            </w:r>
          </w:p>
        </w:tc>
        <w:tc>
          <w:tcPr>
            <w:tcW w:w="1000" w:type="dxa"/>
            <w:shd w:val="clear" w:color="auto" w:fill="FFFFFF"/>
          </w:tcPr>
          <w:p w14:paraId="79249918" w14:textId="77777777" w:rsidR="006E211C" w:rsidRDefault="00000000">
            <w:r>
              <w:rPr>
                <w:rFonts w:ascii="Arial Narrow" w:eastAsia="Arial Narrow" w:hAnsi="Arial Narrow" w:cs="Arial Narrow"/>
              </w:rPr>
              <w:t>Neu</w:t>
            </w:r>
          </w:p>
        </w:tc>
      </w:tr>
      <w:tr w:rsidR="006E211C" w14:paraId="4760830F" w14:textId="77777777">
        <w:tblPrEx>
          <w:tblCellMar>
            <w:top w:w="0" w:type="dxa"/>
            <w:bottom w:w="0" w:type="dxa"/>
          </w:tblCellMar>
        </w:tblPrEx>
        <w:tc>
          <w:tcPr>
            <w:tcW w:w="900" w:type="dxa"/>
            <w:shd w:val="clear" w:color="auto" w:fill="F5F5F5"/>
          </w:tcPr>
          <w:p w14:paraId="2FDD4F77" w14:textId="77777777" w:rsidR="006E211C" w:rsidRDefault="00000000">
            <w:r>
              <w:rPr>
                <w:rFonts w:ascii="Arial Narrow" w:eastAsia="Arial Narrow" w:hAnsi="Arial Narrow" w:cs="Arial Narrow"/>
              </w:rPr>
              <w:t>K-25</w:t>
            </w:r>
          </w:p>
        </w:tc>
        <w:tc>
          <w:tcPr>
            <w:tcW w:w="4700" w:type="dxa"/>
            <w:shd w:val="clear" w:color="auto" w:fill="F5F5F5"/>
          </w:tcPr>
          <w:p w14:paraId="583E60F2" w14:textId="77777777" w:rsidR="006E211C" w:rsidRDefault="00000000">
            <w:r>
              <w:rPr>
                <w:rFonts w:ascii="Arial Narrow" w:eastAsia="Arial Narrow" w:hAnsi="Arial Narrow" w:cs="Arial Narrow"/>
              </w:rPr>
              <w:t>Erinnerungsbenachrichtigungen (In-App und E-Mail) bei verbleibenden 60, 30 und 7 Tagen vor Fristablauf; pro Nutzer konfigurierbar</w:t>
            </w:r>
          </w:p>
        </w:tc>
        <w:tc>
          <w:tcPr>
            <w:tcW w:w="1200" w:type="dxa"/>
            <w:shd w:val="clear" w:color="auto" w:fill="F5F5F5"/>
          </w:tcPr>
          <w:p w14:paraId="6C1A0026" w14:textId="77777777" w:rsidR="006E211C" w:rsidRDefault="00000000">
            <w:r>
              <w:rPr>
                <w:rFonts w:ascii="Arial Narrow" w:eastAsia="Arial Narrow" w:hAnsi="Arial Narrow" w:cs="Arial Narrow"/>
              </w:rPr>
              <w:t>Muss</w:t>
            </w:r>
          </w:p>
        </w:tc>
        <w:tc>
          <w:tcPr>
            <w:tcW w:w="1000" w:type="dxa"/>
            <w:shd w:val="clear" w:color="auto" w:fill="F5F5F5"/>
          </w:tcPr>
          <w:p w14:paraId="3C84A2A6" w14:textId="77777777" w:rsidR="006E211C" w:rsidRDefault="00000000">
            <w:r>
              <w:rPr>
                <w:rFonts w:ascii="Arial Narrow" w:eastAsia="Arial Narrow" w:hAnsi="Arial Narrow" w:cs="Arial Narrow"/>
              </w:rPr>
              <w:t>Neu</w:t>
            </w:r>
          </w:p>
        </w:tc>
      </w:tr>
      <w:tr w:rsidR="006E211C" w14:paraId="79A2B096" w14:textId="77777777">
        <w:tblPrEx>
          <w:tblCellMar>
            <w:top w:w="0" w:type="dxa"/>
            <w:bottom w:w="0" w:type="dxa"/>
          </w:tblCellMar>
        </w:tblPrEx>
        <w:tc>
          <w:tcPr>
            <w:tcW w:w="900" w:type="dxa"/>
            <w:shd w:val="clear" w:color="auto" w:fill="FFFFFF"/>
          </w:tcPr>
          <w:p w14:paraId="5C90BE99" w14:textId="77777777" w:rsidR="006E211C" w:rsidRDefault="00000000">
            <w:r>
              <w:rPr>
                <w:rFonts w:ascii="Arial Narrow" w:eastAsia="Arial Narrow" w:hAnsi="Arial Narrow" w:cs="Arial Narrow"/>
              </w:rPr>
              <w:t>K-26</w:t>
            </w:r>
          </w:p>
        </w:tc>
        <w:tc>
          <w:tcPr>
            <w:tcW w:w="4700" w:type="dxa"/>
            <w:shd w:val="clear" w:color="auto" w:fill="FFFFFF"/>
          </w:tcPr>
          <w:p w14:paraId="37ECDFDB" w14:textId="77777777" w:rsidR="006E211C" w:rsidRDefault="00000000">
            <w:r>
              <w:rPr>
                <w:rFonts w:ascii="Arial Narrow" w:eastAsia="Arial Narrow" w:hAnsi="Arial Narrow" w:cs="Arial Narrow"/>
              </w:rPr>
              <w:t>Abrechnungen mit abgelaufener Einwendungsfrist werden als "Frist abgelaufen" markiert; der Widerspruchsschreiben-Generator ist nach Fristablauf nicht mehr nutzbar</w:t>
            </w:r>
          </w:p>
        </w:tc>
        <w:tc>
          <w:tcPr>
            <w:tcW w:w="1200" w:type="dxa"/>
            <w:shd w:val="clear" w:color="auto" w:fill="FFFFFF"/>
          </w:tcPr>
          <w:p w14:paraId="15549A18" w14:textId="77777777" w:rsidR="006E211C" w:rsidRDefault="00000000">
            <w:r>
              <w:rPr>
                <w:rFonts w:ascii="Arial Narrow" w:eastAsia="Arial Narrow" w:hAnsi="Arial Narrow" w:cs="Arial Narrow"/>
              </w:rPr>
              <w:t>Muss</w:t>
            </w:r>
          </w:p>
        </w:tc>
        <w:tc>
          <w:tcPr>
            <w:tcW w:w="1000" w:type="dxa"/>
            <w:shd w:val="clear" w:color="auto" w:fill="FFFFFF"/>
          </w:tcPr>
          <w:p w14:paraId="69A853C6" w14:textId="77777777" w:rsidR="006E211C" w:rsidRDefault="00000000">
            <w:r>
              <w:rPr>
                <w:rFonts w:ascii="Arial Narrow" w:eastAsia="Arial Narrow" w:hAnsi="Arial Narrow" w:cs="Arial Narrow"/>
              </w:rPr>
              <w:t>Neu</w:t>
            </w:r>
          </w:p>
        </w:tc>
      </w:tr>
    </w:tbl>
    <w:p w14:paraId="715D6CA4" w14:textId="77777777" w:rsidR="006E211C" w:rsidRDefault="006E211C">
      <w:pPr>
        <w:spacing w:after="120"/>
      </w:pPr>
    </w:p>
    <w:p w14:paraId="0A3A23DC" w14:textId="77777777" w:rsidR="00CD0B9A" w:rsidRDefault="00CD0B9A">
      <w:pPr>
        <w:rPr>
          <w:rFonts w:ascii="Arial Narrow" w:eastAsia="Arial Narrow" w:hAnsi="Arial Narrow" w:cs="Arial Narrow"/>
          <w:b/>
          <w:bCs/>
          <w:color w:val="333333"/>
          <w:sz w:val="24"/>
          <w:szCs w:val="24"/>
        </w:rPr>
      </w:pPr>
      <w:r>
        <w:rPr>
          <w:rFonts w:ascii="Arial Narrow" w:eastAsia="Arial Narrow" w:hAnsi="Arial Narrow" w:cs="Arial Narrow"/>
          <w:b/>
          <w:bCs/>
          <w:color w:val="333333"/>
          <w:sz w:val="24"/>
          <w:szCs w:val="24"/>
        </w:rPr>
        <w:br w:type="page"/>
      </w:r>
    </w:p>
    <w:p w14:paraId="281DBD0D" w14:textId="6C8D77CF" w:rsidR="006E211C" w:rsidRDefault="00000000">
      <w:pPr>
        <w:spacing w:before="200" w:after="80"/>
      </w:pPr>
      <w:r>
        <w:rPr>
          <w:rFonts w:ascii="Arial Narrow" w:eastAsia="Arial Narrow" w:hAnsi="Arial Narrow" w:cs="Arial Narrow"/>
          <w:b/>
          <w:bCs/>
          <w:color w:val="333333"/>
          <w:sz w:val="24"/>
          <w:szCs w:val="24"/>
        </w:rPr>
        <w:lastRenderedPageBreak/>
        <w:t>7.1.6 Archiv und Export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700"/>
        <w:gridCol w:w="1200"/>
        <w:gridCol w:w="1000"/>
      </w:tblGrid>
      <w:tr w:rsidR="006E211C" w14:paraId="3A3FB1EC" w14:textId="77777777">
        <w:tblPrEx>
          <w:tblCellMar>
            <w:top w:w="0" w:type="dxa"/>
            <w:bottom w:w="0" w:type="dxa"/>
          </w:tblCellMar>
        </w:tblPrEx>
        <w:trPr>
          <w:tblHeader/>
        </w:trPr>
        <w:tc>
          <w:tcPr>
            <w:tcW w:w="900" w:type="dxa"/>
            <w:shd w:val="clear" w:color="auto" w:fill="000000"/>
          </w:tcPr>
          <w:p w14:paraId="17EA5DBD" w14:textId="77777777" w:rsidR="006E211C" w:rsidRDefault="00000000">
            <w:pPr>
              <w:jc w:val="center"/>
            </w:pPr>
            <w:r>
              <w:rPr>
                <w:rFonts w:ascii="Arial Narrow" w:eastAsia="Arial Narrow" w:hAnsi="Arial Narrow" w:cs="Arial Narrow"/>
                <w:b/>
                <w:bCs/>
                <w:color w:val="FFFFFF"/>
              </w:rPr>
              <w:t>ID</w:t>
            </w:r>
          </w:p>
        </w:tc>
        <w:tc>
          <w:tcPr>
            <w:tcW w:w="4700" w:type="dxa"/>
            <w:shd w:val="clear" w:color="auto" w:fill="000000"/>
          </w:tcPr>
          <w:p w14:paraId="151AD01D" w14:textId="77777777" w:rsidR="006E211C" w:rsidRDefault="00000000">
            <w:pPr>
              <w:jc w:val="center"/>
            </w:pPr>
            <w:r>
              <w:rPr>
                <w:rFonts w:ascii="Arial Narrow" w:eastAsia="Arial Narrow" w:hAnsi="Arial Narrow" w:cs="Arial Narrow"/>
                <w:b/>
                <w:bCs/>
                <w:color w:val="FFFFFF"/>
              </w:rPr>
              <w:t>Anforderung</w:t>
            </w:r>
          </w:p>
        </w:tc>
        <w:tc>
          <w:tcPr>
            <w:tcW w:w="1200" w:type="dxa"/>
            <w:shd w:val="clear" w:color="auto" w:fill="000000"/>
          </w:tcPr>
          <w:p w14:paraId="40AEA1B5" w14:textId="77777777" w:rsidR="006E211C" w:rsidRDefault="00000000">
            <w:pPr>
              <w:jc w:val="center"/>
            </w:pPr>
            <w:r>
              <w:rPr>
                <w:rFonts w:ascii="Arial Narrow" w:eastAsia="Arial Narrow" w:hAnsi="Arial Narrow" w:cs="Arial Narrow"/>
                <w:b/>
                <w:bCs/>
                <w:color w:val="FFFFFF"/>
              </w:rPr>
              <w:t>Priorität</w:t>
            </w:r>
          </w:p>
        </w:tc>
        <w:tc>
          <w:tcPr>
            <w:tcW w:w="1000" w:type="dxa"/>
            <w:shd w:val="clear" w:color="auto" w:fill="000000"/>
          </w:tcPr>
          <w:p w14:paraId="067E66F0" w14:textId="77777777" w:rsidR="006E211C" w:rsidRDefault="00000000">
            <w:pPr>
              <w:jc w:val="center"/>
            </w:pPr>
            <w:r>
              <w:rPr>
                <w:rFonts w:ascii="Arial Narrow" w:eastAsia="Arial Narrow" w:hAnsi="Arial Narrow" w:cs="Arial Narrow"/>
                <w:b/>
                <w:bCs/>
                <w:color w:val="FFFFFF"/>
              </w:rPr>
              <w:t>Status</w:t>
            </w:r>
          </w:p>
        </w:tc>
      </w:tr>
      <w:tr w:rsidR="006E211C" w14:paraId="4F94FC8C" w14:textId="77777777">
        <w:tblPrEx>
          <w:tblCellMar>
            <w:top w:w="0" w:type="dxa"/>
            <w:bottom w:w="0" w:type="dxa"/>
          </w:tblCellMar>
        </w:tblPrEx>
        <w:tc>
          <w:tcPr>
            <w:tcW w:w="900" w:type="dxa"/>
            <w:shd w:val="clear" w:color="auto" w:fill="FFFFFF"/>
          </w:tcPr>
          <w:p w14:paraId="38996F12" w14:textId="77777777" w:rsidR="006E211C" w:rsidRDefault="00000000">
            <w:r>
              <w:rPr>
                <w:rFonts w:ascii="Arial Narrow" w:eastAsia="Arial Narrow" w:hAnsi="Arial Narrow" w:cs="Arial Narrow"/>
              </w:rPr>
              <w:t>K-27</w:t>
            </w:r>
          </w:p>
        </w:tc>
        <w:tc>
          <w:tcPr>
            <w:tcW w:w="4700" w:type="dxa"/>
            <w:shd w:val="clear" w:color="auto" w:fill="FFFFFF"/>
          </w:tcPr>
          <w:p w14:paraId="7146D230" w14:textId="77777777" w:rsidR="006E211C" w:rsidRDefault="00000000">
            <w:r>
              <w:rPr>
                <w:rFonts w:ascii="Arial Narrow" w:eastAsia="Arial Narrow" w:hAnsi="Arial Narrow" w:cs="Arial Narrow"/>
              </w:rPr>
              <w:t>Übersichtsseite zeigt alle erfassten Abrechnungen mit Status (in Prüfung, geprüft, Widerspruch erstellt) und verbleibender Einwendungsfrist</w:t>
            </w:r>
          </w:p>
        </w:tc>
        <w:tc>
          <w:tcPr>
            <w:tcW w:w="1200" w:type="dxa"/>
            <w:shd w:val="clear" w:color="auto" w:fill="FFFFFF"/>
          </w:tcPr>
          <w:p w14:paraId="44FA74AC" w14:textId="77777777" w:rsidR="006E211C" w:rsidRDefault="00000000">
            <w:r>
              <w:rPr>
                <w:rFonts w:ascii="Arial Narrow" w:eastAsia="Arial Narrow" w:hAnsi="Arial Narrow" w:cs="Arial Narrow"/>
              </w:rPr>
              <w:t>Muss</w:t>
            </w:r>
          </w:p>
        </w:tc>
        <w:tc>
          <w:tcPr>
            <w:tcW w:w="1000" w:type="dxa"/>
            <w:shd w:val="clear" w:color="auto" w:fill="FFFFFF"/>
          </w:tcPr>
          <w:p w14:paraId="575AC06D" w14:textId="77777777" w:rsidR="006E211C" w:rsidRDefault="00000000">
            <w:r>
              <w:rPr>
                <w:rFonts w:ascii="Arial Narrow" w:eastAsia="Arial Narrow" w:hAnsi="Arial Narrow" w:cs="Arial Narrow"/>
              </w:rPr>
              <w:t>Neu</w:t>
            </w:r>
          </w:p>
        </w:tc>
      </w:tr>
      <w:tr w:rsidR="006E211C" w14:paraId="161E7C31" w14:textId="77777777">
        <w:tblPrEx>
          <w:tblCellMar>
            <w:top w:w="0" w:type="dxa"/>
            <w:bottom w:w="0" w:type="dxa"/>
          </w:tblCellMar>
        </w:tblPrEx>
        <w:tc>
          <w:tcPr>
            <w:tcW w:w="900" w:type="dxa"/>
            <w:shd w:val="clear" w:color="auto" w:fill="F5F5F5"/>
          </w:tcPr>
          <w:p w14:paraId="21A976BB" w14:textId="77777777" w:rsidR="006E211C" w:rsidRDefault="00000000">
            <w:r>
              <w:rPr>
                <w:rFonts w:ascii="Arial Narrow" w:eastAsia="Arial Narrow" w:hAnsi="Arial Narrow" w:cs="Arial Narrow"/>
              </w:rPr>
              <w:t>K-28</w:t>
            </w:r>
          </w:p>
        </w:tc>
        <w:tc>
          <w:tcPr>
            <w:tcW w:w="4700" w:type="dxa"/>
            <w:shd w:val="clear" w:color="auto" w:fill="F5F5F5"/>
          </w:tcPr>
          <w:p w14:paraId="7D3C9EAD" w14:textId="77777777" w:rsidR="006E211C" w:rsidRDefault="00000000">
            <w:r>
              <w:rPr>
                <w:rFonts w:ascii="Arial Narrow" w:eastAsia="Arial Narrow" w:hAnsi="Arial Narrow" w:cs="Arial Narrow"/>
              </w:rPr>
              <w:t>Abgeschlossene Prüfungen bleiben dauerhaft archiviert und sind jederzeit abrufbar</w:t>
            </w:r>
          </w:p>
        </w:tc>
        <w:tc>
          <w:tcPr>
            <w:tcW w:w="1200" w:type="dxa"/>
            <w:shd w:val="clear" w:color="auto" w:fill="F5F5F5"/>
          </w:tcPr>
          <w:p w14:paraId="19A03C46" w14:textId="77777777" w:rsidR="006E211C" w:rsidRDefault="00000000">
            <w:r>
              <w:rPr>
                <w:rFonts w:ascii="Arial Narrow" w:eastAsia="Arial Narrow" w:hAnsi="Arial Narrow" w:cs="Arial Narrow"/>
              </w:rPr>
              <w:t>Muss</w:t>
            </w:r>
          </w:p>
        </w:tc>
        <w:tc>
          <w:tcPr>
            <w:tcW w:w="1000" w:type="dxa"/>
            <w:shd w:val="clear" w:color="auto" w:fill="F5F5F5"/>
          </w:tcPr>
          <w:p w14:paraId="333512C9" w14:textId="77777777" w:rsidR="006E211C" w:rsidRDefault="00000000">
            <w:r>
              <w:rPr>
                <w:rFonts w:ascii="Arial Narrow" w:eastAsia="Arial Narrow" w:hAnsi="Arial Narrow" w:cs="Arial Narrow"/>
              </w:rPr>
              <w:t>Neu</w:t>
            </w:r>
          </w:p>
        </w:tc>
      </w:tr>
      <w:tr w:rsidR="006E211C" w14:paraId="61AF6800" w14:textId="77777777">
        <w:tblPrEx>
          <w:tblCellMar>
            <w:top w:w="0" w:type="dxa"/>
            <w:bottom w:w="0" w:type="dxa"/>
          </w:tblCellMar>
        </w:tblPrEx>
        <w:tc>
          <w:tcPr>
            <w:tcW w:w="900" w:type="dxa"/>
            <w:shd w:val="clear" w:color="auto" w:fill="FFFFFF"/>
          </w:tcPr>
          <w:p w14:paraId="2A8F2F1B" w14:textId="77777777" w:rsidR="006E211C" w:rsidRDefault="00000000">
            <w:r>
              <w:rPr>
                <w:rFonts w:ascii="Arial Narrow" w:eastAsia="Arial Narrow" w:hAnsi="Arial Narrow" w:cs="Arial Narrow"/>
              </w:rPr>
              <w:t>K-29</w:t>
            </w:r>
          </w:p>
        </w:tc>
        <w:tc>
          <w:tcPr>
            <w:tcW w:w="4700" w:type="dxa"/>
            <w:shd w:val="clear" w:color="auto" w:fill="FFFFFF"/>
          </w:tcPr>
          <w:p w14:paraId="520EE757" w14:textId="77777777" w:rsidR="006E211C" w:rsidRDefault="00000000">
            <w:r>
              <w:rPr>
                <w:rFonts w:ascii="Arial Narrow" w:eastAsia="Arial Narrow" w:hAnsi="Arial Narrow" w:cs="Arial Narrow"/>
              </w:rPr>
              <w:t>Prüfergebnis inklusive aller Positionen, Bewertungen und Begründungen als PDF exportierbar (Pro-Tarif-Funktion)</w:t>
            </w:r>
          </w:p>
        </w:tc>
        <w:tc>
          <w:tcPr>
            <w:tcW w:w="1200" w:type="dxa"/>
            <w:shd w:val="clear" w:color="auto" w:fill="FFFFFF"/>
          </w:tcPr>
          <w:p w14:paraId="20CDC7DA" w14:textId="77777777" w:rsidR="006E211C" w:rsidRDefault="00000000">
            <w:r>
              <w:rPr>
                <w:rFonts w:ascii="Arial Narrow" w:eastAsia="Arial Narrow" w:hAnsi="Arial Narrow" w:cs="Arial Narrow"/>
              </w:rPr>
              <w:t>Muss</w:t>
            </w:r>
          </w:p>
        </w:tc>
        <w:tc>
          <w:tcPr>
            <w:tcW w:w="1000" w:type="dxa"/>
            <w:shd w:val="clear" w:color="auto" w:fill="FFFFFF"/>
          </w:tcPr>
          <w:p w14:paraId="1178C878" w14:textId="77777777" w:rsidR="006E211C" w:rsidRDefault="00000000">
            <w:r>
              <w:rPr>
                <w:rFonts w:ascii="Arial Narrow" w:eastAsia="Arial Narrow" w:hAnsi="Arial Narrow" w:cs="Arial Narrow"/>
              </w:rPr>
              <w:t>Neu</w:t>
            </w:r>
          </w:p>
        </w:tc>
      </w:tr>
      <w:tr w:rsidR="006E211C" w14:paraId="3B23D986" w14:textId="77777777">
        <w:tblPrEx>
          <w:tblCellMar>
            <w:top w:w="0" w:type="dxa"/>
            <w:bottom w:w="0" w:type="dxa"/>
          </w:tblCellMar>
        </w:tblPrEx>
        <w:tc>
          <w:tcPr>
            <w:tcW w:w="900" w:type="dxa"/>
            <w:shd w:val="clear" w:color="auto" w:fill="F5F5F5"/>
          </w:tcPr>
          <w:p w14:paraId="2135C1FC" w14:textId="77777777" w:rsidR="006E211C" w:rsidRDefault="00000000">
            <w:r>
              <w:rPr>
                <w:rFonts w:ascii="Arial Narrow" w:eastAsia="Arial Narrow" w:hAnsi="Arial Narrow" w:cs="Arial Narrow"/>
              </w:rPr>
              <w:t>K-30</w:t>
            </w:r>
          </w:p>
        </w:tc>
        <w:tc>
          <w:tcPr>
            <w:tcW w:w="4700" w:type="dxa"/>
            <w:shd w:val="clear" w:color="auto" w:fill="F5F5F5"/>
          </w:tcPr>
          <w:p w14:paraId="265FAF4C" w14:textId="77777777" w:rsidR="006E211C" w:rsidRDefault="00000000">
            <w:r>
              <w:rPr>
                <w:rFonts w:ascii="Arial Narrow" w:eastAsia="Arial Narrow" w:hAnsi="Arial Narrow" w:cs="Arial Narrow"/>
              </w:rPr>
              <w:t>Nutzer kann eine Abrechnung und alle zugehörigen Daten löschen (DSGVO-Anforderung)</w:t>
            </w:r>
          </w:p>
        </w:tc>
        <w:tc>
          <w:tcPr>
            <w:tcW w:w="1200" w:type="dxa"/>
            <w:shd w:val="clear" w:color="auto" w:fill="F5F5F5"/>
          </w:tcPr>
          <w:p w14:paraId="3FD4CCC7" w14:textId="77777777" w:rsidR="006E211C" w:rsidRDefault="00000000">
            <w:r>
              <w:rPr>
                <w:rFonts w:ascii="Arial Narrow" w:eastAsia="Arial Narrow" w:hAnsi="Arial Narrow" w:cs="Arial Narrow"/>
              </w:rPr>
              <w:t>Muss</w:t>
            </w:r>
          </w:p>
        </w:tc>
        <w:tc>
          <w:tcPr>
            <w:tcW w:w="1000" w:type="dxa"/>
            <w:shd w:val="clear" w:color="auto" w:fill="F5F5F5"/>
          </w:tcPr>
          <w:p w14:paraId="61C0C3C9" w14:textId="77777777" w:rsidR="006E211C" w:rsidRDefault="00000000">
            <w:r>
              <w:rPr>
                <w:rFonts w:ascii="Arial Narrow" w:eastAsia="Arial Narrow" w:hAnsi="Arial Narrow" w:cs="Arial Narrow"/>
              </w:rPr>
              <w:t>Neu</w:t>
            </w:r>
          </w:p>
        </w:tc>
      </w:tr>
    </w:tbl>
    <w:p w14:paraId="695CCBE9" w14:textId="77777777" w:rsidR="006E211C" w:rsidRDefault="006E211C">
      <w:pPr>
        <w:spacing w:after="120"/>
      </w:pPr>
    </w:p>
    <w:p w14:paraId="28078881" w14:textId="77777777" w:rsidR="006E211C" w:rsidRDefault="00000000">
      <w:pPr>
        <w:spacing w:before="280" w:after="100"/>
      </w:pPr>
      <w:r>
        <w:rPr>
          <w:rFonts w:ascii="Arial Narrow" w:eastAsia="Arial Narrow" w:hAnsi="Arial Narrow" w:cs="Arial Narrow"/>
          <w:b/>
          <w:bCs/>
          <w:color w:val="333333"/>
          <w:sz w:val="26"/>
          <w:szCs w:val="26"/>
        </w:rPr>
        <w:t>7.2 Basisfunktionalitäten</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700"/>
        <w:gridCol w:w="1200"/>
        <w:gridCol w:w="1000"/>
      </w:tblGrid>
      <w:tr w:rsidR="006E211C" w14:paraId="3DEB4189" w14:textId="77777777">
        <w:tblPrEx>
          <w:tblCellMar>
            <w:top w:w="0" w:type="dxa"/>
            <w:bottom w:w="0" w:type="dxa"/>
          </w:tblCellMar>
        </w:tblPrEx>
        <w:trPr>
          <w:tblHeader/>
        </w:trPr>
        <w:tc>
          <w:tcPr>
            <w:tcW w:w="900" w:type="dxa"/>
            <w:shd w:val="clear" w:color="auto" w:fill="000000"/>
          </w:tcPr>
          <w:p w14:paraId="440C950E" w14:textId="77777777" w:rsidR="006E211C" w:rsidRDefault="00000000">
            <w:pPr>
              <w:jc w:val="center"/>
            </w:pPr>
            <w:r>
              <w:rPr>
                <w:rFonts w:ascii="Arial Narrow" w:eastAsia="Arial Narrow" w:hAnsi="Arial Narrow" w:cs="Arial Narrow"/>
                <w:b/>
                <w:bCs/>
                <w:color w:val="FFFFFF"/>
              </w:rPr>
              <w:t>ID</w:t>
            </w:r>
          </w:p>
        </w:tc>
        <w:tc>
          <w:tcPr>
            <w:tcW w:w="4700" w:type="dxa"/>
            <w:shd w:val="clear" w:color="auto" w:fill="000000"/>
          </w:tcPr>
          <w:p w14:paraId="31BF0BE9" w14:textId="77777777" w:rsidR="006E211C" w:rsidRDefault="00000000">
            <w:pPr>
              <w:jc w:val="center"/>
            </w:pPr>
            <w:r>
              <w:rPr>
                <w:rFonts w:ascii="Arial Narrow" w:eastAsia="Arial Narrow" w:hAnsi="Arial Narrow" w:cs="Arial Narrow"/>
                <w:b/>
                <w:bCs/>
                <w:color w:val="FFFFFF"/>
              </w:rPr>
              <w:t>Anforderung</w:t>
            </w:r>
          </w:p>
        </w:tc>
        <w:tc>
          <w:tcPr>
            <w:tcW w:w="1200" w:type="dxa"/>
            <w:shd w:val="clear" w:color="auto" w:fill="000000"/>
          </w:tcPr>
          <w:p w14:paraId="0938AA9C" w14:textId="77777777" w:rsidR="006E211C" w:rsidRDefault="00000000">
            <w:pPr>
              <w:jc w:val="center"/>
            </w:pPr>
            <w:r>
              <w:rPr>
                <w:rFonts w:ascii="Arial Narrow" w:eastAsia="Arial Narrow" w:hAnsi="Arial Narrow" w:cs="Arial Narrow"/>
                <w:b/>
                <w:bCs/>
                <w:color w:val="FFFFFF"/>
              </w:rPr>
              <w:t>Priorität</w:t>
            </w:r>
          </w:p>
        </w:tc>
        <w:tc>
          <w:tcPr>
            <w:tcW w:w="1000" w:type="dxa"/>
            <w:shd w:val="clear" w:color="auto" w:fill="000000"/>
          </w:tcPr>
          <w:p w14:paraId="5DF5E8A7" w14:textId="77777777" w:rsidR="006E211C" w:rsidRDefault="00000000">
            <w:pPr>
              <w:jc w:val="center"/>
            </w:pPr>
            <w:r>
              <w:rPr>
                <w:rFonts w:ascii="Arial Narrow" w:eastAsia="Arial Narrow" w:hAnsi="Arial Narrow" w:cs="Arial Narrow"/>
                <w:b/>
                <w:bCs/>
                <w:color w:val="FFFFFF"/>
              </w:rPr>
              <w:t>Status</w:t>
            </w:r>
          </w:p>
        </w:tc>
      </w:tr>
      <w:tr w:rsidR="006E211C" w14:paraId="6197381B" w14:textId="77777777">
        <w:tblPrEx>
          <w:tblCellMar>
            <w:top w:w="0" w:type="dxa"/>
            <w:bottom w:w="0" w:type="dxa"/>
          </w:tblCellMar>
        </w:tblPrEx>
        <w:tc>
          <w:tcPr>
            <w:tcW w:w="900" w:type="dxa"/>
            <w:shd w:val="clear" w:color="auto" w:fill="FFFFFF"/>
          </w:tcPr>
          <w:p w14:paraId="053DE9B5" w14:textId="77777777" w:rsidR="006E211C" w:rsidRDefault="00000000">
            <w:r>
              <w:rPr>
                <w:rFonts w:ascii="Arial Narrow" w:eastAsia="Arial Narrow" w:hAnsi="Arial Narrow" w:cs="Arial Narrow"/>
              </w:rPr>
              <w:t>B-01</w:t>
            </w:r>
          </w:p>
        </w:tc>
        <w:tc>
          <w:tcPr>
            <w:tcW w:w="4700" w:type="dxa"/>
            <w:shd w:val="clear" w:color="auto" w:fill="FFFFFF"/>
          </w:tcPr>
          <w:p w14:paraId="333B7C6D" w14:textId="77777777" w:rsidR="006E211C" w:rsidRDefault="00000000">
            <w:r>
              <w:rPr>
                <w:rFonts w:ascii="Arial Narrow" w:eastAsia="Arial Narrow" w:hAnsi="Arial Narrow" w:cs="Arial Narrow"/>
              </w:rPr>
              <w:t>Rollenbasiertes Rechteprinzip: Admin und Standardnutzer (Mieter) mit jeweils definierten Zugriffsrechten</w:t>
            </w:r>
          </w:p>
        </w:tc>
        <w:tc>
          <w:tcPr>
            <w:tcW w:w="1200" w:type="dxa"/>
            <w:shd w:val="clear" w:color="auto" w:fill="FFFFFF"/>
          </w:tcPr>
          <w:p w14:paraId="0C2139DE" w14:textId="77777777" w:rsidR="006E211C" w:rsidRDefault="00000000">
            <w:r>
              <w:rPr>
                <w:rFonts w:ascii="Arial Narrow" w:eastAsia="Arial Narrow" w:hAnsi="Arial Narrow" w:cs="Arial Narrow"/>
              </w:rPr>
              <w:t>Muss</w:t>
            </w:r>
          </w:p>
        </w:tc>
        <w:tc>
          <w:tcPr>
            <w:tcW w:w="1000" w:type="dxa"/>
            <w:shd w:val="clear" w:color="auto" w:fill="FFFFFF"/>
          </w:tcPr>
          <w:p w14:paraId="71B5AC13" w14:textId="77777777" w:rsidR="006E211C" w:rsidRDefault="00000000">
            <w:r>
              <w:rPr>
                <w:rFonts w:ascii="Arial Narrow" w:eastAsia="Arial Narrow" w:hAnsi="Arial Narrow" w:cs="Arial Narrow"/>
              </w:rPr>
              <w:t>Neu</w:t>
            </w:r>
          </w:p>
        </w:tc>
      </w:tr>
      <w:tr w:rsidR="006E211C" w14:paraId="1B719365" w14:textId="77777777">
        <w:tblPrEx>
          <w:tblCellMar>
            <w:top w:w="0" w:type="dxa"/>
            <w:bottom w:w="0" w:type="dxa"/>
          </w:tblCellMar>
        </w:tblPrEx>
        <w:tc>
          <w:tcPr>
            <w:tcW w:w="900" w:type="dxa"/>
            <w:shd w:val="clear" w:color="auto" w:fill="F5F5F5"/>
          </w:tcPr>
          <w:p w14:paraId="01505089" w14:textId="77777777" w:rsidR="006E211C" w:rsidRDefault="00000000">
            <w:r>
              <w:rPr>
                <w:rFonts w:ascii="Arial Narrow" w:eastAsia="Arial Narrow" w:hAnsi="Arial Narrow" w:cs="Arial Narrow"/>
              </w:rPr>
              <w:t>B-02</w:t>
            </w:r>
          </w:p>
        </w:tc>
        <w:tc>
          <w:tcPr>
            <w:tcW w:w="4700" w:type="dxa"/>
            <w:shd w:val="clear" w:color="auto" w:fill="F5F5F5"/>
          </w:tcPr>
          <w:p w14:paraId="012E3A64" w14:textId="77777777" w:rsidR="006E211C" w:rsidRDefault="00000000">
            <w:r>
              <w:rPr>
                <w:rFonts w:ascii="Arial Narrow" w:eastAsia="Arial Narrow" w:hAnsi="Arial Narrow" w:cs="Arial Narrow"/>
              </w:rPr>
              <w:t>Registrierung per E-Mail mit Bestätigungslink</w:t>
            </w:r>
          </w:p>
        </w:tc>
        <w:tc>
          <w:tcPr>
            <w:tcW w:w="1200" w:type="dxa"/>
            <w:shd w:val="clear" w:color="auto" w:fill="F5F5F5"/>
          </w:tcPr>
          <w:p w14:paraId="6582BEA8" w14:textId="77777777" w:rsidR="006E211C" w:rsidRDefault="00000000">
            <w:r>
              <w:rPr>
                <w:rFonts w:ascii="Arial Narrow" w:eastAsia="Arial Narrow" w:hAnsi="Arial Narrow" w:cs="Arial Narrow"/>
              </w:rPr>
              <w:t>Muss</w:t>
            </w:r>
          </w:p>
        </w:tc>
        <w:tc>
          <w:tcPr>
            <w:tcW w:w="1000" w:type="dxa"/>
            <w:shd w:val="clear" w:color="auto" w:fill="F5F5F5"/>
          </w:tcPr>
          <w:p w14:paraId="63D91E70" w14:textId="77777777" w:rsidR="006E211C" w:rsidRDefault="00000000">
            <w:r>
              <w:rPr>
                <w:rFonts w:ascii="Arial Narrow" w:eastAsia="Arial Narrow" w:hAnsi="Arial Narrow" w:cs="Arial Narrow"/>
              </w:rPr>
              <w:t>Neu</w:t>
            </w:r>
          </w:p>
        </w:tc>
      </w:tr>
      <w:tr w:rsidR="006E211C" w14:paraId="16F53734" w14:textId="77777777">
        <w:tblPrEx>
          <w:tblCellMar>
            <w:top w:w="0" w:type="dxa"/>
            <w:bottom w:w="0" w:type="dxa"/>
          </w:tblCellMar>
        </w:tblPrEx>
        <w:tc>
          <w:tcPr>
            <w:tcW w:w="900" w:type="dxa"/>
            <w:shd w:val="clear" w:color="auto" w:fill="FFFFFF"/>
          </w:tcPr>
          <w:p w14:paraId="6F3041F6" w14:textId="77777777" w:rsidR="006E211C" w:rsidRDefault="00000000">
            <w:r>
              <w:rPr>
                <w:rFonts w:ascii="Arial Narrow" w:eastAsia="Arial Narrow" w:hAnsi="Arial Narrow" w:cs="Arial Narrow"/>
              </w:rPr>
              <w:t>B-03</w:t>
            </w:r>
          </w:p>
        </w:tc>
        <w:tc>
          <w:tcPr>
            <w:tcW w:w="4700" w:type="dxa"/>
            <w:shd w:val="clear" w:color="auto" w:fill="FFFFFF"/>
          </w:tcPr>
          <w:p w14:paraId="295F6405" w14:textId="77777777" w:rsidR="006E211C" w:rsidRDefault="00000000">
            <w:r>
              <w:rPr>
                <w:rFonts w:ascii="Arial Narrow" w:eastAsia="Arial Narrow" w:hAnsi="Arial Narrow" w:cs="Arial Narrow"/>
              </w:rPr>
              <w:t>Anmeldung per E-Mail und Passwort</w:t>
            </w:r>
          </w:p>
        </w:tc>
        <w:tc>
          <w:tcPr>
            <w:tcW w:w="1200" w:type="dxa"/>
            <w:shd w:val="clear" w:color="auto" w:fill="FFFFFF"/>
          </w:tcPr>
          <w:p w14:paraId="4B8CCBCA" w14:textId="77777777" w:rsidR="006E211C" w:rsidRDefault="00000000">
            <w:r>
              <w:rPr>
                <w:rFonts w:ascii="Arial Narrow" w:eastAsia="Arial Narrow" w:hAnsi="Arial Narrow" w:cs="Arial Narrow"/>
              </w:rPr>
              <w:t>Muss</w:t>
            </w:r>
          </w:p>
        </w:tc>
        <w:tc>
          <w:tcPr>
            <w:tcW w:w="1000" w:type="dxa"/>
            <w:shd w:val="clear" w:color="auto" w:fill="FFFFFF"/>
          </w:tcPr>
          <w:p w14:paraId="7372D228" w14:textId="77777777" w:rsidR="006E211C" w:rsidRDefault="00000000">
            <w:r>
              <w:rPr>
                <w:rFonts w:ascii="Arial Narrow" w:eastAsia="Arial Narrow" w:hAnsi="Arial Narrow" w:cs="Arial Narrow"/>
              </w:rPr>
              <w:t>Neu</w:t>
            </w:r>
          </w:p>
        </w:tc>
      </w:tr>
      <w:tr w:rsidR="006E211C" w14:paraId="44CA0A50" w14:textId="77777777">
        <w:tblPrEx>
          <w:tblCellMar>
            <w:top w:w="0" w:type="dxa"/>
            <w:bottom w:w="0" w:type="dxa"/>
          </w:tblCellMar>
        </w:tblPrEx>
        <w:tc>
          <w:tcPr>
            <w:tcW w:w="900" w:type="dxa"/>
            <w:shd w:val="clear" w:color="auto" w:fill="F5F5F5"/>
          </w:tcPr>
          <w:p w14:paraId="5853844E" w14:textId="77777777" w:rsidR="006E211C" w:rsidRDefault="00000000">
            <w:r>
              <w:rPr>
                <w:rFonts w:ascii="Arial Narrow" w:eastAsia="Arial Narrow" w:hAnsi="Arial Narrow" w:cs="Arial Narrow"/>
              </w:rPr>
              <w:t>B-04</w:t>
            </w:r>
          </w:p>
        </w:tc>
        <w:tc>
          <w:tcPr>
            <w:tcW w:w="4700" w:type="dxa"/>
            <w:shd w:val="clear" w:color="auto" w:fill="F5F5F5"/>
          </w:tcPr>
          <w:p w14:paraId="170789F1" w14:textId="77777777" w:rsidR="006E211C" w:rsidRDefault="00000000">
            <w:r>
              <w:rPr>
                <w:rFonts w:ascii="Arial Narrow" w:eastAsia="Arial Narrow" w:hAnsi="Arial Narrow" w:cs="Arial Narrow"/>
              </w:rPr>
              <w:t>Passwort zurücksetzen per E-Mail mit Bestätigungslink</w:t>
            </w:r>
          </w:p>
        </w:tc>
        <w:tc>
          <w:tcPr>
            <w:tcW w:w="1200" w:type="dxa"/>
            <w:shd w:val="clear" w:color="auto" w:fill="F5F5F5"/>
          </w:tcPr>
          <w:p w14:paraId="1743A1B8" w14:textId="77777777" w:rsidR="006E211C" w:rsidRDefault="00000000">
            <w:r>
              <w:rPr>
                <w:rFonts w:ascii="Arial Narrow" w:eastAsia="Arial Narrow" w:hAnsi="Arial Narrow" w:cs="Arial Narrow"/>
              </w:rPr>
              <w:t>Muss</w:t>
            </w:r>
          </w:p>
        </w:tc>
        <w:tc>
          <w:tcPr>
            <w:tcW w:w="1000" w:type="dxa"/>
            <w:shd w:val="clear" w:color="auto" w:fill="F5F5F5"/>
          </w:tcPr>
          <w:p w14:paraId="189FC80B" w14:textId="77777777" w:rsidR="006E211C" w:rsidRDefault="00000000">
            <w:r>
              <w:rPr>
                <w:rFonts w:ascii="Arial Narrow" w:eastAsia="Arial Narrow" w:hAnsi="Arial Narrow" w:cs="Arial Narrow"/>
              </w:rPr>
              <w:t>Neu</w:t>
            </w:r>
          </w:p>
        </w:tc>
      </w:tr>
      <w:tr w:rsidR="006E211C" w14:paraId="7DD504FB" w14:textId="77777777">
        <w:tblPrEx>
          <w:tblCellMar>
            <w:top w:w="0" w:type="dxa"/>
            <w:bottom w:w="0" w:type="dxa"/>
          </w:tblCellMar>
        </w:tblPrEx>
        <w:tc>
          <w:tcPr>
            <w:tcW w:w="900" w:type="dxa"/>
            <w:shd w:val="clear" w:color="auto" w:fill="FFFFFF"/>
          </w:tcPr>
          <w:p w14:paraId="15FA815F" w14:textId="77777777" w:rsidR="006E211C" w:rsidRDefault="00000000">
            <w:r>
              <w:rPr>
                <w:rFonts w:ascii="Arial Narrow" w:eastAsia="Arial Narrow" w:hAnsi="Arial Narrow" w:cs="Arial Narrow"/>
              </w:rPr>
              <w:t>B-05</w:t>
            </w:r>
          </w:p>
        </w:tc>
        <w:tc>
          <w:tcPr>
            <w:tcW w:w="4700" w:type="dxa"/>
            <w:shd w:val="clear" w:color="auto" w:fill="FFFFFF"/>
          </w:tcPr>
          <w:p w14:paraId="4641D8FA" w14:textId="77777777" w:rsidR="006E211C" w:rsidRDefault="00000000">
            <w:r>
              <w:rPr>
                <w:rFonts w:ascii="Arial Narrow" w:eastAsia="Arial Narrow" w:hAnsi="Arial Narrow" w:cs="Arial Narrow"/>
              </w:rPr>
              <w:t>Admin-Bereich: Nutzerverwaltung, Tarif-Verwaltung, Pflege der BetrKV-Kategorienliste und der HKVO-Parameter</w:t>
            </w:r>
          </w:p>
        </w:tc>
        <w:tc>
          <w:tcPr>
            <w:tcW w:w="1200" w:type="dxa"/>
            <w:shd w:val="clear" w:color="auto" w:fill="FFFFFF"/>
          </w:tcPr>
          <w:p w14:paraId="672DC2E3" w14:textId="77777777" w:rsidR="006E211C" w:rsidRDefault="00000000">
            <w:r>
              <w:rPr>
                <w:rFonts w:ascii="Arial Narrow" w:eastAsia="Arial Narrow" w:hAnsi="Arial Narrow" w:cs="Arial Narrow"/>
              </w:rPr>
              <w:t>Muss</w:t>
            </w:r>
          </w:p>
        </w:tc>
        <w:tc>
          <w:tcPr>
            <w:tcW w:w="1000" w:type="dxa"/>
            <w:shd w:val="clear" w:color="auto" w:fill="FFFFFF"/>
          </w:tcPr>
          <w:p w14:paraId="619A7706" w14:textId="77777777" w:rsidR="006E211C" w:rsidRDefault="00000000">
            <w:r>
              <w:rPr>
                <w:rFonts w:ascii="Arial Narrow" w:eastAsia="Arial Narrow" w:hAnsi="Arial Narrow" w:cs="Arial Narrow"/>
              </w:rPr>
              <w:t>Neu</w:t>
            </w:r>
          </w:p>
        </w:tc>
      </w:tr>
      <w:tr w:rsidR="006E211C" w14:paraId="34F98149" w14:textId="77777777">
        <w:tblPrEx>
          <w:tblCellMar>
            <w:top w:w="0" w:type="dxa"/>
            <w:bottom w:w="0" w:type="dxa"/>
          </w:tblCellMar>
        </w:tblPrEx>
        <w:tc>
          <w:tcPr>
            <w:tcW w:w="900" w:type="dxa"/>
            <w:shd w:val="clear" w:color="auto" w:fill="F5F5F5"/>
          </w:tcPr>
          <w:p w14:paraId="702D0F49" w14:textId="77777777" w:rsidR="006E211C" w:rsidRDefault="00000000">
            <w:r>
              <w:rPr>
                <w:rFonts w:ascii="Arial Narrow" w:eastAsia="Arial Narrow" w:hAnsi="Arial Narrow" w:cs="Arial Narrow"/>
              </w:rPr>
              <w:t>B-06</w:t>
            </w:r>
          </w:p>
        </w:tc>
        <w:tc>
          <w:tcPr>
            <w:tcW w:w="4700" w:type="dxa"/>
            <w:shd w:val="clear" w:color="auto" w:fill="F5F5F5"/>
          </w:tcPr>
          <w:p w14:paraId="0BB05856" w14:textId="77777777" w:rsidR="006E211C" w:rsidRDefault="00000000">
            <w:r>
              <w:rPr>
                <w:rFonts w:ascii="Arial Narrow" w:eastAsia="Arial Narrow" w:hAnsi="Arial Narrow" w:cs="Arial Narrow"/>
              </w:rPr>
              <w:t>Profilseite: Name, E-Mail, aktueller Tarif, Kontoeinstellungen</w:t>
            </w:r>
          </w:p>
        </w:tc>
        <w:tc>
          <w:tcPr>
            <w:tcW w:w="1200" w:type="dxa"/>
            <w:shd w:val="clear" w:color="auto" w:fill="F5F5F5"/>
          </w:tcPr>
          <w:p w14:paraId="0739959D" w14:textId="77777777" w:rsidR="006E211C" w:rsidRDefault="00000000">
            <w:r>
              <w:rPr>
                <w:rFonts w:ascii="Arial Narrow" w:eastAsia="Arial Narrow" w:hAnsi="Arial Narrow" w:cs="Arial Narrow"/>
              </w:rPr>
              <w:t>Muss</w:t>
            </w:r>
          </w:p>
        </w:tc>
        <w:tc>
          <w:tcPr>
            <w:tcW w:w="1000" w:type="dxa"/>
            <w:shd w:val="clear" w:color="auto" w:fill="F5F5F5"/>
          </w:tcPr>
          <w:p w14:paraId="472D6E9E" w14:textId="77777777" w:rsidR="006E211C" w:rsidRDefault="00000000">
            <w:r>
              <w:rPr>
                <w:rFonts w:ascii="Arial Narrow" w:eastAsia="Arial Narrow" w:hAnsi="Arial Narrow" w:cs="Arial Narrow"/>
              </w:rPr>
              <w:t>Neu</w:t>
            </w:r>
          </w:p>
        </w:tc>
      </w:tr>
      <w:tr w:rsidR="006E211C" w14:paraId="0255CF6E" w14:textId="77777777">
        <w:tblPrEx>
          <w:tblCellMar>
            <w:top w:w="0" w:type="dxa"/>
            <w:bottom w:w="0" w:type="dxa"/>
          </w:tblCellMar>
        </w:tblPrEx>
        <w:tc>
          <w:tcPr>
            <w:tcW w:w="900" w:type="dxa"/>
            <w:shd w:val="clear" w:color="auto" w:fill="FFFFFF"/>
          </w:tcPr>
          <w:p w14:paraId="62E197D9" w14:textId="77777777" w:rsidR="006E211C" w:rsidRDefault="00000000">
            <w:r>
              <w:rPr>
                <w:rFonts w:ascii="Arial Narrow" w:eastAsia="Arial Narrow" w:hAnsi="Arial Narrow" w:cs="Arial Narrow"/>
              </w:rPr>
              <w:t>B-07</w:t>
            </w:r>
          </w:p>
        </w:tc>
        <w:tc>
          <w:tcPr>
            <w:tcW w:w="4700" w:type="dxa"/>
            <w:shd w:val="clear" w:color="auto" w:fill="FFFFFF"/>
          </w:tcPr>
          <w:p w14:paraId="038B40DE" w14:textId="77777777" w:rsidR="006E211C" w:rsidRDefault="00000000">
            <w:r>
              <w:rPr>
                <w:rFonts w:ascii="Arial Narrow" w:eastAsia="Arial Narrow" w:hAnsi="Arial Narrow" w:cs="Arial Narrow"/>
                <w:sz w:val="22"/>
                <w:szCs w:val="22"/>
              </w:rPr>
              <w:t>Dashboard</w:t>
            </w:r>
            <w:r>
              <w:rPr>
                <w:rFonts w:ascii="Arial Narrow" w:eastAsia="Arial Narrow" w:hAnsi="Arial Narrow" w:cs="Arial Narrow"/>
              </w:rPr>
              <w:t>[</w:t>
            </w:r>
            <w:proofErr w:type="spellStart"/>
            <w:r>
              <w:rPr>
                <w:rFonts w:ascii="Arial Narrow" w:eastAsia="Arial Narrow" w:hAnsi="Arial Narrow" w:cs="Arial Narrow"/>
              </w:rPr>
              <w:t>object</w:t>
            </w:r>
            <w:proofErr w:type="spellEnd"/>
            <w:r>
              <w:rPr>
                <w:rFonts w:ascii="Arial Narrow" w:eastAsia="Arial Narrow" w:hAnsi="Arial Narrow" w:cs="Arial Narrow"/>
              </w:rPr>
              <w:t xml:space="preserve"> </w:t>
            </w:r>
            <w:proofErr w:type="spellStart"/>
            <w:r>
              <w:rPr>
                <w:rFonts w:ascii="Arial Narrow" w:eastAsia="Arial Narrow" w:hAnsi="Arial Narrow" w:cs="Arial Narrow"/>
              </w:rPr>
              <w:t>Object</w:t>
            </w:r>
            <w:proofErr w:type="spellEnd"/>
            <w:r>
              <w:rPr>
                <w:rFonts w:ascii="Arial Narrow" w:eastAsia="Arial Narrow" w:hAnsi="Arial Narrow" w:cs="Arial Narrow"/>
              </w:rPr>
              <w:t>]</w:t>
            </w:r>
            <w:r>
              <w:rPr>
                <w:rFonts w:ascii="Arial Narrow" w:eastAsia="Arial Narrow" w:hAnsi="Arial Narrow" w:cs="Arial Narrow"/>
                <w:sz w:val="22"/>
                <w:szCs w:val="22"/>
              </w:rPr>
              <w:t xml:space="preserve"> als Startseite: Übersicht aller Abrechnungen mit Status und offenen Fristen</w:t>
            </w:r>
          </w:p>
        </w:tc>
        <w:tc>
          <w:tcPr>
            <w:tcW w:w="1200" w:type="dxa"/>
            <w:shd w:val="clear" w:color="auto" w:fill="FFFFFF"/>
          </w:tcPr>
          <w:p w14:paraId="104440BF" w14:textId="77777777" w:rsidR="006E211C" w:rsidRDefault="00000000">
            <w:r>
              <w:rPr>
                <w:rFonts w:ascii="Arial Narrow" w:eastAsia="Arial Narrow" w:hAnsi="Arial Narrow" w:cs="Arial Narrow"/>
              </w:rPr>
              <w:t>Muss</w:t>
            </w:r>
          </w:p>
        </w:tc>
        <w:tc>
          <w:tcPr>
            <w:tcW w:w="1000" w:type="dxa"/>
            <w:shd w:val="clear" w:color="auto" w:fill="FFFFFF"/>
          </w:tcPr>
          <w:p w14:paraId="2574866D" w14:textId="77777777" w:rsidR="006E211C" w:rsidRDefault="00000000">
            <w:r>
              <w:rPr>
                <w:rFonts w:ascii="Arial Narrow" w:eastAsia="Arial Narrow" w:hAnsi="Arial Narrow" w:cs="Arial Narrow"/>
              </w:rPr>
              <w:t>Neu</w:t>
            </w:r>
          </w:p>
        </w:tc>
      </w:tr>
      <w:tr w:rsidR="006E211C" w14:paraId="6356529F" w14:textId="77777777">
        <w:tblPrEx>
          <w:tblCellMar>
            <w:top w:w="0" w:type="dxa"/>
            <w:bottom w:w="0" w:type="dxa"/>
          </w:tblCellMar>
        </w:tblPrEx>
        <w:tc>
          <w:tcPr>
            <w:tcW w:w="900" w:type="dxa"/>
            <w:shd w:val="clear" w:color="auto" w:fill="F5F5F5"/>
          </w:tcPr>
          <w:p w14:paraId="31035B8B" w14:textId="77777777" w:rsidR="006E211C" w:rsidRDefault="00000000">
            <w:r>
              <w:rPr>
                <w:rFonts w:ascii="Arial Narrow" w:eastAsia="Arial Narrow" w:hAnsi="Arial Narrow" w:cs="Arial Narrow"/>
              </w:rPr>
              <w:t>B-08</w:t>
            </w:r>
          </w:p>
        </w:tc>
        <w:tc>
          <w:tcPr>
            <w:tcW w:w="4700" w:type="dxa"/>
            <w:shd w:val="clear" w:color="auto" w:fill="F5F5F5"/>
          </w:tcPr>
          <w:p w14:paraId="68DBC042" w14:textId="77777777" w:rsidR="006E211C" w:rsidRDefault="00000000">
            <w:r>
              <w:rPr>
                <w:rFonts w:ascii="Arial Narrow" w:eastAsia="Arial Narrow" w:hAnsi="Arial Narrow" w:cs="Arial Narrow"/>
              </w:rPr>
              <w:t xml:space="preserve">Navigation mit </w:t>
            </w:r>
            <w:proofErr w:type="spellStart"/>
            <w:r>
              <w:rPr>
                <w:rFonts w:ascii="Arial Narrow" w:eastAsia="Arial Narrow" w:hAnsi="Arial Narrow" w:cs="Arial Narrow"/>
              </w:rPr>
              <w:t>Breadcrumbs</w:t>
            </w:r>
            <w:proofErr w:type="spellEnd"/>
            <w:r>
              <w:rPr>
                <w:rFonts w:ascii="Arial Narrow" w:eastAsia="Arial Narrow" w:hAnsi="Arial Narrow" w:cs="Arial Narrow"/>
              </w:rPr>
              <w:t xml:space="preserve"> auf allen Unterseiten</w:t>
            </w:r>
          </w:p>
        </w:tc>
        <w:tc>
          <w:tcPr>
            <w:tcW w:w="1200" w:type="dxa"/>
            <w:shd w:val="clear" w:color="auto" w:fill="F5F5F5"/>
          </w:tcPr>
          <w:p w14:paraId="516B8FDF" w14:textId="77777777" w:rsidR="006E211C" w:rsidRDefault="00000000">
            <w:r>
              <w:rPr>
                <w:rFonts w:ascii="Arial Narrow" w:eastAsia="Arial Narrow" w:hAnsi="Arial Narrow" w:cs="Arial Narrow"/>
              </w:rPr>
              <w:t>Muss</w:t>
            </w:r>
          </w:p>
        </w:tc>
        <w:tc>
          <w:tcPr>
            <w:tcW w:w="1000" w:type="dxa"/>
            <w:shd w:val="clear" w:color="auto" w:fill="F5F5F5"/>
          </w:tcPr>
          <w:p w14:paraId="267B4D6F" w14:textId="77777777" w:rsidR="006E211C" w:rsidRDefault="00000000">
            <w:r>
              <w:rPr>
                <w:rFonts w:ascii="Arial Narrow" w:eastAsia="Arial Narrow" w:hAnsi="Arial Narrow" w:cs="Arial Narrow"/>
              </w:rPr>
              <w:t>Neu</w:t>
            </w:r>
          </w:p>
        </w:tc>
      </w:tr>
      <w:tr w:rsidR="006E211C" w14:paraId="42494164" w14:textId="77777777">
        <w:tblPrEx>
          <w:tblCellMar>
            <w:top w:w="0" w:type="dxa"/>
            <w:bottom w:w="0" w:type="dxa"/>
          </w:tblCellMar>
        </w:tblPrEx>
        <w:tc>
          <w:tcPr>
            <w:tcW w:w="900" w:type="dxa"/>
            <w:shd w:val="clear" w:color="auto" w:fill="FFFFFF"/>
          </w:tcPr>
          <w:p w14:paraId="01AC798E" w14:textId="77777777" w:rsidR="006E211C" w:rsidRDefault="00000000">
            <w:r>
              <w:rPr>
                <w:rFonts w:ascii="Arial Narrow" w:eastAsia="Arial Narrow" w:hAnsi="Arial Narrow" w:cs="Arial Narrow"/>
              </w:rPr>
              <w:t>B-09</w:t>
            </w:r>
          </w:p>
        </w:tc>
        <w:tc>
          <w:tcPr>
            <w:tcW w:w="4700" w:type="dxa"/>
            <w:shd w:val="clear" w:color="auto" w:fill="FFFFFF"/>
          </w:tcPr>
          <w:p w14:paraId="50BFDD41" w14:textId="77777777" w:rsidR="006E211C" w:rsidRDefault="00000000">
            <w:r>
              <w:rPr>
                <w:rFonts w:ascii="Arial Narrow" w:eastAsia="Arial Narrow" w:hAnsi="Arial Narrow" w:cs="Arial Narrow"/>
              </w:rPr>
              <w:t xml:space="preserve">In-App-Benachrichtigungen: Toast-Meldungen und persistente </w:t>
            </w:r>
            <w:proofErr w:type="spellStart"/>
            <w:r>
              <w:rPr>
                <w:rFonts w:ascii="Arial Narrow" w:eastAsia="Arial Narrow" w:hAnsi="Arial Narrow" w:cs="Arial Narrow"/>
              </w:rPr>
              <w:t>Notification</w:t>
            </w:r>
            <w:proofErr w:type="spellEnd"/>
            <w:r>
              <w:rPr>
                <w:rFonts w:ascii="Arial Narrow" w:eastAsia="Arial Narrow" w:hAnsi="Arial Narrow" w:cs="Arial Narrow"/>
              </w:rPr>
              <w:t>-Liste</w:t>
            </w:r>
          </w:p>
        </w:tc>
        <w:tc>
          <w:tcPr>
            <w:tcW w:w="1200" w:type="dxa"/>
            <w:shd w:val="clear" w:color="auto" w:fill="FFFFFF"/>
          </w:tcPr>
          <w:p w14:paraId="6B97E7F2" w14:textId="77777777" w:rsidR="006E211C" w:rsidRDefault="00000000">
            <w:r>
              <w:rPr>
                <w:rFonts w:ascii="Arial Narrow" w:eastAsia="Arial Narrow" w:hAnsi="Arial Narrow" w:cs="Arial Narrow"/>
              </w:rPr>
              <w:t>Muss</w:t>
            </w:r>
          </w:p>
        </w:tc>
        <w:tc>
          <w:tcPr>
            <w:tcW w:w="1000" w:type="dxa"/>
            <w:shd w:val="clear" w:color="auto" w:fill="FFFFFF"/>
          </w:tcPr>
          <w:p w14:paraId="3DAA1DE2" w14:textId="77777777" w:rsidR="006E211C" w:rsidRDefault="00000000">
            <w:r>
              <w:rPr>
                <w:rFonts w:ascii="Arial Narrow" w:eastAsia="Arial Narrow" w:hAnsi="Arial Narrow" w:cs="Arial Narrow"/>
              </w:rPr>
              <w:t>Neu</w:t>
            </w:r>
          </w:p>
        </w:tc>
      </w:tr>
      <w:tr w:rsidR="006E211C" w14:paraId="0E11A18F" w14:textId="77777777">
        <w:tblPrEx>
          <w:tblCellMar>
            <w:top w:w="0" w:type="dxa"/>
            <w:bottom w:w="0" w:type="dxa"/>
          </w:tblCellMar>
        </w:tblPrEx>
        <w:tc>
          <w:tcPr>
            <w:tcW w:w="900" w:type="dxa"/>
            <w:shd w:val="clear" w:color="auto" w:fill="F5F5F5"/>
          </w:tcPr>
          <w:p w14:paraId="0F5E6E73" w14:textId="77777777" w:rsidR="006E211C" w:rsidRDefault="00000000">
            <w:r>
              <w:rPr>
                <w:rFonts w:ascii="Arial Narrow" w:eastAsia="Arial Narrow" w:hAnsi="Arial Narrow" w:cs="Arial Narrow"/>
              </w:rPr>
              <w:t>B-10</w:t>
            </w:r>
          </w:p>
        </w:tc>
        <w:tc>
          <w:tcPr>
            <w:tcW w:w="4700" w:type="dxa"/>
            <w:shd w:val="clear" w:color="auto" w:fill="F5F5F5"/>
          </w:tcPr>
          <w:p w14:paraId="34BFF271" w14:textId="77777777" w:rsidR="006E211C" w:rsidRDefault="00000000">
            <w:r>
              <w:rPr>
                <w:rFonts w:ascii="Arial Narrow" w:eastAsia="Arial Narrow" w:hAnsi="Arial Narrow" w:cs="Arial Narrow"/>
              </w:rPr>
              <w:t>E-Mail-Benachrichtigungen bei wichtigen Ereignissen (Fristablauf-Erinnerungen), pro Nutzer konfigurierbar</w:t>
            </w:r>
          </w:p>
        </w:tc>
        <w:tc>
          <w:tcPr>
            <w:tcW w:w="1200" w:type="dxa"/>
            <w:shd w:val="clear" w:color="auto" w:fill="F5F5F5"/>
          </w:tcPr>
          <w:p w14:paraId="42C4A986" w14:textId="77777777" w:rsidR="006E211C" w:rsidRDefault="00000000">
            <w:r>
              <w:rPr>
                <w:rFonts w:ascii="Arial Narrow" w:eastAsia="Arial Narrow" w:hAnsi="Arial Narrow" w:cs="Arial Narrow"/>
              </w:rPr>
              <w:t>Muss</w:t>
            </w:r>
          </w:p>
        </w:tc>
        <w:tc>
          <w:tcPr>
            <w:tcW w:w="1000" w:type="dxa"/>
            <w:shd w:val="clear" w:color="auto" w:fill="F5F5F5"/>
          </w:tcPr>
          <w:p w14:paraId="0DA856AB" w14:textId="77777777" w:rsidR="006E211C" w:rsidRDefault="00000000">
            <w:r>
              <w:rPr>
                <w:rFonts w:ascii="Arial Narrow" w:eastAsia="Arial Narrow" w:hAnsi="Arial Narrow" w:cs="Arial Narrow"/>
              </w:rPr>
              <w:t>Neu</w:t>
            </w:r>
          </w:p>
        </w:tc>
      </w:tr>
      <w:tr w:rsidR="006E211C" w14:paraId="569FC6B8" w14:textId="77777777">
        <w:tblPrEx>
          <w:tblCellMar>
            <w:top w:w="0" w:type="dxa"/>
            <w:bottom w:w="0" w:type="dxa"/>
          </w:tblCellMar>
        </w:tblPrEx>
        <w:tc>
          <w:tcPr>
            <w:tcW w:w="900" w:type="dxa"/>
            <w:shd w:val="clear" w:color="auto" w:fill="FFFFFF"/>
          </w:tcPr>
          <w:p w14:paraId="556FB0B5" w14:textId="77777777" w:rsidR="006E211C" w:rsidRDefault="00000000">
            <w:r>
              <w:rPr>
                <w:rFonts w:ascii="Arial Narrow" w:eastAsia="Arial Narrow" w:hAnsi="Arial Narrow" w:cs="Arial Narrow"/>
              </w:rPr>
              <w:t>B-11</w:t>
            </w:r>
          </w:p>
        </w:tc>
        <w:tc>
          <w:tcPr>
            <w:tcW w:w="4700" w:type="dxa"/>
            <w:shd w:val="clear" w:color="auto" w:fill="FFFFFF"/>
          </w:tcPr>
          <w:p w14:paraId="38DAEDB7" w14:textId="77777777" w:rsidR="006E211C" w:rsidRDefault="00000000">
            <w:r>
              <w:rPr>
                <w:rFonts w:ascii="Arial Narrow" w:eastAsia="Arial Narrow" w:hAnsi="Arial Narrow" w:cs="Arial Narrow"/>
              </w:rPr>
              <w:t xml:space="preserve">Spracheinstellungen: Deutsch und Englisch, in der App umschaltbar ohne </w:t>
            </w:r>
            <w:proofErr w:type="spellStart"/>
            <w:r>
              <w:rPr>
                <w:rFonts w:ascii="Arial Narrow" w:eastAsia="Arial Narrow" w:hAnsi="Arial Narrow" w:cs="Arial Narrow"/>
              </w:rPr>
              <w:t>Neuladen</w:t>
            </w:r>
            <w:proofErr w:type="spellEnd"/>
          </w:p>
        </w:tc>
        <w:tc>
          <w:tcPr>
            <w:tcW w:w="1200" w:type="dxa"/>
            <w:shd w:val="clear" w:color="auto" w:fill="FFFFFF"/>
          </w:tcPr>
          <w:p w14:paraId="41DE56C7" w14:textId="77777777" w:rsidR="006E211C" w:rsidRDefault="00000000">
            <w:r>
              <w:rPr>
                <w:rFonts w:ascii="Arial Narrow" w:eastAsia="Arial Narrow" w:hAnsi="Arial Narrow" w:cs="Arial Narrow"/>
              </w:rPr>
              <w:t>Muss</w:t>
            </w:r>
          </w:p>
        </w:tc>
        <w:tc>
          <w:tcPr>
            <w:tcW w:w="1000" w:type="dxa"/>
            <w:shd w:val="clear" w:color="auto" w:fill="FFFFFF"/>
          </w:tcPr>
          <w:p w14:paraId="09B3ED35" w14:textId="77777777" w:rsidR="006E211C" w:rsidRDefault="00000000">
            <w:r>
              <w:rPr>
                <w:rFonts w:ascii="Arial Narrow" w:eastAsia="Arial Narrow" w:hAnsi="Arial Narrow" w:cs="Arial Narrow"/>
              </w:rPr>
              <w:t>Neu</w:t>
            </w:r>
          </w:p>
        </w:tc>
      </w:tr>
      <w:tr w:rsidR="006E211C" w14:paraId="3E9D4BE6" w14:textId="77777777">
        <w:tblPrEx>
          <w:tblCellMar>
            <w:top w:w="0" w:type="dxa"/>
            <w:bottom w:w="0" w:type="dxa"/>
          </w:tblCellMar>
        </w:tblPrEx>
        <w:tc>
          <w:tcPr>
            <w:tcW w:w="900" w:type="dxa"/>
            <w:shd w:val="clear" w:color="auto" w:fill="F5F5F5"/>
          </w:tcPr>
          <w:p w14:paraId="4A977116" w14:textId="77777777" w:rsidR="006E211C" w:rsidRDefault="00000000">
            <w:r>
              <w:rPr>
                <w:rFonts w:ascii="Arial Narrow" w:eastAsia="Arial Narrow" w:hAnsi="Arial Narrow" w:cs="Arial Narrow"/>
              </w:rPr>
              <w:t>B-12</w:t>
            </w:r>
          </w:p>
        </w:tc>
        <w:tc>
          <w:tcPr>
            <w:tcW w:w="4700" w:type="dxa"/>
            <w:shd w:val="clear" w:color="auto" w:fill="F5F5F5"/>
          </w:tcPr>
          <w:p w14:paraId="2EDA3694" w14:textId="77777777" w:rsidR="006E211C" w:rsidRDefault="00000000">
            <w:r>
              <w:rPr>
                <w:rFonts w:ascii="Arial Narrow" w:eastAsia="Arial Narrow" w:hAnsi="Arial Narrow" w:cs="Arial Narrow"/>
              </w:rPr>
              <w:t>Dunkel-Modus und Hell-Modus umschaltbar in den Einstellungen</w:t>
            </w:r>
          </w:p>
        </w:tc>
        <w:tc>
          <w:tcPr>
            <w:tcW w:w="1200" w:type="dxa"/>
            <w:shd w:val="clear" w:color="auto" w:fill="F5F5F5"/>
          </w:tcPr>
          <w:p w14:paraId="046CA097" w14:textId="77777777" w:rsidR="006E211C" w:rsidRDefault="00000000">
            <w:r>
              <w:rPr>
                <w:rFonts w:ascii="Arial Narrow" w:eastAsia="Arial Narrow" w:hAnsi="Arial Narrow" w:cs="Arial Narrow"/>
              </w:rPr>
              <w:t>Muss</w:t>
            </w:r>
          </w:p>
        </w:tc>
        <w:tc>
          <w:tcPr>
            <w:tcW w:w="1000" w:type="dxa"/>
            <w:shd w:val="clear" w:color="auto" w:fill="F5F5F5"/>
          </w:tcPr>
          <w:p w14:paraId="565965A5" w14:textId="77777777" w:rsidR="006E211C" w:rsidRDefault="00000000">
            <w:r>
              <w:rPr>
                <w:rFonts w:ascii="Arial Narrow" w:eastAsia="Arial Narrow" w:hAnsi="Arial Narrow" w:cs="Arial Narrow"/>
              </w:rPr>
              <w:t>Neu</w:t>
            </w:r>
          </w:p>
        </w:tc>
      </w:tr>
      <w:tr w:rsidR="006E211C" w14:paraId="395A5646" w14:textId="77777777">
        <w:tblPrEx>
          <w:tblCellMar>
            <w:top w:w="0" w:type="dxa"/>
            <w:bottom w:w="0" w:type="dxa"/>
          </w:tblCellMar>
        </w:tblPrEx>
        <w:tc>
          <w:tcPr>
            <w:tcW w:w="900" w:type="dxa"/>
            <w:shd w:val="clear" w:color="auto" w:fill="FFFFFF"/>
          </w:tcPr>
          <w:p w14:paraId="3375920B" w14:textId="77777777" w:rsidR="006E211C" w:rsidRDefault="00000000">
            <w:r>
              <w:rPr>
                <w:rFonts w:ascii="Arial Narrow" w:eastAsia="Arial Narrow" w:hAnsi="Arial Narrow" w:cs="Arial Narrow"/>
              </w:rPr>
              <w:t>B-13</w:t>
            </w:r>
          </w:p>
        </w:tc>
        <w:tc>
          <w:tcPr>
            <w:tcW w:w="4700" w:type="dxa"/>
            <w:shd w:val="clear" w:color="auto" w:fill="FFFFFF"/>
          </w:tcPr>
          <w:p w14:paraId="40708185" w14:textId="77777777" w:rsidR="006E211C" w:rsidRDefault="00000000">
            <w:r>
              <w:rPr>
                <w:rFonts w:ascii="Arial Narrow" w:eastAsia="Arial Narrow" w:hAnsi="Arial Narrow" w:cs="Arial Narrow"/>
                <w:sz w:val="22"/>
                <w:szCs w:val="22"/>
              </w:rPr>
              <w:t>FAQ</w:t>
            </w:r>
            <w:r>
              <w:rPr>
                <w:rFonts w:ascii="Arial Narrow" w:eastAsia="Arial Narrow" w:hAnsi="Arial Narrow" w:cs="Arial Narrow"/>
              </w:rPr>
              <w:t>[</w:t>
            </w:r>
            <w:proofErr w:type="spellStart"/>
            <w:r>
              <w:rPr>
                <w:rFonts w:ascii="Arial Narrow" w:eastAsia="Arial Narrow" w:hAnsi="Arial Narrow" w:cs="Arial Narrow"/>
              </w:rPr>
              <w:t>object</w:t>
            </w:r>
            <w:proofErr w:type="spellEnd"/>
            <w:r>
              <w:rPr>
                <w:rFonts w:ascii="Arial Narrow" w:eastAsia="Arial Narrow" w:hAnsi="Arial Narrow" w:cs="Arial Narrow"/>
              </w:rPr>
              <w:t xml:space="preserve"> </w:t>
            </w:r>
            <w:proofErr w:type="spellStart"/>
            <w:r>
              <w:rPr>
                <w:rFonts w:ascii="Arial Narrow" w:eastAsia="Arial Narrow" w:hAnsi="Arial Narrow" w:cs="Arial Narrow"/>
              </w:rPr>
              <w:t>Object</w:t>
            </w:r>
            <w:proofErr w:type="spellEnd"/>
            <w:r>
              <w:rPr>
                <w:rFonts w:ascii="Arial Narrow" w:eastAsia="Arial Narrow" w:hAnsi="Arial Narrow" w:cs="Arial Narrow"/>
              </w:rPr>
              <w:t>]</w:t>
            </w:r>
            <w:r>
              <w:rPr>
                <w:rFonts w:ascii="Arial Narrow" w:eastAsia="Arial Narrow" w:hAnsi="Arial Narrow" w:cs="Arial Narrow"/>
                <w:sz w:val="22"/>
                <w:szCs w:val="22"/>
              </w:rPr>
              <w:t xml:space="preserve"> und Hilfebereich mit häufigen Fragen zur Bedienung und zu den geprüften Gesetzen (Was ist die BetrKV? Was bedeutet HKVO? Was ist die Einwendungsfrist?)</w:t>
            </w:r>
          </w:p>
        </w:tc>
        <w:tc>
          <w:tcPr>
            <w:tcW w:w="1200" w:type="dxa"/>
            <w:shd w:val="clear" w:color="auto" w:fill="FFFFFF"/>
          </w:tcPr>
          <w:p w14:paraId="372596C5" w14:textId="77777777" w:rsidR="006E211C" w:rsidRDefault="00000000">
            <w:r>
              <w:rPr>
                <w:rFonts w:ascii="Arial Narrow" w:eastAsia="Arial Narrow" w:hAnsi="Arial Narrow" w:cs="Arial Narrow"/>
              </w:rPr>
              <w:t>Muss</w:t>
            </w:r>
          </w:p>
        </w:tc>
        <w:tc>
          <w:tcPr>
            <w:tcW w:w="1000" w:type="dxa"/>
            <w:shd w:val="clear" w:color="auto" w:fill="FFFFFF"/>
          </w:tcPr>
          <w:p w14:paraId="3815DA09" w14:textId="77777777" w:rsidR="006E211C" w:rsidRDefault="00000000">
            <w:r>
              <w:rPr>
                <w:rFonts w:ascii="Arial Narrow" w:eastAsia="Arial Narrow" w:hAnsi="Arial Narrow" w:cs="Arial Narrow"/>
              </w:rPr>
              <w:t>Neu</w:t>
            </w:r>
          </w:p>
        </w:tc>
      </w:tr>
      <w:tr w:rsidR="006E211C" w14:paraId="2E3C6074" w14:textId="77777777">
        <w:tblPrEx>
          <w:tblCellMar>
            <w:top w:w="0" w:type="dxa"/>
            <w:bottom w:w="0" w:type="dxa"/>
          </w:tblCellMar>
        </w:tblPrEx>
        <w:tc>
          <w:tcPr>
            <w:tcW w:w="900" w:type="dxa"/>
            <w:shd w:val="clear" w:color="auto" w:fill="F5F5F5"/>
          </w:tcPr>
          <w:p w14:paraId="59AC8E73" w14:textId="77777777" w:rsidR="006E211C" w:rsidRDefault="00000000">
            <w:r>
              <w:rPr>
                <w:rFonts w:ascii="Arial Narrow" w:eastAsia="Arial Narrow" w:hAnsi="Arial Narrow" w:cs="Arial Narrow"/>
              </w:rPr>
              <w:t>B-14</w:t>
            </w:r>
          </w:p>
        </w:tc>
        <w:tc>
          <w:tcPr>
            <w:tcW w:w="4700" w:type="dxa"/>
            <w:shd w:val="clear" w:color="auto" w:fill="F5F5F5"/>
          </w:tcPr>
          <w:p w14:paraId="4BE1B582" w14:textId="77777777" w:rsidR="006E211C" w:rsidRDefault="00000000">
            <w:r>
              <w:rPr>
                <w:rFonts w:ascii="Arial Narrow" w:eastAsia="Arial Narrow" w:hAnsi="Arial Narrow" w:cs="Arial Narrow"/>
              </w:rPr>
              <w:t>AGB, Impressum und Datenschutzerklärung als eigene Seiten</w:t>
            </w:r>
          </w:p>
        </w:tc>
        <w:tc>
          <w:tcPr>
            <w:tcW w:w="1200" w:type="dxa"/>
            <w:shd w:val="clear" w:color="auto" w:fill="F5F5F5"/>
          </w:tcPr>
          <w:p w14:paraId="2CFD0D00" w14:textId="77777777" w:rsidR="006E211C" w:rsidRDefault="00000000">
            <w:r>
              <w:rPr>
                <w:rFonts w:ascii="Arial Narrow" w:eastAsia="Arial Narrow" w:hAnsi="Arial Narrow" w:cs="Arial Narrow"/>
              </w:rPr>
              <w:t>Muss</w:t>
            </w:r>
          </w:p>
        </w:tc>
        <w:tc>
          <w:tcPr>
            <w:tcW w:w="1000" w:type="dxa"/>
            <w:shd w:val="clear" w:color="auto" w:fill="F5F5F5"/>
          </w:tcPr>
          <w:p w14:paraId="02E88B80" w14:textId="77777777" w:rsidR="006E211C" w:rsidRDefault="00000000">
            <w:r>
              <w:rPr>
                <w:rFonts w:ascii="Arial Narrow" w:eastAsia="Arial Narrow" w:hAnsi="Arial Narrow" w:cs="Arial Narrow"/>
              </w:rPr>
              <w:t>Neu</w:t>
            </w:r>
          </w:p>
        </w:tc>
      </w:tr>
      <w:tr w:rsidR="006E211C" w14:paraId="601DAE6D" w14:textId="77777777">
        <w:tblPrEx>
          <w:tblCellMar>
            <w:top w:w="0" w:type="dxa"/>
            <w:bottom w:w="0" w:type="dxa"/>
          </w:tblCellMar>
        </w:tblPrEx>
        <w:tc>
          <w:tcPr>
            <w:tcW w:w="900" w:type="dxa"/>
            <w:shd w:val="clear" w:color="auto" w:fill="FFFFFF"/>
          </w:tcPr>
          <w:p w14:paraId="5D4D0966" w14:textId="77777777" w:rsidR="006E211C" w:rsidRDefault="00000000">
            <w:r>
              <w:rPr>
                <w:rFonts w:ascii="Arial Narrow" w:eastAsia="Arial Narrow" w:hAnsi="Arial Narrow" w:cs="Arial Narrow"/>
              </w:rPr>
              <w:t>B-15</w:t>
            </w:r>
          </w:p>
        </w:tc>
        <w:tc>
          <w:tcPr>
            <w:tcW w:w="4700" w:type="dxa"/>
            <w:shd w:val="clear" w:color="auto" w:fill="FFFFFF"/>
          </w:tcPr>
          <w:p w14:paraId="6F6E74EE" w14:textId="77777777" w:rsidR="006E211C" w:rsidRDefault="00000000">
            <w:r>
              <w:rPr>
                <w:rFonts w:ascii="Arial Narrow" w:eastAsia="Arial Narrow" w:hAnsi="Arial Narrow" w:cs="Arial Narrow"/>
                <w:sz w:val="22"/>
                <w:szCs w:val="22"/>
              </w:rPr>
              <w:t>Cookie-Banner</w:t>
            </w:r>
            <w:r>
              <w:rPr>
                <w:rFonts w:ascii="Arial Narrow" w:eastAsia="Arial Narrow" w:hAnsi="Arial Narrow" w:cs="Arial Narrow"/>
              </w:rPr>
              <w:t>[</w:t>
            </w:r>
            <w:proofErr w:type="spellStart"/>
            <w:r>
              <w:rPr>
                <w:rFonts w:ascii="Arial Narrow" w:eastAsia="Arial Narrow" w:hAnsi="Arial Narrow" w:cs="Arial Narrow"/>
              </w:rPr>
              <w:t>object</w:t>
            </w:r>
            <w:proofErr w:type="spellEnd"/>
            <w:r>
              <w:rPr>
                <w:rFonts w:ascii="Arial Narrow" w:eastAsia="Arial Narrow" w:hAnsi="Arial Narrow" w:cs="Arial Narrow"/>
              </w:rPr>
              <w:t xml:space="preserve"> </w:t>
            </w:r>
            <w:proofErr w:type="spellStart"/>
            <w:r>
              <w:rPr>
                <w:rFonts w:ascii="Arial Narrow" w:eastAsia="Arial Narrow" w:hAnsi="Arial Narrow" w:cs="Arial Narrow"/>
              </w:rPr>
              <w:t>Object</w:t>
            </w:r>
            <w:proofErr w:type="spellEnd"/>
            <w:r>
              <w:rPr>
                <w:rFonts w:ascii="Arial Narrow" w:eastAsia="Arial Narrow" w:hAnsi="Arial Narrow" w:cs="Arial Narrow"/>
              </w:rPr>
              <w:t>]</w:t>
            </w:r>
            <w:r>
              <w:rPr>
                <w:rFonts w:ascii="Arial Narrow" w:eastAsia="Arial Narrow" w:hAnsi="Arial Narrow" w:cs="Arial Narrow"/>
                <w:sz w:val="22"/>
                <w:szCs w:val="22"/>
              </w:rPr>
              <w:t xml:space="preserve"> bei erstem Aufruf, DSGVO-konform</w:t>
            </w:r>
          </w:p>
        </w:tc>
        <w:tc>
          <w:tcPr>
            <w:tcW w:w="1200" w:type="dxa"/>
            <w:shd w:val="clear" w:color="auto" w:fill="FFFFFF"/>
          </w:tcPr>
          <w:p w14:paraId="7B88B75B" w14:textId="77777777" w:rsidR="006E211C" w:rsidRDefault="00000000">
            <w:r>
              <w:rPr>
                <w:rFonts w:ascii="Arial Narrow" w:eastAsia="Arial Narrow" w:hAnsi="Arial Narrow" w:cs="Arial Narrow"/>
              </w:rPr>
              <w:t>Muss</w:t>
            </w:r>
          </w:p>
        </w:tc>
        <w:tc>
          <w:tcPr>
            <w:tcW w:w="1000" w:type="dxa"/>
            <w:shd w:val="clear" w:color="auto" w:fill="FFFFFF"/>
          </w:tcPr>
          <w:p w14:paraId="46EF29A6" w14:textId="77777777" w:rsidR="006E211C" w:rsidRDefault="00000000">
            <w:r>
              <w:rPr>
                <w:rFonts w:ascii="Arial Narrow" w:eastAsia="Arial Narrow" w:hAnsi="Arial Narrow" w:cs="Arial Narrow"/>
              </w:rPr>
              <w:t>Neu</w:t>
            </w:r>
          </w:p>
        </w:tc>
      </w:tr>
      <w:tr w:rsidR="006E211C" w14:paraId="49913C87" w14:textId="77777777">
        <w:tblPrEx>
          <w:tblCellMar>
            <w:top w:w="0" w:type="dxa"/>
            <w:bottom w:w="0" w:type="dxa"/>
          </w:tblCellMar>
        </w:tblPrEx>
        <w:tc>
          <w:tcPr>
            <w:tcW w:w="900" w:type="dxa"/>
            <w:shd w:val="clear" w:color="auto" w:fill="F5F5F5"/>
          </w:tcPr>
          <w:p w14:paraId="6DB985BA" w14:textId="77777777" w:rsidR="006E211C" w:rsidRDefault="00000000">
            <w:r>
              <w:rPr>
                <w:rFonts w:ascii="Arial Narrow" w:eastAsia="Arial Narrow" w:hAnsi="Arial Narrow" w:cs="Arial Narrow"/>
              </w:rPr>
              <w:t>B-16</w:t>
            </w:r>
          </w:p>
        </w:tc>
        <w:tc>
          <w:tcPr>
            <w:tcW w:w="4700" w:type="dxa"/>
            <w:shd w:val="clear" w:color="auto" w:fill="F5F5F5"/>
          </w:tcPr>
          <w:p w14:paraId="014C33A0" w14:textId="77777777" w:rsidR="006E211C" w:rsidRDefault="00000000">
            <w:r>
              <w:rPr>
                <w:rFonts w:ascii="Arial Narrow" w:eastAsia="Arial Narrow" w:hAnsi="Arial Narrow" w:cs="Arial Narrow"/>
              </w:rPr>
              <w:t>DSGVO-Funktionen: Konto löschen und alle persönlichen Daten als Export herunterladen</w:t>
            </w:r>
          </w:p>
        </w:tc>
        <w:tc>
          <w:tcPr>
            <w:tcW w:w="1200" w:type="dxa"/>
            <w:shd w:val="clear" w:color="auto" w:fill="F5F5F5"/>
          </w:tcPr>
          <w:p w14:paraId="636528C3" w14:textId="77777777" w:rsidR="006E211C" w:rsidRDefault="00000000">
            <w:r>
              <w:rPr>
                <w:rFonts w:ascii="Arial Narrow" w:eastAsia="Arial Narrow" w:hAnsi="Arial Narrow" w:cs="Arial Narrow"/>
              </w:rPr>
              <w:t>Muss</w:t>
            </w:r>
          </w:p>
        </w:tc>
        <w:tc>
          <w:tcPr>
            <w:tcW w:w="1000" w:type="dxa"/>
            <w:shd w:val="clear" w:color="auto" w:fill="F5F5F5"/>
          </w:tcPr>
          <w:p w14:paraId="3AD99E0D" w14:textId="77777777" w:rsidR="006E211C" w:rsidRDefault="00000000">
            <w:r>
              <w:rPr>
                <w:rFonts w:ascii="Arial Narrow" w:eastAsia="Arial Narrow" w:hAnsi="Arial Narrow" w:cs="Arial Narrow"/>
              </w:rPr>
              <w:t>Neu</w:t>
            </w:r>
          </w:p>
        </w:tc>
      </w:tr>
      <w:tr w:rsidR="006E211C" w14:paraId="24EA46E0" w14:textId="77777777">
        <w:tblPrEx>
          <w:tblCellMar>
            <w:top w:w="0" w:type="dxa"/>
            <w:bottom w:w="0" w:type="dxa"/>
          </w:tblCellMar>
        </w:tblPrEx>
        <w:tc>
          <w:tcPr>
            <w:tcW w:w="900" w:type="dxa"/>
            <w:shd w:val="clear" w:color="auto" w:fill="FFFFFF"/>
          </w:tcPr>
          <w:p w14:paraId="63CBDEC8" w14:textId="77777777" w:rsidR="006E211C" w:rsidRDefault="00000000">
            <w:r>
              <w:rPr>
                <w:rFonts w:ascii="Arial Narrow" w:eastAsia="Arial Narrow" w:hAnsi="Arial Narrow" w:cs="Arial Narrow"/>
              </w:rPr>
              <w:t>B-17</w:t>
            </w:r>
          </w:p>
        </w:tc>
        <w:tc>
          <w:tcPr>
            <w:tcW w:w="4700" w:type="dxa"/>
            <w:shd w:val="clear" w:color="auto" w:fill="FFFFFF"/>
          </w:tcPr>
          <w:p w14:paraId="1F2E9366" w14:textId="77777777" w:rsidR="006E211C" w:rsidRDefault="00000000">
            <w:r>
              <w:rPr>
                <w:rFonts w:ascii="Arial Narrow" w:eastAsia="Arial Narrow" w:hAnsi="Arial Narrow" w:cs="Arial Narrow"/>
              </w:rPr>
              <w:t>Geschäftsmodell: Free-Tarif (Ampeldarstellung, Anzahl Auffälligkeiten) und Pro-Tarif (Detailbefund, Widerspruchsschreiben, PDF-Export, Archiv)</w:t>
            </w:r>
          </w:p>
        </w:tc>
        <w:tc>
          <w:tcPr>
            <w:tcW w:w="1200" w:type="dxa"/>
            <w:shd w:val="clear" w:color="auto" w:fill="FFFFFF"/>
          </w:tcPr>
          <w:p w14:paraId="58D96361" w14:textId="77777777" w:rsidR="006E211C" w:rsidRDefault="00000000">
            <w:r>
              <w:rPr>
                <w:rFonts w:ascii="Arial Narrow" w:eastAsia="Arial Narrow" w:hAnsi="Arial Narrow" w:cs="Arial Narrow"/>
              </w:rPr>
              <w:t>Muss</w:t>
            </w:r>
          </w:p>
        </w:tc>
        <w:tc>
          <w:tcPr>
            <w:tcW w:w="1000" w:type="dxa"/>
            <w:shd w:val="clear" w:color="auto" w:fill="FFFFFF"/>
          </w:tcPr>
          <w:p w14:paraId="26C66A57" w14:textId="77777777" w:rsidR="006E211C" w:rsidRDefault="00000000">
            <w:r>
              <w:rPr>
                <w:rFonts w:ascii="Arial Narrow" w:eastAsia="Arial Narrow" w:hAnsi="Arial Narrow" w:cs="Arial Narrow"/>
              </w:rPr>
              <w:t>Neu</w:t>
            </w:r>
          </w:p>
        </w:tc>
      </w:tr>
      <w:tr w:rsidR="006E211C" w14:paraId="2F5CF5B8" w14:textId="77777777">
        <w:tblPrEx>
          <w:tblCellMar>
            <w:top w:w="0" w:type="dxa"/>
            <w:bottom w:w="0" w:type="dxa"/>
          </w:tblCellMar>
        </w:tblPrEx>
        <w:tc>
          <w:tcPr>
            <w:tcW w:w="900" w:type="dxa"/>
            <w:shd w:val="clear" w:color="auto" w:fill="F5F5F5"/>
          </w:tcPr>
          <w:p w14:paraId="4AADCCDA" w14:textId="77777777" w:rsidR="006E211C" w:rsidRDefault="00000000">
            <w:r>
              <w:rPr>
                <w:rFonts w:ascii="Arial Narrow" w:eastAsia="Arial Narrow" w:hAnsi="Arial Narrow" w:cs="Arial Narrow"/>
              </w:rPr>
              <w:t>B-18</w:t>
            </w:r>
          </w:p>
        </w:tc>
        <w:tc>
          <w:tcPr>
            <w:tcW w:w="4700" w:type="dxa"/>
            <w:shd w:val="clear" w:color="auto" w:fill="F5F5F5"/>
          </w:tcPr>
          <w:p w14:paraId="089899FF" w14:textId="77777777" w:rsidR="006E211C" w:rsidRDefault="00000000">
            <w:r>
              <w:rPr>
                <w:rFonts w:ascii="Arial Narrow" w:eastAsia="Arial Narrow" w:hAnsi="Arial Narrow" w:cs="Arial Narrow"/>
              </w:rPr>
              <w:t>Upgrade von Free auf Pro direkt in der App möglich; Einzel-Transaktion pro Abrechnung und Jahresabonnement als Optionen</w:t>
            </w:r>
          </w:p>
        </w:tc>
        <w:tc>
          <w:tcPr>
            <w:tcW w:w="1200" w:type="dxa"/>
            <w:shd w:val="clear" w:color="auto" w:fill="F5F5F5"/>
          </w:tcPr>
          <w:p w14:paraId="61587419" w14:textId="77777777" w:rsidR="006E211C" w:rsidRDefault="00000000">
            <w:r>
              <w:rPr>
                <w:rFonts w:ascii="Arial Narrow" w:eastAsia="Arial Narrow" w:hAnsi="Arial Narrow" w:cs="Arial Narrow"/>
              </w:rPr>
              <w:t>Muss</w:t>
            </w:r>
          </w:p>
        </w:tc>
        <w:tc>
          <w:tcPr>
            <w:tcW w:w="1000" w:type="dxa"/>
            <w:shd w:val="clear" w:color="auto" w:fill="F5F5F5"/>
          </w:tcPr>
          <w:p w14:paraId="196AC038" w14:textId="77777777" w:rsidR="006E211C" w:rsidRDefault="00000000">
            <w:r>
              <w:rPr>
                <w:rFonts w:ascii="Arial Narrow" w:eastAsia="Arial Narrow" w:hAnsi="Arial Narrow" w:cs="Arial Narrow"/>
              </w:rPr>
              <w:t>Neu</w:t>
            </w:r>
          </w:p>
        </w:tc>
      </w:tr>
      <w:tr w:rsidR="006E211C" w14:paraId="3EEC4217" w14:textId="77777777">
        <w:tblPrEx>
          <w:tblCellMar>
            <w:top w:w="0" w:type="dxa"/>
            <w:bottom w:w="0" w:type="dxa"/>
          </w:tblCellMar>
        </w:tblPrEx>
        <w:tc>
          <w:tcPr>
            <w:tcW w:w="900" w:type="dxa"/>
            <w:shd w:val="clear" w:color="auto" w:fill="FFFFFF"/>
          </w:tcPr>
          <w:p w14:paraId="1C4B515D" w14:textId="77777777" w:rsidR="006E211C" w:rsidRDefault="00000000">
            <w:r>
              <w:rPr>
                <w:rFonts w:ascii="Arial Narrow" w:eastAsia="Arial Narrow" w:hAnsi="Arial Narrow" w:cs="Arial Narrow"/>
              </w:rPr>
              <w:t>B-19</w:t>
            </w:r>
          </w:p>
        </w:tc>
        <w:tc>
          <w:tcPr>
            <w:tcW w:w="4700" w:type="dxa"/>
            <w:shd w:val="clear" w:color="auto" w:fill="FFFFFF"/>
          </w:tcPr>
          <w:p w14:paraId="107D1522" w14:textId="77777777" w:rsidR="006E211C" w:rsidRDefault="00000000">
            <w:r>
              <w:rPr>
                <w:rFonts w:ascii="Arial Narrow" w:eastAsia="Arial Narrow" w:hAnsi="Arial Narrow" w:cs="Arial Narrow"/>
              </w:rPr>
              <w:t>Datenbankbetrieb ausschließlich auf Servern in Deutschland oder der Europäischen Union</w:t>
            </w:r>
          </w:p>
        </w:tc>
        <w:tc>
          <w:tcPr>
            <w:tcW w:w="1200" w:type="dxa"/>
            <w:shd w:val="clear" w:color="auto" w:fill="FFFFFF"/>
          </w:tcPr>
          <w:p w14:paraId="29A0839B" w14:textId="77777777" w:rsidR="006E211C" w:rsidRDefault="00000000">
            <w:r>
              <w:rPr>
                <w:rFonts w:ascii="Arial Narrow" w:eastAsia="Arial Narrow" w:hAnsi="Arial Narrow" w:cs="Arial Narrow"/>
              </w:rPr>
              <w:t>Muss</w:t>
            </w:r>
          </w:p>
        </w:tc>
        <w:tc>
          <w:tcPr>
            <w:tcW w:w="1000" w:type="dxa"/>
            <w:shd w:val="clear" w:color="auto" w:fill="FFFFFF"/>
          </w:tcPr>
          <w:p w14:paraId="0DE5AB60" w14:textId="77777777" w:rsidR="006E211C" w:rsidRDefault="00000000">
            <w:r>
              <w:rPr>
                <w:rFonts w:ascii="Arial Narrow" w:eastAsia="Arial Narrow" w:hAnsi="Arial Narrow" w:cs="Arial Narrow"/>
              </w:rPr>
              <w:t>Neu</w:t>
            </w:r>
          </w:p>
        </w:tc>
      </w:tr>
      <w:tr w:rsidR="006E211C" w14:paraId="46519F3C" w14:textId="77777777">
        <w:tblPrEx>
          <w:tblCellMar>
            <w:top w:w="0" w:type="dxa"/>
            <w:bottom w:w="0" w:type="dxa"/>
          </w:tblCellMar>
        </w:tblPrEx>
        <w:tc>
          <w:tcPr>
            <w:tcW w:w="900" w:type="dxa"/>
            <w:shd w:val="clear" w:color="auto" w:fill="F5F5F5"/>
          </w:tcPr>
          <w:p w14:paraId="08B03963" w14:textId="77777777" w:rsidR="006E211C" w:rsidRDefault="00000000">
            <w:r>
              <w:rPr>
                <w:rFonts w:ascii="Arial Narrow" w:eastAsia="Arial Narrow" w:hAnsi="Arial Narrow" w:cs="Arial Narrow"/>
              </w:rPr>
              <w:t>B-20</w:t>
            </w:r>
          </w:p>
        </w:tc>
        <w:tc>
          <w:tcPr>
            <w:tcW w:w="4700" w:type="dxa"/>
            <w:shd w:val="clear" w:color="auto" w:fill="F5F5F5"/>
          </w:tcPr>
          <w:p w14:paraId="6B9633F3" w14:textId="77777777" w:rsidR="006E211C" w:rsidRDefault="00000000">
            <w:r>
              <w:rPr>
                <w:rFonts w:ascii="Arial Narrow" w:eastAsia="Arial Narrow" w:hAnsi="Arial Narrow" w:cs="Arial Narrow"/>
              </w:rPr>
              <w:t>Responsives Design für Desktop und Tablet; mobiloptimierte Darstellung der Eingabeassistenten</w:t>
            </w:r>
          </w:p>
        </w:tc>
        <w:tc>
          <w:tcPr>
            <w:tcW w:w="1200" w:type="dxa"/>
            <w:shd w:val="clear" w:color="auto" w:fill="F5F5F5"/>
          </w:tcPr>
          <w:p w14:paraId="7C53D8D3" w14:textId="77777777" w:rsidR="006E211C" w:rsidRDefault="00000000">
            <w:r>
              <w:rPr>
                <w:rFonts w:ascii="Arial Narrow" w:eastAsia="Arial Narrow" w:hAnsi="Arial Narrow" w:cs="Arial Narrow"/>
              </w:rPr>
              <w:t>Muss</w:t>
            </w:r>
          </w:p>
        </w:tc>
        <w:tc>
          <w:tcPr>
            <w:tcW w:w="1000" w:type="dxa"/>
            <w:shd w:val="clear" w:color="auto" w:fill="F5F5F5"/>
          </w:tcPr>
          <w:p w14:paraId="37B2180E" w14:textId="77777777" w:rsidR="006E211C" w:rsidRDefault="00000000">
            <w:r>
              <w:rPr>
                <w:rFonts w:ascii="Arial Narrow" w:eastAsia="Arial Narrow" w:hAnsi="Arial Narrow" w:cs="Arial Narrow"/>
              </w:rPr>
              <w:t>Neu</w:t>
            </w:r>
          </w:p>
        </w:tc>
      </w:tr>
    </w:tbl>
    <w:p w14:paraId="4456ABF2" w14:textId="77777777" w:rsidR="006E211C" w:rsidRDefault="006E211C">
      <w:pPr>
        <w:spacing w:after="120"/>
      </w:pPr>
    </w:p>
    <w:p w14:paraId="50305025" w14:textId="77777777" w:rsidR="00CD0B9A" w:rsidRDefault="00CD0B9A">
      <w:pPr>
        <w:rPr>
          <w:rFonts w:ascii="Arial Narrow" w:eastAsia="Arial Narrow" w:hAnsi="Arial Narrow" w:cs="Arial Narrow"/>
          <w:b/>
          <w:bCs/>
          <w:color w:val="333333"/>
          <w:sz w:val="26"/>
          <w:szCs w:val="26"/>
        </w:rPr>
      </w:pPr>
      <w:r>
        <w:rPr>
          <w:rFonts w:ascii="Arial Narrow" w:eastAsia="Arial Narrow" w:hAnsi="Arial Narrow" w:cs="Arial Narrow"/>
          <w:b/>
          <w:bCs/>
          <w:color w:val="333333"/>
          <w:sz w:val="26"/>
          <w:szCs w:val="26"/>
        </w:rPr>
        <w:br w:type="page"/>
      </w:r>
    </w:p>
    <w:p w14:paraId="4C0F3303" w14:textId="737E5283" w:rsidR="006E211C" w:rsidRDefault="00000000">
      <w:pPr>
        <w:spacing w:before="280" w:after="100"/>
      </w:pPr>
      <w:r>
        <w:rPr>
          <w:rFonts w:ascii="Arial Narrow" w:eastAsia="Arial Narrow" w:hAnsi="Arial Narrow" w:cs="Arial Narrow"/>
          <w:b/>
          <w:bCs/>
          <w:color w:val="333333"/>
          <w:sz w:val="26"/>
          <w:szCs w:val="26"/>
        </w:rPr>
        <w:lastRenderedPageBreak/>
        <w:t>7.3 Scope: Was ist in Version 1, was kommt später</w:t>
      </w:r>
    </w:p>
    <w:p w14:paraId="7E24DA98" w14:textId="77777777" w:rsidR="006E211C" w:rsidRDefault="006E211C">
      <w:pPr>
        <w:spacing w:after="120"/>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100"/>
      </w:tblGrid>
      <w:tr w:rsidR="006E211C" w14:paraId="0D2C112B" w14:textId="77777777">
        <w:tblPrEx>
          <w:tblCellMar>
            <w:top w:w="0" w:type="dxa"/>
            <w:bottom w:w="0" w:type="dxa"/>
          </w:tblCellMar>
        </w:tblPrEx>
        <w:trPr>
          <w:tblHeader/>
        </w:trPr>
        <w:tc>
          <w:tcPr>
            <w:tcW w:w="4200" w:type="dxa"/>
            <w:shd w:val="clear" w:color="auto" w:fill="000000"/>
          </w:tcPr>
          <w:p w14:paraId="66E2F79F" w14:textId="77777777" w:rsidR="006E211C" w:rsidRDefault="00000000">
            <w:pPr>
              <w:jc w:val="center"/>
            </w:pPr>
            <w:r>
              <w:rPr>
                <w:rFonts w:ascii="Arial Narrow" w:eastAsia="Arial Narrow" w:hAnsi="Arial Narrow" w:cs="Arial Narrow"/>
                <w:b/>
                <w:bCs/>
                <w:color w:val="FFFFFF"/>
              </w:rPr>
              <w:t>In Scope Version 1</w:t>
            </w:r>
          </w:p>
        </w:tc>
        <w:tc>
          <w:tcPr>
            <w:tcW w:w="4100" w:type="dxa"/>
            <w:shd w:val="clear" w:color="auto" w:fill="000000"/>
          </w:tcPr>
          <w:p w14:paraId="2C427916" w14:textId="77777777" w:rsidR="006E211C" w:rsidRDefault="00000000">
            <w:pPr>
              <w:jc w:val="center"/>
            </w:pPr>
            <w:r>
              <w:rPr>
                <w:rFonts w:ascii="Arial Narrow" w:eastAsia="Arial Narrow" w:hAnsi="Arial Narrow" w:cs="Arial Narrow"/>
                <w:b/>
                <w:bCs/>
                <w:color w:val="FFFFFF"/>
              </w:rPr>
              <w:t xml:space="preserve">Out </w:t>
            </w:r>
            <w:proofErr w:type="spellStart"/>
            <w:r>
              <w:rPr>
                <w:rFonts w:ascii="Arial Narrow" w:eastAsia="Arial Narrow" w:hAnsi="Arial Narrow" w:cs="Arial Narrow"/>
                <w:b/>
                <w:bCs/>
                <w:color w:val="FFFFFF"/>
              </w:rPr>
              <w:t>of</w:t>
            </w:r>
            <w:proofErr w:type="spellEnd"/>
            <w:r>
              <w:rPr>
                <w:rFonts w:ascii="Arial Narrow" w:eastAsia="Arial Narrow" w:hAnsi="Arial Narrow" w:cs="Arial Narrow"/>
                <w:b/>
                <w:bCs/>
                <w:color w:val="FFFFFF"/>
              </w:rPr>
              <w:t xml:space="preserve"> Scope, ab Version 2 und folgende</w:t>
            </w:r>
          </w:p>
        </w:tc>
      </w:tr>
      <w:tr w:rsidR="006E211C" w14:paraId="7D1ABF9A" w14:textId="77777777">
        <w:tblPrEx>
          <w:tblCellMar>
            <w:top w:w="0" w:type="dxa"/>
            <w:bottom w:w="0" w:type="dxa"/>
          </w:tblCellMar>
        </w:tblPrEx>
        <w:tc>
          <w:tcPr>
            <w:tcW w:w="4200" w:type="dxa"/>
            <w:shd w:val="clear" w:color="auto" w:fill="FFFFFF"/>
          </w:tcPr>
          <w:p w14:paraId="6E9B5FBB" w14:textId="77777777" w:rsidR="006E211C" w:rsidRDefault="00000000">
            <w:r>
              <w:rPr>
                <w:rFonts w:ascii="Arial Narrow" w:eastAsia="Arial Narrow" w:hAnsi="Arial Narrow" w:cs="Arial Narrow"/>
              </w:rPr>
              <w:t>Nebenkostenprüfung für Wohnraummietverträge in Deutschland</w:t>
            </w:r>
          </w:p>
        </w:tc>
        <w:tc>
          <w:tcPr>
            <w:tcW w:w="4100" w:type="dxa"/>
            <w:shd w:val="clear" w:color="auto" w:fill="FFFFFF"/>
          </w:tcPr>
          <w:p w14:paraId="59B48337" w14:textId="77777777" w:rsidR="006E211C" w:rsidRDefault="00000000">
            <w:r>
              <w:rPr>
                <w:rFonts w:ascii="Arial Narrow" w:eastAsia="Arial Narrow" w:hAnsi="Arial Narrow" w:cs="Arial Narrow"/>
              </w:rPr>
              <w:t>Gewerbliche Mietverträge (abweichende Rechtslage)</w:t>
            </w:r>
          </w:p>
        </w:tc>
      </w:tr>
      <w:tr w:rsidR="006E211C" w14:paraId="7228A2DC" w14:textId="77777777">
        <w:tblPrEx>
          <w:tblCellMar>
            <w:top w:w="0" w:type="dxa"/>
            <w:bottom w:w="0" w:type="dxa"/>
          </w:tblCellMar>
        </w:tblPrEx>
        <w:tc>
          <w:tcPr>
            <w:tcW w:w="4200" w:type="dxa"/>
            <w:shd w:val="clear" w:color="auto" w:fill="F5F5F5"/>
          </w:tcPr>
          <w:p w14:paraId="063562FF" w14:textId="77777777" w:rsidR="006E211C" w:rsidRDefault="00000000">
            <w:r>
              <w:rPr>
                <w:rFonts w:ascii="Arial Narrow" w:eastAsia="Arial Narrow" w:hAnsi="Arial Narrow" w:cs="Arial Narrow"/>
              </w:rPr>
              <w:t>Abgleich gegen vollständige BetrKV-Kategorienliste</w:t>
            </w:r>
          </w:p>
        </w:tc>
        <w:tc>
          <w:tcPr>
            <w:tcW w:w="4100" w:type="dxa"/>
            <w:shd w:val="clear" w:color="auto" w:fill="F5F5F5"/>
          </w:tcPr>
          <w:p w14:paraId="4923816A" w14:textId="77777777" w:rsidR="006E211C" w:rsidRDefault="00000000">
            <w:r>
              <w:rPr>
                <w:rFonts w:ascii="Arial Narrow" w:eastAsia="Arial Narrow" w:hAnsi="Arial Narrow" w:cs="Arial Narrow"/>
              </w:rPr>
              <w:t>Österreich und Schweiz (anderes Recht)</w:t>
            </w:r>
          </w:p>
        </w:tc>
      </w:tr>
      <w:tr w:rsidR="006E211C" w14:paraId="7BFF6BF5" w14:textId="77777777">
        <w:tblPrEx>
          <w:tblCellMar>
            <w:top w:w="0" w:type="dxa"/>
            <w:bottom w:w="0" w:type="dxa"/>
          </w:tblCellMar>
        </w:tblPrEx>
        <w:tc>
          <w:tcPr>
            <w:tcW w:w="4200" w:type="dxa"/>
            <w:shd w:val="clear" w:color="auto" w:fill="FFFFFF"/>
          </w:tcPr>
          <w:p w14:paraId="1BFCCC95" w14:textId="77777777" w:rsidR="006E211C" w:rsidRDefault="00000000">
            <w:r>
              <w:rPr>
                <w:rFonts w:ascii="Arial Narrow" w:eastAsia="Arial Narrow" w:hAnsi="Arial Narrow" w:cs="Arial Narrow"/>
              </w:rPr>
              <w:t>HKVO-Prüfung: Verbrauchsanteil 50 bis 70%</w:t>
            </w:r>
          </w:p>
        </w:tc>
        <w:tc>
          <w:tcPr>
            <w:tcW w:w="4100" w:type="dxa"/>
            <w:shd w:val="clear" w:color="auto" w:fill="FFFFFF"/>
          </w:tcPr>
          <w:p w14:paraId="4C4130F1" w14:textId="77777777" w:rsidR="006E211C" w:rsidRDefault="00000000">
            <w:r>
              <w:rPr>
                <w:rFonts w:ascii="Arial Narrow" w:eastAsia="Arial Narrow" w:hAnsi="Arial Narrow" w:cs="Arial Narrow"/>
              </w:rPr>
              <w:t>Künstlich intelligenzgestützte Einzelfallinterpretation von Grenzfällen</w:t>
            </w:r>
          </w:p>
        </w:tc>
      </w:tr>
      <w:tr w:rsidR="006E211C" w14:paraId="7B8E5CCA" w14:textId="77777777">
        <w:tblPrEx>
          <w:tblCellMar>
            <w:top w:w="0" w:type="dxa"/>
            <w:bottom w:w="0" w:type="dxa"/>
          </w:tblCellMar>
        </w:tblPrEx>
        <w:tc>
          <w:tcPr>
            <w:tcW w:w="4200" w:type="dxa"/>
            <w:shd w:val="clear" w:color="auto" w:fill="F5F5F5"/>
          </w:tcPr>
          <w:p w14:paraId="10DD911D" w14:textId="77777777" w:rsidR="006E211C" w:rsidRDefault="00000000">
            <w:r>
              <w:rPr>
                <w:rFonts w:ascii="Arial Narrow" w:eastAsia="Arial Narrow" w:hAnsi="Arial Narrow" w:cs="Arial Narrow"/>
              </w:rPr>
              <w:t>Formale Mängelprüfung (Frist, Vollständigkeit)</w:t>
            </w:r>
          </w:p>
        </w:tc>
        <w:tc>
          <w:tcPr>
            <w:tcW w:w="4100" w:type="dxa"/>
            <w:shd w:val="clear" w:color="auto" w:fill="F5F5F5"/>
          </w:tcPr>
          <w:p w14:paraId="1F14C9CC" w14:textId="77777777" w:rsidR="006E211C" w:rsidRDefault="00000000">
            <w:r>
              <w:rPr>
                <w:rFonts w:ascii="Arial Narrow" w:eastAsia="Arial Narrow" w:hAnsi="Arial Narrow" w:cs="Arial Narrow"/>
              </w:rPr>
              <w:t>Automatische Erkennung der Abrechnung per Kamerafoto</w:t>
            </w:r>
          </w:p>
        </w:tc>
      </w:tr>
      <w:tr w:rsidR="006E211C" w14:paraId="0D4EE1AD" w14:textId="77777777">
        <w:tblPrEx>
          <w:tblCellMar>
            <w:top w:w="0" w:type="dxa"/>
            <w:bottom w:w="0" w:type="dxa"/>
          </w:tblCellMar>
        </w:tblPrEx>
        <w:tc>
          <w:tcPr>
            <w:tcW w:w="4200" w:type="dxa"/>
            <w:shd w:val="clear" w:color="auto" w:fill="FFFFFF"/>
          </w:tcPr>
          <w:p w14:paraId="1F8AAEBD" w14:textId="77777777" w:rsidR="006E211C" w:rsidRDefault="00000000">
            <w:r>
              <w:rPr>
                <w:rFonts w:ascii="Arial Narrow" w:eastAsia="Arial Narrow" w:hAnsi="Arial Narrow" w:cs="Arial Narrow"/>
              </w:rPr>
              <w:t>Fristenüberwachung (12 Monate §556 Abs. 3 BGB)</w:t>
            </w:r>
          </w:p>
        </w:tc>
        <w:tc>
          <w:tcPr>
            <w:tcW w:w="4100" w:type="dxa"/>
            <w:shd w:val="clear" w:color="auto" w:fill="FFFFFF"/>
          </w:tcPr>
          <w:p w14:paraId="265E5E28" w14:textId="77777777" w:rsidR="006E211C" w:rsidRDefault="00000000">
            <w:r>
              <w:rPr>
                <w:rFonts w:ascii="Arial Narrow" w:eastAsia="Arial Narrow" w:hAnsi="Arial Narrow" w:cs="Arial Narrow"/>
              </w:rPr>
              <w:t>Verwaltungsmodul für Hausverwaltungen (B2B)</w:t>
            </w:r>
          </w:p>
        </w:tc>
      </w:tr>
      <w:tr w:rsidR="006E211C" w14:paraId="7C936DCB" w14:textId="77777777">
        <w:tblPrEx>
          <w:tblCellMar>
            <w:top w:w="0" w:type="dxa"/>
            <w:bottom w:w="0" w:type="dxa"/>
          </w:tblCellMar>
        </w:tblPrEx>
        <w:tc>
          <w:tcPr>
            <w:tcW w:w="4200" w:type="dxa"/>
            <w:shd w:val="clear" w:color="auto" w:fill="F5F5F5"/>
          </w:tcPr>
          <w:p w14:paraId="263465B8" w14:textId="77777777" w:rsidR="006E211C" w:rsidRDefault="00000000">
            <w:r>
              <w:rPr>
                <w:rFonts w:ascii="Arial Narrow" w:eastAsia="Arial Narrow" w:hAnsi="Arial Narrow" w:cs="Arial Narrow"/>
              </w:rPr>
              <w:t>Widerspruchsschreiben-Generator als Pro-Funktion</w:t>
            </w:r>
          </w:p>
        </w:tc>
        <w:tc>
          <w:tcPr>
            <w:tcW w:w="4100" w:type="dxa"/>
            <w:shd w:val="clear" w:color="auto" w:fill="F5F5F5"/>
          </w:tcPr>
          <w:p w14:paraId="432EFC57" w14:textId="77777777" w:rsidR="006E211C" w:rsidRDefault="00000000">
            <w:r>
              <w:rPr>
                <w:rFonts w:ascii="Arial Narrow" w:eastAsia="Arial Narrow" w:hAnsi="Arial Narrow" w:cs="Arial Narrow"/>
              </w:rPr>
              <w:t>Automatische Anbindung an Anwaltsvermittlung</w:t>
            </w:r>
          </w:p>
        </w:tc>
      </w:tr>
      <w:tr w:rsidR="006E211C" w14:paraId="5E86945D" w14:textId="77777777">
        <w:tblPrEx>
          <w:tblCellMar>
            <w:top w:w="0" w:type="dxa"/>
            <w:bottom w:w="0" w:type="dxa"/>
          </w:tblCellMar>
        </w:tblPrEx>
        <w:tc>
          <w:tcPr>
            <w:tcW w:w="4200" w:type="dxa"/>
            <w:shd w:val="clear" w:color="auto" w:fill="FFFFFF"/>
          </w:tcPr>
          <w:p w14:paraId="3EE7FCEE" w14:textId="77777777" w:rsidR="006E211C" w:rsidRDefault="00000000">
            <w:r>
              <w:rPr>
                <w:rFonts w:ascii="Arial Narrow" w:eastAsia="Arial Narrow" w:hAnsi="Arial Narrow" w:cs="Arial Narrow"/>
              </w:rPr>
              <w:t>PDF-Export des Prüfergebnisses als Pro-Funktion</w:t>
            </w:r>
          </w:p>
        </w:tc>
        <w:tc>
          <w:tcPr>
            <w:tcW w:w="4100" w:type="dxa"/>
            <w:shd w:val="clear" w:color="auto" w:fill="FFFFFF"/>
          </w:tcPr>
          <w:p w14:paraId="64DF1DC9" w14:textId="77777777" w:rsidR="006E211C" w:rsidRDefault="00000000">
            <w:r>
              <w:rPr>
                <w:rFonts w:ascii="Arial Narrow" w:eastAsia="Arial Narrow" w:hAnsi="Arial Narrow" w:cs="Arial Narrow"/>
              </w:rPr>
              <w:t>Mietpreisbremse (§556d BGB, anderes Segment)</w:t>
            </w:r>
          </w:p>
        </w:tc>
      </w:tr>
      <w:tr w:rsidR="006E211C" w14:paraId="4B3706FB" w14:textId="77777777">
        <w:tblPrEx>
          <w:tblCellMar>
            <w:top w:w="0" w:type="dxa"/>
            <w:bottom w:w="0" w:type="dxa"/>
          </w:tblCellMar>
        </w:tblPrEx>
        <w:tc>
          <w:tcPr>
            <w:tcW w:w="4200" w:type="dxa"/>
            <w:shd w:val="clear" w:color="auto" w:fill="F5F5F5"/>
          </w:tcPr>
          <w:p w14:paraId="6BF6A6A6" w14:textId="77777777" w:rsidR="006E211C" w:rsidRDefault="00000000">
            <w:r>
              <w:rPr>
                <w:rFonts w:ascii="Arial Narrow" w:eastAsia="Arial Narrow" w:hAnsi="Arial Narrow" w:cs="Arial Narrow"/>
              </w:rPr>
              <w:t>Archiv für mehrere Abrechnungsjahre</w:t>
            </w:r>
          </w:p>
        </w:tc>
        <w:tc>
          <w:tcPr>
            <w:tcW w:w="4100" w:type="dxa"/>
            <w:shd w:val="clear" w:color="auto" w:fill="F5F5F5"/>
          </w:tcPr>
          <w:p w14:paraId="70641999" w14:textId="77777777" w:rsidR="006E211C" w:rsidRDefault="00000000">
            <w:r>
              <w:rPr>
                <w:rFonts w:ascii="Arial Narrow" w:eastAsia="Arial Narrow" w:hAnsi="Arial Narrow" w:cs="Arial Narrow"/>
              </w:rPr>
              <w:t>Monatliche Verbrauchsinformation nach §4 FFVAV (Fernwärme-Detail)</w:t>
            </w:r>
          </w:p>
        </w:tc>
      </w:tr>
      <w:tr w:rsidR="006E211C" w14:paraId="271046C6" w14:textId="77777777">
        <w:tblPrEx>
          <w:tblCellMar>
            <w:top w:w="0" w:type="dxa"/>
            <w:bottom w:w="0" w:type="dxa"/>
          </w:tblCellMar>
        </w:tblPrEx>
        <w:tc>
          <w:tcPr>
            <w:tcW w:w="4200" w:type="dxa"/>
            <w:shd w:val="clear" w:color="auto" w:fill="FFFFFF"/>
          </w:tcPr>
          <w:p w14:paraId="1913A387" w14:textId="77777777" w:rsidR="006E211C" w:rsidRDefault="00000000">
            <w:r>
              <w:rPr>
                <w:rFonts w:ascii="Arial Narrow" w:eastAsia="Arial Narrow" w:hAnsi="Arial Narrow" w:cs="Arial Narrow"/>
              </w:rPr>
              <w:t>Rollen: Admin und Standardnutzer (Mieter)</w:t>
            </w:r>
          </w:p>
        </w:tc>
        <w:tc>
          <w:tcPr>
            <w:tcW w:w="4100" w:type="dxa"/>
            <w:shd w:val="clear" w:color="auto" w:fill="FFFFFF"/>
          </w:tcPr>
          <w:p w14:paraId="21752B71" w14:textId="77777777" w:rsidR="006E211C" w:rsidRDefault="00000000">
            <w:r>
              <w:rPr>
                <w:rFonts w:ascii="Arial Narrow" w:eastAsia="Arial Narrow" w:hAnsi="Arial Narrow" w:cs="Arial Narrow"/>
              </w:rPr>
              <w:t>Native mobile App (iOS und Android)</w:t>
            </w:r>
          </w:p>
        </w:tc>
      </w:tr>
      <w:tr w:rsidR="006E211C" w14:paraId="09D2E96F" w14:textId="77777777">
        <w:tblPrEx>
          <w:tblCellMar>
            <w:top w:w="0" w:type="dxa"/>
            <w:bottom w:w="0" w:type="dxa"/>
          </w:tblCellMar>
        </w:tblPrEx>
        <w:tc>
          <w:tcPr>
            <w:tcW w:w="4200" w:type="dxa"/>
            <w:shd w:val="clear" w:color="auto" w:fill="F5F5F5"/>
          </w:tcPr>
          <w:p w14:paraId="3677E0AA" w14:textId="77777777" w:rsidR="006E211C" w:rsidRDefault="00000000">
            <w:r>
              <w:rPr>
                <w:rFonts w:ascii="Arial Narrow" w:eastAsia="Arial Narrow" w:hAnsi="Arial Narrow" w:cs="Arial Narrow"/>
              </w:rPr>
              <w:t>Free- und Pro-Tarif</w:t>
            </w:r>
          </w:p>
        </w:tc>
        <w:tc>
          <w:tcPr>
            <w:tcW w:w="4100" w:type="dxa"/>
            <w:shd w:val="clear" w:color="auto" w:fill="F5F5F5"/>
          </w:tcPr>
          <w:p w14:paraId="2FF29F38" w14:textId="77777777" w:rsidR="006E211C" w:rsidRDefault="00000000">
            <w:r>
              <w:rPr>
                <w:rFonts w:ascii="Arial Narrow" w:eastAsia="Arial Narrow" w:hAnsi="Arial Narrow" w:cs="Arial Narrow"/>
              </w:rPr>
              <w:t>Vergleich mit anderen Mietern derselben Liegenschaft</w:t>
            </w:r>
          </w:p>
        </w:tc>
      </w:tr>
      <w:tr w:rsidR="006E211C" w14:paraId="7876A93D" w14:textId="77777777">
        <w:tblPrEx>
          <w:tblCellMar>
            <w:top w:w="0" w:type="dxa"/>
            <w:bottom w:w="0" w:type="dxa"/>
          </w:tblCellMar>
        </w:tblPrEx>
        <w:tc>
          <w:tcPr>
            <w:tcW w:w="4200" w:type="dxa"/>
            <w:shd w:val="clear" w:color="auto" w:fill="FFFFFF"/>
          </w:tcPr>
          <w:p w14:paraId="7B5202BD" w14:textId="77777777" w:rsidR="006E211C" w:rsidRDefault="00000000">
            <w:r>
              <w:rPr>
                <w:rFonts w:ascii="Arial Narrow" w:eastAsia="Arial Narrow" w:hAnsi="Arial Narrow" w:cs="Arial Narrow"/>
              </w:rPr>
              <w:t>DSGVO-Funktionen, Cookie-Banner, AGB</w:t>
            </w:r>
          </w:p>
        </w:tc>
        <w:tc>
          <w:tcPr>
            <w:tcW w:w="4100" w:type="dxa"/>
            <w:shd w:val="clear" w:color="auto" w:fill="FFFFFF"/>
          </w:tcPr>
          <w:p w14:paraId="14400E70" w14:textId="77777777" w:rsidR="006E211C" w:rsidRDefault="006E211C"/>
        </w:tc>
      </w:tr>
      <w:tr w:rsidR="006E211C" w14:paraId="3B2324B0" w14:textId="77777777">
        <w:tblPrEx>
          <w:tblCellMar>
            <w:top w:w="0" w:type="dxa"/>
            <w:bottom w:w="0" w:type="dxa"/>
          </w:tblCellMar>
        </w:tblPrEx>
        <w:tc>
          <w:tcPr>
            <w:tcW w:w="4200" w:type="dxa"/>
            <w:shd w:val="clear" w:color="auto" w:fill="F5F5F5"/>
          </w:tcPr>
          <w:p w14:paraId="7B477F18" w14:textId="77777777" w:rsidR="006E211C" w:rsidRDefault="00000000">
            <w:r>
              <w:rPr>
                <w:rFonts w:ascii="Arial Narrow" w:eastAsia="Arial Narrow" w:hAnsi="Arial Narrow" w:cs="Arial Narrow"/>
              </w:rPr>
              <w:t>Dunkel-/Hell-Modus, Deutsch und Englisch</w:t>
            </w:r>
          </w:p>
        </w:tc>
        <w:tc>
          <w:tcPr>
            <w:tcW w:w="4100" w:type="dxa"/>
            <w:shd w:val="clear" w:color="auto" w:fill="F5F5F5"/>
          </w:tcPr>
          <w:p w14:paraId="00E3B854" w14:textId="77777777" w:rsidR="006E211C" w:rsidRDefault="006E211C"/>
        </w:tc>
      </w:tr>
    </w:tbl>
    <w:p w14:paraId="4E435A4A" w14:textId="77777777" w:rsidR="006E211C" w:rsidRDefault="006E211C">
      <w:pPr>
        <w:spacing w:after="120"/>
      </w:pPr>
    </w:p>
    <w:p w14:paraId="55386913" w14:textId="77777777" w:rsidR="006E211C" w:rsidRDefault="00000000">
      <w:pPr>
        <w:spacing w:before="400" w:after="160"/>
      </w:pPr>
      <w:r>
        <w:rPr>
          <w:rFonts w:ascii="Arial Narrow" w:eastAsia="Arial Narrow" w:hAnsi="Arial Narrow" w:cs="Arial Narrow"/>
          <w:b/>
          <w:bCs/>
          <w:color w:val="000000"/>
          <w:sz w:val="34"/>
          <w:szCs w:val="34"/>
        </w:rPr>
        <w:t>8. Chancen und Risiken</w:t>
      </w:r>
    </w:p>
    <w:p w14:paraId="7023D39E" w14:textId="77777777" w:rsidR="006E211C" w:rsidRDefault="00000000">
      <w:pPr>
        <w:spacing w:before="280" w:after="100"/>
      </w:pPr>
      <w:r>
        <w:rPr>
          <w:rFonts w:ascii="Arial Narrow" w:eastAsia="Arial Narrow" w:hAnsi="Arial Narrow" w:cs="Arial Narrow"/>
          <w:b/>
          <w:bCs/>
          <w:color w:val="333333"/>
          <w:sz w:val="26"/>
          <w:szCs w:val="26"/>
        </w:rPr>
        <w:t>8.1 Chancen</w:t>
      </w:r>
    </w:p>
    <w:p w14:paraId="297A4CCF" w14:textId="77777777" w:rsidR="006E211C" w:rsidRDefault="006E211C">
      <w:pPr>
        <w:spacing w:after="120"/>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500"/>
      </w:tblGrid>
      <w:tr w:rsidR="006E211C" w14:paraId="41DD0769" w14:textId="77777777">
        <w:tblPrEx>
          <w:tblCellMar>
            <w:top w:w="0" w:type="dxa"/>
            <w:bottom w:w="0" w:type="dxa"/>
          </w:tblCellMar>
        </w:tblPrEx>
        <w:trPr>
          <w:tblHeader/>
        </w:trPr>
        <w:tc>
          <w:tcPr>
            <w:tcW w:w="2800" w:type="dxa"/>
            <w:shd w:val="clear" w:color="auto" w:fill="000000"/>
          </w:tcPr>
          <w:p w14:paraId="53E17724" w14:textId="77777777" w:rsidR="006E211C" w:rsidRDefault="00000000">
            <w:pPr>
              <w:jc w:val="center"/>
            </w:pPr>
            <w:r>
              <w:rPr>
                <w:rFonts w:ascii="Arial Narrow" w:eastAsia="Arial Narrow" w:hAnsi="Arial Narrow" w:cs="Arial Narrow"/>
                <w:b/>
                <w:bCs/>
                <w:color w:val="FFFFFF"/>
              </w:rPr>
              <w:t>Chance</w:t>
            </w:r>
          </w:p>
        </w:tc>
        <w:tc>
          <w:tcPr>
            <w:tcW w:w="5500" w:type="dxa"/>
            <w:shd w:val="clear" w:color="auto" w:fill="000000"/>
          </w:tcPr>
          <w:p w14:paraId="0BA48708" w14:textId="77777777" w:rsidR="006E211C" w:rsidRDefault="00000000">
            <w:pPr>
              <w:jc w:val="center"/>
            </w:pPr>
            <w:r>
              <w:rPr>
                <w:rFonts w:ascii="Arial Narrow" w:eastAsia="Arial Narrow" w:hAnsi="Arial Narrow" w:cs="Arial Narrow"/>
                <w:b/>
                <w:bCs/>
                <w:color w:val="FFFFFF"/>
              </w:rPr>
              <w:t>Begründung</w:t>
            </w:r>
          </w:p>
        </w:tc>
      </w:tr>
      <w:tr w:rsidR="006E211C" w14:paraId="117C9E21" w14:textId="77777777">
        <w:tblPrEx>
          <w:tblCellMar>
            <w:top w:w="0" w:type="dxa"/>
            <w:bottom w:w="0" w:type="dxa"/>
          </w:tblCellMar>
        </w:tblPrEx>
        <w:tc>
          <w:tcPr>
            <w:tcW w:w="2800" w:type="dxa"/>
            <w:shd w:val="clear" w:color="auto" w:fill="FFFFFF"/>
          </w:tcPr>
          <w:p w14:paraId="57722840" w14:textId="77777777" w:rsidR="006E211C" w:rsidRDefault="00000000">
            <w:r>
              <w:rPr>
                <w:rFonts w:ascii="Arial Narrow" w:eastAsia="Arial Narrow" w:hAnsi="Arial Narrow" w:cs="Arial Narrow"/>
              </w:rPr>
              <w:t>Einziges digitales Werkzeug auf dem Markt</w:t>
            </w:r>
          </w:p>
        </w:tc>
        <w:tc>
          <w:tcPr>
            <w:tcW w:w="5500" w:type="dxa"/>
            <w:shd w:val="clear" w:color="auto" w:fill="FFFFFF"/>
          </w:tcPr>
          <w:p w14:paraId="517F08AC" w14:textId="77777777" w:rsidR="006E211C" w:rsidRDefault="00000000">
            <w:r>
              <w:rPr>
                <w:rFonts w:ascii="Arial Narrow" w:eastAsia="Arial Narrow" w:hAnsi="Arial Narrow" w:cs="Arial Narrow"/>
              </w:rPr>
              <w:t>Kein bekannter Wettbewerber bietet interaktive Nebenkostenprüfung als digitales Werkzeug. Die Marktlücke ist recherchiert und klar belegbar.</w:t>
            </w:r>
          </w:p>
        </w:tc>
      </w:tr>
      <w:tr w:rsidR="006E211C" w14:paraId="7844E839" w14:textId="77777777">
        <w:tblPrEx>
          <w:tblCellMar>
            <w:top w:w="0" w:type="dxa"/>
            <w:bottom w:w="0" w:type="dxa"/>
          </w:tblCellMar>
        </w:tblPrEx>
        <w:tc>
          <w:tcPr>
            <w:tcW w:w="2800" w:type="dxa"/>
            <w:shd w:val="clear" w:color="auto" w:fill="F5F5F5"/>
          </w:tcPr>
          <w:p w14:paraId="74CB2430" w14:textId="77777777" w:rsidR="006E211C" w:rsidRDefault="00000000">
            <w:r>
              <w:rPr>
                <w:rFonts w:ascii="Arial Narrow" w:eastAsia="Arial Narrow" w:hAnsi="Arial Narrow" w:cs="Arial Narrow"/>
              </w:rPr>
              <w:t>Jährlicher, gesetzlich erzeugter Aktivierungsimpuls</w:t>
            </w:r>
          </w:p>
        </w:tc>
        <w:tc>
          <w:tcPr>
            <w:tcW w:w="5500" w:type="dxa"/>
            <w:shd w:val="clear" w:color="auto" w:fill="F5F5F5"/>
          </w:tcPr>
          <w:p w14:paraId="30383B3A" w14:textId="77777777" w:rsidR="006E211C" w:rsidRDefault="00000000">
            <w:r>
              <w:rPr>
                <w:rFonts w:ascii="Arial Narrow" w:eastAsia="Arial Narrow" w:hAnsi="Arial Narrow" w:cs="Arial Narrow"/>
              </w:rPr>
              <w:t>Die 12-Monats-Einwendungsfrist nach §556 Abs. 3 BGB erzeugt jedes Jahr denselben Handlungsdruck für 28 Millionen Mieterhaushalte. Der Bedarf entsteht durch das Gesetz, nicht durch Marketing.</w:t>
            </w:r>
          </w:p>
        </w:tc>
      </w:tr>
      <w:tr w:rsidR="006E211C" w14:paraId="6F7AF509" w14:textId="77777777">
        <w:tblPrEx>
          <w:tblCellMar>
            <w:top w:w="0" w:type="dxa"/>
            <w:bottom w:w="0" w:type="dxa"/>
          </w:tblCellMar>
        </w:tblPrEx>
        <w:tc>
          <w:tcPr>
            <w:tcW w:w="2800" w:type="dxa"/>
            <w:shd w:val="clear" w:color="auto" w:fill="FFFFFF"/>
          </w:tcPr>
          <w:p w14:paraId="068DCFD7" w14:textId="77777777" w:rsidR="006E211C" w:rsidRDefault="00000000">
            <w:r>
              <w:rPr>
                <w:rFonts w:ascii="Arial Narrow" w:eastAsia="Arial Narrow" w:hAnsi="Arial Narrow" w:cs="Arial Narrow"/>
              </w:rPr>
              <w:t>Steigende Energiekosten als Verstärker</w:t>
            </w:r>
          </w:p>
        </w:tc>
        <w:tc>
          <w:tcPr>
            <w:tcW w:w="5500" w:type="dxa"/>
            <w:shd w:val="clear" w:color="auto" w:fill="FFFFFF"/>
          </w:tcPr>
          <w:p w14:paraId="096B2BC6" w14:textId="77777777" w:rsidR="006E211C" w:rsidRDefault="00000000">
            <w:r>
              <w:rPr>
                <w:rFonts w:ascii="Arial Narrow" w:eastAsia="Arial Narrow" w:hAnsi="Arial Narrow" w:cs="Arial Narrow"/>
              </w:rPr>
              <w:t>Hohe Heizkosten-Nachzahlungen sensibilisieren Mieter für Fehler in ihrer Abrechnung und erhöhen die Bereitschaft, aktiv zu prüfen.</w:t>
            </w:r>
          </w:p>
        </w:tc>
      </w:tr>
      <w:tr w:rsidR="006E211C" w14:paraId="0DCD2A29" w14:textId="77777777">
        <w:tblPrEx>
          <w:tblCellMar>
            <w:top w:w="0" w:type="dxa"/>
            <w:bottom w:w="0" w:type="dxa"/>
          </w:tblCellMar>
        </w:tblPrEx>
        <w:tc>
          <w:tcPr>
            <w:tcW w:w="2800" w:type="dxa"/>
            <w:shd w:val="clear" w:color="auto" w:fill="F5F5F5"/>
          </w:tcPr>
          <w:p w14:paraId="5B175D9E" w14:textId="77777777" w:rsidR="006E211C" w:rsidRDefault="00000000">
            <w:r>
              <w:rPr>
                <w:rFonts w:ascii="Arial Narrow" w:eastAsia="Arial Narrow" w:hAnsi="Arial Narrow" w:cs="Arial Narrow"/>
              </w:rPr>
              <w:t>Validierter Markt durch Conny</w:t>
            </w:r>
          </w:p>
        </w:tc>
        <w:tc>
          <w:tcPr>
            <w:tcW w:w="5500" w:type="dxa"/>
            <w:shd w:val="clear" w:color="auto" w:fill="F5F5F5"/>
          </w:tcPr>
          <w:p w14:paraId="2A6F6046" w14:textId="77777777" w:rsidR="006E211C" w:rsidRDefault="00000000">
            <w:r>
              <w:rPr>
                <w:rFonts w:ascii="Arial Narrow" w:eastAsia="Arial Narrow" w:hAnsi="Arial Narrow" w:cs="Arial Narrow"/>
              </w:rPr>
              <w:t>Conny hat mit über 500.000 bearbeiteten Fällen belegt, dass deutsche Mieter bereit sind, digitale Werkzeuge für mietrechtliche Themen zu nutzen.</w:t>
            </w:r>
          </w:p>
        </w:tc>
      </w:tr>
      <w:tr w:rsidR="006E211C" w14:paraId="77116476" w14:textId="77777777">
        <w:tblPrEx>
          <w:tblCellMar>
            <w:top w:w="0" w:type="dxa"/>
            <w:bottom w:w="0" w:type="dxa"/>
          </w:tblCellMar>
        </w:tblPrEx>
        <w:tc>
          <w:tcPr>
            <w:tcW w:w="2800" w:type="dxa"/>
            <w:shd w:val="clear" w:color="auto" w:fill="FFFFFF"/>
          </w:tcPr>
          <w:p w14:paraId="12D71A60" w14:textId="77777777" w:rsidR="006E211C" w:rsidRDefault="00000000">
            <w:r>
              <w:rPr>
                <w:rFonts w:ascii="Arial Narrow" w:eastAsia="Arial Narrow" w:hAnsi="Arial Narrow" w:cs="Arial Narrow"/>
              </w:rPr>
              <w:t>Stabiles Freemium-Erlösmodell</w:t>
            </w:r>
          </w:p>
        </w:tc>
        <w:tc>
          <w:tcPr>
            <w:tcW w:w="5500" w:type="dxa"/>
            <w:shd w:val="clear" w:color="auto" w:fill="FFFFFF"/>
          </w:tcPr>
          <w:p w14:paraId="611B802F" w14:textId="77777777" w:rsidR="006E211C" w:rsidRDefault="00000000">
            <w:r>
              <w:rPr>
                <w:rFonts w:ascii="Arial Narrow" w:eastAsia="Arial Narrow" w:hAnsi="Arial Narrow" w:cs="Arial Narrow"/>
              </w:rPr>
              <w:t>Upgrade-Angebot im Moment des konkreten Mehrwerts (Ergebnis sichtbar, Widerspruchsschreiben benötigt) ist ein bewährtes Muster mit hoher Konversionsrate.</w:t>
            </w:r>
          </w:p>
        </w:tc>
      </w:tr>
      <w:tr w:rsidR="006E211C" w14:paraId="516F2307" w14:textId="77777777">
        <w:tblPrEx>
          <w:tblCellMar>
            <w:top w:w="0" w:type="dxa"/>
            <w:bottom w:w="0" w:type="dxa"/>
          </w:tblCellMar>
        </w:tblPrEx>
        <w:tc>
          <w:tcPr>
            <w:tcW w:w="2800" w:type="dxa"/>
            <w:shd w:val="clear" w:color="auto" w:fill="F5F5F5"/>
          </w:tcPr>
          <w:p w14:paraId="7147F774" w14:textId="77777777" w:rsidR="006E211C" w:rsidRDefault="00000000">
            <w:r>
              <w:rPr>
                <w:rFonts w:ascii="Arial Narrow" w:eastAsia="Arial Narrow" w:hAnsi="Arial Narrow" w:cs="Arial Narrow"/>
              </w:rPr>
              <w:t>WAMOCON-Prüfkompetenz übertragbar</w:t>
            </w:r>
          </w:p>
        </w:tc>
        <w:tc>
          <w:tcPr>
            <w:tcW w:w="5500" w:type="dxa"/>
            <w:shd w:val="clear" w:color="auto" w:fill="F5F5F5"/>
          </w:tcPr>
          <w:p w14:paraId="70ED0F41" w14:textId="77777777" w:rsidR="006E211C" w:rsidRDefault="00000000">
            <w:r>
              <w:rPr>
                <w:rFonts w:ascii="Arial Narrow" w:eastAsia="Arial Narrow" w:hAnsi="Arial Narrow" w:cs="Arial Narrow"/>
              </w:rPr>
              <w:t xml:space="preserve">IT-Testmanagement ist strukturierte Qualitätsprüfung gegen Anforderungen. </w:t>
            </w:r>
            <w:proofErr w:type="spellStart"/>
            <w:r>
              <w:rPr>
                <w:rFonts w:ascii="Arial Narrow" w:eastAsia="Arial Narrow" w:hAnsi="Arial Narrow" w:cs="Arial Narrow"/>
              </w:rPr>
              <w:t>NebenkostenCheck</w:t>
            </w:r>
            <w:proofErr w:type="spellEnd"/>
            <w:r>
              <w:rPr>
                <w:rFonts w:ascii="Arial Narrow" w:eastAsia="Arial Narrow" w:hAnsi="Arial Narrow" w:cs="Arial Narrow"/>
              </w:rPr>
              <w:t xml:space="preserve"> ist strukturierte Prüfung einer Abrechnung gegen gesetzliche Anforderungen. Die Kernkompetenz in Prüflogik und Anforderungsmanagement ist direkt anwendbar.</w:t>
            </w:r>
          </w:p>
        </w:tc>
      </w:tr>
    </w:tbl>
    <w:p w14:paraId="2F9FAB78" w14:textId="77777777" w:rsidR="006E211C" w:rsidRDefault="006E211C">
      <w:pPr>
        <w:spacing w:after="120"/>
      </w:pPr>
    </w:p>
    <w:p w14:paraId="33342787" w14:textId="77777777" w:rsidR="00CD0B9A" w:rsidRDefault="00CD0B9A">
      <w:pPr>
        <w:rPr>
          <w:rFonts w:ascii="Arial Narrow" w:eastAsia="Arial Narrow" w:hAnsi="Arial Narrow" w:cs="Arial Narrow"/>
          <w:b/>
          <w:bCs/>
          <w:color w:val="333333"/>
          <w:sz w:val="26"/>
          <w:szCs w:val="26"/>
        </w:rPr>
      </w:pPr>
      <w:r>
        <w:rPr>
          <w:rFonts w:ascii="Arial Narrow" w:eastAsia="Arial Narrow" w:hAnsi="Arial Narrow" w:cs="Arial Narrow"/>
          <w:b/>
          <w:bCs/>
          <w:color w:val="333333"/>
          <w:sz w:val="26"/>
          <w:szCs w:val="26"/>
        </w:rPr>
        <w:br w:type="page"/>
      </w:r>
    </w:p>
    <w:p w14:paraId="1B81F1F6" w14:textId="7B6A2C58" w:rsidR="006E211C" w:rsidRDefault="00000000">
      <w:pPr>
        <w:spacing w:before="280" w:after="100"/>
      </w:pPr>
      <w:r>
        <w:rPr>
          <w:rFonts w:ascii="Arial Narrow" w:eastAsia="Arial Narrow" w:hAnsi="Arial Narrow" w:cs="Arial Narrow"/>
          <w:b/>
          <w:bCs/>
          <w:color w:val="333333"/>
          <w:sz w:val="26"/>
          <w:szCs w:val="26"/>
        </w:rPr>
        <w:lastRenderedPageBreak/>
        <w:t>8.2 Risiken</w:t>
      </w:r>
    </w:p>
    <w:p w14:paraId="632C3C43" w14:textId="77777777" w:rsidR="006E211C" w:rsidRDefault="006E211C">
      <w:pPr>
        <w:spacing w:after="12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900"/>
        <w:gridCol w:w="2900"/>
      </w:tblGrid>
      <w:tr w:rsidR="006E211C" w14:paraId="417023DB" w14:textId="77777777">
        <w:tblPrEx>
          <w:tblCellMar>
            <w:top w:w="0" w:type="dxa"/>
            <w:bottom w:w="0" w:type="dxa"/>
          </w:tblCellMar>
        </w:tblPrEx>
        <w:trPr>
          <w:tblHeader/>
        </w:trPr>
        <w:tc>
          <w:tcPr>
            <w:tcW w:w="2000" w:type="dxa"/>
            <w:shd w:val="clear" w:color="auto" w:fill="000000"/>
          </w:tcPr>
          <w:p w14:paraId="3310C4A3" w14:textId="77777777" w:rsidR="006E211C" w:rsidRDefault="00000000">
            <w:pPr>
              <w:jc w:val="center"/>
            </w:pPr>
            <w:r>
              <w:rPr>
                <w:rFonts w:ascii="Arial Narrow" w:eastAsia="Arial Narrow" w:hAnsi="Arial Narrow" w:cs="Arial Narrow"/>
                <w:b/>
                <w:bCs/>
                <w:color w:val="FFFFFF"/>
              </w:rPr>
              <w:t>Risiko</w:t>
            </w:r>
          </w:p>
        </w:tc>
        <w:tc>
          <w:tcPr>
            <w:tcW w:w="2900" w:type="dxa"/>
            <w:shd w:val="clear" w:color="auto" w:fill="000000"/>
          </w:tcPr>
          <w:p w14:paraId="25546314" w14:textId="77777777" w:rsidR="006E211C" w:rsidRDefault="00000000">
            <w:pPr>
              <w:jc w:val="center"/>
            </w:pPr>
            <w:r>
              <w:rPr>
                <w:rFonts w:ascii="Arial Narrow" w:eastAsia="Arial Narrow" w:hAnsi="Arial Narrow" w:cs="Arial Narrow"/>
                <w:b/>
                <w:bCs/>
                <w:color w:val="FFFFFF"/>
              </w:rPr>
              <w:t>Warum es eintreten kann</w:t>
            </w:r>
          </w:p>
        </w:tc>
        <w:tc>
          <w:tcPr>
            <w:tcW w:w="2900" w:type="dxa"/>
            <w:shd w:val="clear" w:color="auto" w:fill="000000"/>
          </w:tcPr>
          <w:p w14:paraId="3169C325" w14:textId="77777777" w:rsidR="006E211C" w:rsidRDefault="00000000">
            <w:pPr>
              <w:jc w:val="center"/>
            </w:pPr>
            <w:r>
              <w:rPr>
                <w:rFonts w:ascii="Arial Narrow" w:eastAsia="Arial Narrow" w:hAnsi="Arial Narrow" w:cs="Arial Narrow"/>
                <w:b/>
                <w:bCs/>
                <w:color w:val="FFFFFF"/>
              </w:rPr>
              <w:t>Gegenmaßnahme</w:t>
            </w:r>
          </w:p>
        </w:tc>
      </w:tr>
      <w:tr w:rsidR="006E211C" w14:paraId="31643B30" w14:textId="77777777">
        <w:tblPrEx>
          <w:tblCellMar>
            <w:top w:w="0" w:type="dxa"/>
            <w:bottom w:w="0" w:type="dxa"/>
          </w:tblCellMar>
        </w:tblPrEx>
        <w:tc>
          <w:tcPr>
            <w:tcW w:w="2000" w:type="dxa"/>
            <w:shd w:val="clear" w:color="auto" w:fill="FFFFFF"/>
          </w:tcPr>
          <w:p w14:paraId="061C51FE" w14:textId="77777777" w:rsidR="006E211C" w:rsidRDefault="00000000">
            <w:r>
              <w:rPr>
                <w:rFonts w:ascii="Arial Narrow" w:eastAsia="Arial Narrow" w:hAnsi="Arial Narrow" w:cs="Arial Narrow"/>
              </w:rPr>
              <w:t>RDG-Verstoß durch zu weitgehende Rechtsprüfung</w:t>
            </w:r>
          </w:p>
        </w:tc>
        <w:tc>
          <w:tcPr>
            <w:tcW w:w="2900" w:type="dxa"/>
            <w:shd w:val="clear" w:color="auto" w:fill="FFFFFF"/>
          </w:tcPr>
          <w:p w14:paraId="0782310D" w14:textId="77777777" w:rsidR="006E211C" w:rsidRDefault="00000000">
            <w:r>
              <w:rPr>
                <w:rFonts w:ascii="Arial Narrow" w:eastAsia="Arial Narrow" w:hAnsi="Arial Narrow" w:cs="Arial Narrow"/>
              </w:rPr>
              <w:t>Die Grenze zwischen Information und Rechtsberatung nach §2 RDG ist fließend. Eine Abmahnung durch eine Rechtsanwaltskammer ist möglich.</w:t>
            </w:r>
          </w:p>
        </w:tc>
        <w:tc>
          <w:tcPr>
            <w:tcW w:w="2900" w:type="dxa"/>
            <w:shd w:val="clear" w:color="auto" w:fill="FFFFFF"/>
          </w:tcPr>
          <w:p w14:paraId="28A086E8" w14:textId="77777777" w:rsidR="006E211C" w:rsidRDefault="00000000">
            <w:r>
              <w:rPr>
                <w:rFonts w:ascii="Arial Narrow" w:eastAsia="Arial Narrow" w:hAnsi="Arial Narrow" w:cs="Arial Narrow"/>
              </w:rPr>
              <w:t>Rechtliche Prüfung der Produktbeschreibung, aller Ergebnistexte und Disclaimer durch einen Fachanwalt für IT-Recht vor dem öffentlichen Launch.</w:t>
            </w:r>
          </w:p>
        </w:tc>
      </w:tr>
      <w:tr w:rsidR="006E211C" w14:paraId="6F3BAB7B" w14:textId="77777777">
        <w:tblPrEx>
          <w:tblCellMar>
            <w:top w:w="0" w:type="dxa"/>
            <w:bottom w:w="0" w:type="dxa"/>
          </w:tblCellMar>
        </w:tblPrEx>
        <w:tc>
          <w:tcPr>
            <w:tcW w:w="2000" w:type="dxa"/>
            <w:shd w:val="clear" w:color="auto" w:fill="F5F5F5"/>
          </w:tcPr>
          <w:p w14:paraId="6D3F7029" w14:textId="77777777" w:rsidR="006E211C" w:rsidRDefault="00000000">
            <w:r>
              <w:rPr>
                <w:rFonts w:ascii="Arial Narrow" w:eastAsia="Arial Narrow" w:hAnsi="Arial Narrow" w:cs="Arial Narrow"/>
              </w:rPr>
              <w:t>Einstieg von Conny oder Mieterbund in das Segment</w:t>
            </w:r>
          </w:p>
        </w:tc>
        <w:tc>
          <w:tcPr>
            <w:tcW w:w="2900" w:type="dxa"/>
            <w:shd w:val="clear" w:color="auto" w:fill="F5F5F5"/>
          </w:tcPr>
          <w:p w14:paraId="35BEB8ED" w14:textId="77777777" w:rsidR="006E211C" w:rsidRDefault="00000000">
            <w:r>
              <w:rPr>
                <w:rFonts w:ascii="Arial Narrow" w:eastAsia="Arial Narrow" w:hAnsi="Arial Narrow" w:cs="Arial Narrow"/>
              </w:rPr>
              <w:t>Conny hat die Infrastruktur und die Nutzerbasis. Ein Pivot in Richtung Nebenkostenprüfung wäre technisch realisierbar.</w:t>
            </w:r>
          </w:p>
        </w:tc>
        <w:tc>
          <w:tcPr>
            <w:tcW w:w="2900" w:type="dxa"/>
            <w:shd w:val="clear" w:color="auto" w:fill="F5F5F5"/>
          </w:tcPr>
          <w:p w14:paraId="70C92274" w14:textId="77777777" w:rsidR="006E211C" w:rsidRDefault="00000000">
            <w:r>
              <w:rPr>
                <w:rFonts w:ascii="Arial Narrow" w:eastAsia="Arial Narrow" w:hAnsi="Arial Narrow" w:cs="Arial Narrow"/>
              </w:rPr>
              <w:t>Schneller V1-Launch. Erste Nutzerbewertungen und Marktpräsenz aufbauen, bevor etablierte Akteure reagieren können.</w:t>
            </w:r>
          </w:p>
        </w:tc>
      </w:tr>
      <w:tr w:rsidR="006E211C" w14:paraId="11623AD1" w14:textId="77777777">
        <w:tblPrEx>
          <w:tblCellMar>
            <w:top w:w="0" w:type="dxa"/>
            <w:bottom w:w="0" w:type="dxa"/>
          </w:tblCellMar>
        </w:tblPrEx>
        <w:tc>
          <w:tcPr>
            <w:tcW w:w="2000" w:type="dxa"/>
            <w:shd w:val="clear" w:color="auto" w:fill="FFFFFF"/>
          </w:tcPr>
          <w:p w14:paraId="5F2E8AE3" w14:textId="77777777" w:rsidR="006E211C" w:rsidRDefault="00000000">
            <w:r>
              <w:rPr>
                <w:rFonts w:ascii="Arial Narrow" w:eastAsia="Arial Narrow" w:hAnsi="Arial Narrow" w:cs="Arial Narrow"/>
              </w:rPr>
              <w:t>Nutzer geben fehlerhafte Daten ein, erhalten falsche Ergebnisse</w:t>
            </w:r>
          </w:p>
        </w:tc>
        <w:tc>
          <w:tcPr>
            <w:tcW w:w="2900" w:type="dxa"/>
            <w:shd w:val="clear" w:color="auto" w:fill="FFFFFF"/>
          </w:tcPr>
          <w:p w14:paraId="17931463" w14:textId="77777777" w:rsidR="006E211C" w:rsidRDefault="00000000">
            <w:r>
              <w:rPr>
                <w:rFonts w:ascii="Arial Narrow" w:eastAsia="Arial Narrow" w:hAnsi="Arial Narrow" w:cs="Arial Narrow"/>
              </w:rPr>
              <w:t>Die Qualität des Ergebnisses hängt von der Eingabequalität ab. Falsche Ergebnisse können zu ungerechtfertigten Widersprüchen führen.</w:t>
            </w:r>
          </w:p>
        </w:tc>
        <w:tc>
          <w:tcPr>
            <w:tcW w:w="2900" w:type="dxa"/>
            <w:shd w:val="clear" w:color="auto" w:fill="FFFFFF"/>
          </w:tcPr>
          <w:p w14:paraId="0081DF5A" w14:textId="77777777" w:rsidR="006E211C" w:rsidRDefault="00000000">
            <w:r>
              <w:rPr>
                <w:rFonts w:ascii="Arial Narrow" w:eastAsia="Arial Narrow" w:hAnsi="Arial Narrow" w:cs="Arial Narrow"/>
              </w:rPr>
              <w:t>Plausibilitätsprüfungen im Eingabe-Assistenten. Deutliche Hinweise auf die Grenzen des Systems auf jeder Ergebnisseite.</w:t>
            </w:r>
          </w:p>
        </w:tc>
      </w:tr>
      <w:tr w:rsidR="006E211C" w14:paraId="32E5230D" w14:textId="77777777">
        <w:tblPrEx>
          <w:tblCellMar>
            <w:top w:w="0" w:type="dxa"/>
            <w:bottom w:w="0" w:type="dxa"/>
          </w:tblCellMar>
        </w:tblPrEx>
        <w:tc>
          <w:tcPr>
            <w:tcW w:w="2000" w:type="dxa"/>
            <w:shd w:val="clear" w:color="auto" w:fill="F5F5F5"/>
          </w:tcPr>
          <w:p w14:paraId="00772378" w14:textId="77777777" w:rsidR="006E211C" w:rsidRDefault="00000000">
            <w:r>
              <w:rPr>
                <w:rFonts w:ascii="Arial Narrow" w:eastAsia="Arial Narrow" w:hAnsi="Arial Narrow" w:cs="Arial Narrow"/>
              </w:rPr>
              <w:t>Änderung der BetrKV oder HKVO</w:t>
            </w:r>
          </w:p>
        </w:tc>
        <w:tc>
          <w:tcPr>
            <w:tcW w:w="2900" w:type="dxa"/>
            <w:shd w:val="clear" w:color="auto" w:fill="F5F5F5"/>
          </w:tcPr>
          <w:p w14:paraId="759872C4" w14:textId="77777777" w:rsidR="006E211C" w:rsidRDefault="00000000">
            <w:r>
              <w:rPr>
                <w:rFonts w:ascii="Arial Narrow" w:eastAsia="Arial Narrow" w:hAnsi="Arial Narrow" w:cs="Arial Narrow"/>
              </w:rPr>
              <w:t>Seltenes, aber mögliches Risiko. Rechtsänderungen erfordern Anpassungen der Prüflogik.</w:t>
            </w:r>
          </w:p>
        </w:tc>
        <w:tc>
          <w:tcPr>
            <w:tcW w:w="2900" w:type="dxa"/>
            <w:shd w:val="clear" w:color="auto" w:fill="F5F5F5"/>
          </w:tcPr>
          <w:p w14:paraId="7477CC4A" w14:textId="77777777" w:rsidR="006E211C" w:rsidRDefault="00000000">
            <w:r>
              <w:rPr>
                <w:rFonts w:ascii="Arial Narrow" w:eastAsia="Arial Narrow" w:hAnsi="Arial Narrow" w:cs="Arial Narrow"/>
              </w:rPr>
              <w:t>BetrKV-Liste und HKVO-Parameter als konfigurierbare Datenbankeinträge. Updates ohne Code-</w:t>
            </w:r>
            <w:proofErr w:type="spellStart"/>
            <w:r>
              <w:rPr>
                <w:rFonts w:ascii="Arial Narrow" w:eastAsia="Arial Narrow" w:hAnsi="Arial Narrow" w:cs="Arial Narrow"/>
              </w:rPr>
              <w:t>Deployment</w:t>
            </w:r>
            <w:proofErr w:type="spellEnd"/>
            <w:r>
              <w:rPr>
                <w:rFonts w:ascii="Arial Narrow" w:eastAsia="Arial Narrow" w:hAnsi="Arial Narrow" w:cs="Arial Narrow"/>
              </w:rPr>
              <w:t xml:space="preserve"> möglich.</w:t>
            </w:r>
          </w:p>
        </w:tc>
      </w:tr>
      <w:tr w:rsidR="006E211C" w14:paraId="5B9924E5" w14:textId="77777777">
        <w:tblPrEx>
          <w:tblCellMar>
            <w:top w:w="0" w:type="dxa"/>
            <w:bottom w:w="0" w:type="dxa"/>
          </w:tblCellMar>
        </w:tblPrEx>
        <w:tc>
          <w:tcPr>
            <w:tcW w:w="2000" w:type="dxa"/>
            <w:shd w:val="clear" w:color="auto" w:fill="FFFFFF"/>
          </w:tcPr>
          <w:p w14:paraId="1B7E806B" w14:textId="77777777" w:rsidR="006E211C" w:rsidRDefault="00000000">
            <w:r>
              <w:rPr>
                <w:rFonts w:ascii="Arial Narrow" w:eastAsia="Arial Narrow" w:hAnsi="Arial Narrow" w:cs="Arial Narrow"/>
              </w:rPr>
              <w:t>Geringe Free-zu-Pro-Konversionsrate</w:t>
            </w:r>
          </w:p>
        </w:tc>
        <w:tc>
          <w:tcPr>
            <w:tcW w:w="2900" w:type="dxa"/>
            <w:shd w:val="clear" w:color="auto" w:fill="FFFFFF"/>
          </w:tcPr>
          <w:p w14:paraId="5F11426A" w14:textId="77777777" w:rsidR="006E211C" w:rsidRDefault="00000000">
            <w:r>
              <w:rPr>
                <w:rFonts w:ascii="Arial Narrow" w:eastAsia="Arial Narrow" w:hAnsi="Arial Narrow" w:cs="Arial Narrow"/>
              </w:rPr>
              <w:t>Nutzer prüfen kostenlos, erhalten keine roten Ergebnisse und sehen keinen Grund für ein Upgrade.</w:t>
            </w:r>
          </w:p>
        </w:tc>
        <w:tc>
          <w:tcPr>
            <w:tcW w:w="2900" w:type="dxa"/>
            <w:shd w:val="clear" w:color="auto" w:fill="FFFFFF"/>
          </w:tcPr>
          <w:p w14:paraId="342DC988" w14:textId="77777777" w:rsidR="006E211C" w:rsidRDefault="00000000">
            <w:r>
              <w:rPr>
                <w:rFonts w:ascii="Arial Narrow" w:eastAsia="Arial Narrow" w:hAnsi="Arial Narrow" w:cs="Arial Narrow"/>
              </w:rPr>
              <w:t>Upgrade-Angebot erst dann, wenn Auffälligkeiten gefunden wurden. Konversionsmoment ist das Prüfergebnis, nicht das Onboarding.</w:t>
            </w:r>
          </w:p>
        </w:tc>
      </w:tr>
      <w:tr w:rsidR="006E211C" w14:paraId="2D580973" w14:textId="77777777">
        <w:tblPrEx>
          <w:tblCellMar>
            <w:top w:w="0" w:type="dxa"/>
            <w:bottom w:w="0" w:type="dxa"/>
          </w:tblCellMar>
        </w:tblPrEx>
        <w:tc>
          <w:tcPr>
            <w:tcW w:w="2000" w:type="dxa"/>
            <w:shd w:val="clear" w:color="auto" w:fill="F5F5F5"/>
          </w:tcPr>
          <w:p w14:paraId="1D2951C4" w14:textId="77777777" w:rsidR="006E211C" w:rsidRDefault="00000000">
            <w:r>
              <w:rPr>
                <w:rFonts w:ascii="Arial Narrow" w:eastAsia="Arial Narrow" w:hAnsi="Arial Narrow" w:cs="Arial Narrow"/>
              </w:rPr>
              <w:t>Fehlendes Domänenwissen im Verbraucher-Mietrecht</w:t>
            </w:r>
          </w:p>
        </w:tc>
        <w:tc>
          <w:tcPr>
            <w:tcW w:w="2900" w:type="dxa"/>
            <w:shd w:val="clear" w:color="auto" w:fill="F5F5F5"/>
          </w:tcPr>
          <w:p w14:paraId="5532873F" w14:textId="77777777" w:rsidR="006E211C" w:rsidRDefault="00000000">
            <w:r>
              <w:rPr>
                <w:rFonts w:ascii="Arial Narrow" w:eastAsia="Arial Narrow" w:hAnsi="Arial Narrow" w:cs="Arial Narrow"/>
              </w:rPr>
              <w:t>WAMOCON hat Kompetenz in IT-Testmanagement, nicht in Mietrecht. Fehler in der Prüflogik oder im Widerspruchsschreiben können zu Vertrauensverlust und rechtlichen Risiken führen.</w:t>
            </w:r>
          </w:p>
        </w:tc>
        <w:tc>
          <w:tcPr>
            <w:tcW w:w="2900" w:type="dxa"/>
            <w:shd w:val="clear" w:color="auto" w:fill="F5F5F5"/>
          </w:tcPr>
          <w:p w14:paraId="0E7B5AD3" w14:textId="77777777" w:rsidR="006E211C" w:rsidRDefault="00000000">
            <w:r>
              <w:rPr>
                <w:rFonts w:ascii="Arial Narrow" w:eastAsia="Arial Narrow" w:hAnsi="Arial Narrow" w:cs="Arial Narrow"/>
              </w:rPr>
              <w:t xml:space="preserve">Juristische Fachberatung durch Fachanwalt für Mietrecht vor dem Launch (geschätzt 1.500 bis 3.000 Euro, einmaliger Aufwand). Alle Prüftexte und </w:t>
            </w:r>
            <w:proofErr w:type="spellStart"/>
            <w:r>
              <w:rPr>
                <w:rFonts w:ascii="Arial Narrow" w:eastAsia="Arial Narrow" w:hAnsi="Arial Narrow" w:cs="Arial Narrow"/>
              </w:rPr>
              <w:t>Schreibenvorlagen</w:t>
            </w:r>
            <w:proofErr w:type="spellEnd"/>
            <w:r>
              <w:rPr>
                <w:rFonts w:ascii="Arial Narrow" w:eastAsia="Arial Narrow" w:hAnsi="Arial Narrow" w:cs="Arial Narrow"/>
              </w:rPr>
              <w:t xml:space="preserve"> juristisch abnehmen lassen.</w:t>
            </w:r>
          </w:p>
        </w:tc>
      </w:tr>
    </w:tbl>
    <w:p w14:paraId="32C375C8" w14:textId="77777777" w:rsidR="00CD0B9A" w:rsidRDefault="00CD0B9A">
      <w:pPr>
        <w:spacing w:before="400" w:after="160"/>
        <w:rPr>
          <w:rFonts w:ascii="Arial Narrow" w:eastAsia="Arial Narrow" w:hAnsi="Arial Narrow" w:cs="Arial Narrow"/>
          <w:b/>
          <w:bCs/>
          <w:color w:val="000000"/>
          <w:sz w:val="34"/>
          <w:szCs w:val="34"/>
        </w:rPr>
      </w:pPr>
    </w:p>
    <w:p w14:paraId="44DDCCE9" w14:textId="77777777" w:rsidR="00CD0B9A" w:rsidRDefault="00CD0B9A">
      <w:pPr>
        <w:rPr>
          <w:rFonts w:ascii="Arial Narrow" w:eastAsia="Arial Narrow" w:hAnsi="Arial Narrow" w:cs="Arial Narrow"/>
          <w:b/>
          <w:bCs/>
          <w:color w:val="000000"/>
          <w:sz w:val="34"/>
          <w:szCs w:val="34"/>
        </w:rPr>
      </w:pPr>
      <w:r>
        <w:rPr>
          <w:rFonts w:ascii="Arial Narrow" w:eastAsia="Arial Narrow" w:hAnsi="Arial Narrow" w:cs="Arial Narrow"/>
          <w:b/>
          <w:bCs/>
          <w:color w:val="000000"/>
          <w:sz w:val="34"/>
          <w:szCs w:val="34"/>
        </w:rPr>
        <w:br w:type="page"/>
      </w:r>
    </w:p>
    <w:p w14:paraId="597C56A4" w14:textId="0F8A39F3" w:rsidR="006E211C" w:rsidRDefault="00000000">
      <w:pPr>
        <w:spacing w:before="400" w:after="160"/>
      </w:pPr>
      <w:r>
        <w:rPr>
          <w:rFonts w:ascii="Arial Narrow" w:eastAsia="Arial Narrow" w:hAnsi="Arial Narrow" w:cs="Arial Narrow"/>
          <w:b/>
          <w:bCs/>
          <w:color w:val="000000"/>
          <w:sz w:val="34"/>
          <w:szCs w:val="34"/>
        </w:rPr>
        <w:lastRenderedPageBreak/>
        <w:t>9. Umsetzungsplan Version 1</w:t>
      </w:r>
    </w:p>
    <w:p w14:paraId="1214AFD7" w14:textId="77777777" w:rsidR="006E211C" w:rsidRDefault="00000000">
      <w:pPr>
        <w:spacing w:before="280" w:after="100"/>
      </w:pPr>
      <w:r>
        <w:rPr>
          <w:rFonts w:ascii="Arial Narrow" w:eastAsia="Arial Narrow" w:hAnsi="Arial Narrow" w:cs="Arial Narrow"/>
          <w:b/>
          <w:bCs/>
          <w:color w:val="333333"/>
          <w:sz w:val="26"/>
          <w:szCs w:val="26"/>
        </w:rPr>
        <w:t>9.1 Entwicklungsansatz</w:t>
      </w:r>
    </w:p>
    <w:p w14:paraId="3EAA91EA" w14:textId="77777777" w:rsidR="006E211C" w:rsidRDefault="00000000">
      <w:pPr>
        <w:spacing w:after="120"/>
      </w:pPr>
      <w:proofErr w:type="spellStart"/>
      <w:r>
        <w:rPr>
          <w:rFonts w:ascii="Arial Narrow" w:eastAsia="Arial Narrow" w:hAnsi="Arial Narrow" w:cs="Arial Narrow"/>
          <w:sz w:val="22"/>
          <w:szCs w:val="22"/>
        </w:rPr>
        <w:t>Technologiestack</w:t>
      </w:r>
      <w:proofErr w:type="spellEnd"/>
      <w:r>
        <w:rPr>
          <w:rFonts w:ascii="Arial Narrow" w:eastAsia="Arial Narrow" w:hAnsi="Arial Narrow" w:cs="Arial Narrow"/>
          <w:sz w:val="22"/>
          <w:szCs w:val="22"/>
        </w:rPr>
        <w:t xml:space="preserve">: Next.js 16 (App Router, </w:t>
      </w:r>
      <w:proofErr w:type="spellStart"/>
      <w:r>
        <w:rPr>
          <w:rFonts w:ascii="Arial Narrow" w:eastAsia="Arial Narrow" w:hAnsi="Arial Narrow" w:cs="Arial Narrow"/>
          <w:sz w:val="22"/>
          <w:szCs w:val="22"/>
        </w:rPr>
        <w:t>TypeScript</w:t>
      </w:r>
      <w:proofErr w:type="spellEnd"/>
      <w:r>
        <w:rPr>
          <w:rFonts w:ascii="Arial Narrow" w:eastAsia="Arial Narrow" w:hAnsi="Arial Narrow" w:cs="Arial Narrow"/>
          <w:sz w:val="22"/>
          <w:szCs w:val="22"/>
        </w:rPr>
        <w:t xml:space="preserve"> </w:t>
      </w:r>
      <w:proofErr w:type="spellStart"/>
      <w:r>
        <w:rPr>
          <w:rFonts w:ascii="Arial Narrow" w:eastAsia="Arial Narrow" w:hAnsi="Arial Narrow" w:cs="Arial Narrow"/>
          <w:sz w:val="22"/>
          <w:szCs w:val="22"/>
        </w:rPr>
        <w:t>strict</w:t>
      </w:r>
      <w:proofErr w:type="spellEnd"/>
      <w:r>
        <w:rPr>
          <w:rFonts w:ascii="Arial Narrow" w:eastAsia="Arial Narrow" w:hAnsi="Arial Narrow" w:cs="Arial Narrow"/>
          <w:sz w:val="22"/>
          <w:szCs w:val="22"/>
        </w:rPr>
        <w:t xml:space="preserve">, </w:t>
      </w:r>
      <w:proofErr w:type="spellStart"/>
      <w:r>
        <w:rPr>
          <w:rFonts w:ascii="Arial Narrow" w:eastAsia="Arial Narrow" w:hAnsi="Arial Narrow" w:cs="Arial Narrow"/>
          <w:sz w:val="22"/>
          <w:szCs w:val="22"/>
        </w:rPr>
        <w:t>Tailwind</w:t>
      </w:r>
      <w:proofErr w:type="spellEnd"/>
      <w:r>
        <w:rPr>
          <w:rFonts w:ascii="Arial Narrow" w:eastAsia="Arial Narrow" w:hAnsi="Arial Narrow" w:cs="Arial Narrow"/>
          <w:sz w:val="22"/>
          <w:szCs w:val="22"/>
        </w:rPr>
        <w:t xml:space="preserve"> CSS v4), </w:t>
      </w:r>
      <w:proofErr w:type="spellStart"/>
      <w:r>
        <w:rPr>
          <w:rFonts w:ascii="Arial Narrow" w:eastAsia="Arial Narrow" w:hAnsi="Arial Narrow" w:cs="Arial Narrow"/>
          <w:sz w:val="22"/>
          <w:szCs w:val="22"/>
        </w:rPr>
        <w:t>Supabase</w:t>
      </w:r>
      <w:proofErr w:type="spellEnd"/>
      <w:r>
        <w:rPr>
          <w:rFonts w:ascii="Arial Narrow" w:eastAsia="Arial Narrow" w:hAnsi="Arial Narrow" w:cs="Arial Narrow"/>
          <w:sz w:val="22"/>
          <w:szCs w:val="22"/>
        </w:rPr>
        <w:t xml:space="preserve"> (PostgreSQL, Auth, Row Level Security, EU-Region), </w:t>
      </w:r>
      <w:proofErr w:type="spellStart"/>
      <w:r>
        <w:rPr>
          <w:rFonts w:ascii="Arial Narrow" w:eastAsia="Arial Narrow" w:hAnsi="Arial Narrow" w:cs="Arial Narrow"/>
          <w:sz w:val="22"/>
          <w:szCs w:val="22"/>
        </w:rPr>
        <w:t>react-pdf</w:t>
      </w:r>
      <w:proofErr w:type="spellEnd"/>
      <w:r>
        <w:rPr>
          <w:rFonts w:ascii="Arial Narrow" w:eastAsia="Arial Narrow" w:hAnsi="Arial Narrow" w:cs="Arial Narrow"/>
          <w:sz w:val="22"/>
          <w:szCs w:val="22"/>
        </w:rPr>
        <w:t xml:space="preserve"> für serverseitige PDF-Generierung, </w:t>
      </w:r>
      <w:proofErr w:type="spellStart"/>
      <w:r>
        <w:rPr>
          <w:rFonts w:ascii="Arial Narrow" w:eastAsia="Arial Narrow" w:hAnsi="Arial Narrow" w:cs="Arial Narrow"/>
          <w:sz w:val="22"/>
          <w:szCs w:val="22"/>
        </w:rPr>
        <w:t>Vercel</w:t>
      </w:r>
      <w:proofErr w:type="spellEnd"/>
      <w:r>
        <w:rPr>
          <w:rFonts w:ascii="Arial Narrow" w:eastAsia="Arial Narrow" w:hAnsi="Arial Narrow" w:cs="Arial Narrow"/>
          <w:sz w:val="22"/>
          <w:szCs w:val="22"/>
        </w:rPr>
        <w:t xml:space="preserve"> (Hosting), </w:t>
      </w:r>
      <w:proofErr w:type="spellStart"/>
      <w:r>
        <w:rPr>
          <w:rFonts w:ascii="Arial Narrow" w:eastAsia="Arial Narrow" w:hAnsi="Arial Narrow" w:cs="Arial Narrow"/>
          <w:sz w:val="22"/>
          <w:szCs w:val="22"/>
        </w:rPr>
        <w:t>next-intl</w:t>
      </w:r>
      <w:proofErr w:type="spellEnd"/>
      <w:r>
        <w:rPr>
          <w:rFonts w:ascii="Arial Narrow" w:eastAsia="Arial Narrow" w:hAnsi="Arial Narrow" w:cs="Arial Narrow"/>
          <w:sz w:val="22"/>
          <w:szCs w:val="22"/>
        </w:rPr>
        <w:t xml:space="preserve"> (Deutsch und Englisch).</w:t>
      </w:r>
    </w:p>
    <w:p w14:paraId="30AC8A70" w14:textId="77777777" w:rsidR="006E211C" w:rsidRDefault="00000000">
      <w:pPr>
        <w:spacing w:after="120"/>
      </w:pPr>
      <w:r>
        <w:rPr>
          <w:rFonts w:ascii="Arial Narrow" w:eastAsia="Arial Narrow" w:hAnsi="Arial Narrow" w:cs="Arial Narrow"/>
          <w:sz w:val="22"/>
          <w:szCs w:val="22"/>
        </w:rPr>
        <w:t>Entwicklungswerkzeug: GitHub Copilot schreibt den Großteil des Codes, der Entwickler reviewt und korrigiert. Das reduziert die reine Coding-Zeit auf ca. 40% gegenüber manueller Entwicklung und ermöglicht den 5-Tage-Plan.</w:t>
      </w:r>
    </w:p>
    <w:p w14:paraId="6647A8A7" w14:textId="77777777" w:rsidR="006E211C" w:rsidRDefault="00000000">
      <w:pPr>
        <w:spacing w:after="120"/>
      </w:pPr>
      <w:r>
        <w:rPr>
          <w:rFonts w:ascii="Arial Narrow" w:eastAsia="Arial Narrow" w:hAnsi="Arial Narrow" w:cs="Arial Narrow"/>
          <w:sz w:val="22"/>
          <w:szCs w:val="22"/>
        </w:rPr>
        <w:t>Teamstruktur: Einzelentwickler mit GitHub Copilot als Pair-</w:t>
      </w:r>
      <w:proofErr w:type="spellStart"/>
      <w:r>
        <w:rPr>
          <w:rFonts w:ascii="Arial Narrow" w:eastAsia="Arial Narrow" w:hAnsi="Arial Narrow" w:cs="Arial Narrow"/>
          <w:sz w:val="22"/>
          <w:szCs w:val="22"/>
        </w:rPr>
        <w:t>Programmer</w:t>
      </w:r>
      <w:proofErr w:type="spellEnd"/>
      <w:r>
        <w:rPr>
          <w:rFonts w:ascii="Arial Narrow" w:eastAsia="Arial Narrow" w:hAnsi="Arial Narrow" w:cs="Arial Narrow"/>
          <w:sz w:val="22"/>
          <w:szCs w:val="22"/>
        </w:rPr>
        <w:t>. Die BetrKV-Kategorienliste und die HKVO-Parameter werden als konfigurierbare Datenbankeinträge angelegt, sodass Rechtsänderungen später ohne Code-</w:t>
      </w:r>
      <w:proofErr w:type="spellStart"/>
      <w:r>
        <w:rPr>
          <w:rFonts w:ascii="Arial Narrow" w:eastAsia="Arial Narrow" w:hAnsi="Arial Narrow" w:cs="Arial Narrow"/>
          <w:sz w:val="22"/>
          <w:szCs w:val="22"/>
        </w:rPr>
        <w:t>Deployment</w:t>
      </w:r>
      <w:proofErr w:type="spellEnd"/>
      <w:r>
        <w:rPr>
          <w:rFonts w:ascii="Arial Narrow" w:eastAsia="Arial Narrow" w:hAnsi="Arial Narrow" w:cs="Arial Narrow"/>
          <w:sz w:val="22"/>
          <w:szCs w:val="22"/>
        </w:rPr>
        <w:t xml:space="preserve"> eingebaut werden können. Voraussetzung: juristische Fachberatung zum BetrKV-Prüfkatalog und zu den Widerspruchsschreiben-Texten ist vor Tag 3 abgeschlossen.</w:t>
      </w:r>
    </w:p>
    <w:p w14:paraId="661DF0D2" w14:textId="77777777" w:rsidR="006E211C" w:rsidRDefault="00000000">
      <w:pPr>
        <w:spacing w:before="280" w:after="100"/>
      </w:pPr>
      <w:r>
        <w:rPr>
          <w:rFonts w:ascii="Arial Narrow" w:eastAsia="Arial Narrow" w:hAnsi="Arial Narrow" w:cs="Arial Narrow"/>
          <w:b/>
          <w:bCs/>
          <w:color w:val="333333"/>
          <w:sz w:val="26"/>
          <w:szCs w:val="26"/>
        </w:rPr>
        <w:t>9.2 Technologie-Stack</w:t>
      </w:r>
    </w:p>
    <w:p w14:paraId="25ACA68C" w14:textId="77777777" w:rsidR="006E211C" w:rsidRDefault="006E211C">
      <w:pPr>
        <w:spacing w:after="120"/>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800"/>
      </w:tblGrid>
      <w:tr w:rsidR="006E211C" w14:paraId="6848D0DD" w14:textId="77777777">
        <w:tblPrEx>
          <w:tblCellMar>
            <w:top w:w="0" w:type="dxa"/>
            <w:bottom w:w="0" w:type="dxa"/>
          </w:tblCellMar>
        </w:tblPrEx>
        <w:trPr>
          <w:tblHeader/>
        </w:trPr>
        <w:tc>
          <w:tcPr>
            <w:tcW w:w="2500" w:type="dxa"/>
            <w:shd w:val="clear" w:color="auto" w:fill="000000"/>
          </w:tcPr>
          <w:p w14:paraId="6B7DFECE" w14:textId="77777777" w:rsidR="006E211C" w:rsidRDefault="00000000">
            <w:pPr>
              <w:jc w:val="center"/>
            </w:pPr>
            <w:r>
              <w:rPr>
                <w:rFonts w:ascii="Arial Narrow" w:eastAsia="Arial Narrow" w:hAnsi="Arial Narrow" w:cs="Arial Narrow"/>
                <w:b/>
                <w:bCs/>
                <w:color w:val="FFFFFF"/>
              </w:rPr>
              <w:t>Schicht</w:t>
            </w:r>
          </w:p>
        </w:tc>
        <w:tc>
          <w:tcPr>
            <w:tcW w:w="5800" w:type="dxa"/>
            <w:shd w:val="clear" w:color="auto" w:fill="000000"/>
          </w:tcPr>
          <w:p w14:paraId="5BA51CA5" w14:textId="77777777" w:rsidR="006E211C" w:rsidRDefault="00000000">
            <w:pPr>
              <w:jc w:val="center"/>
            </w:pPr>
            <w:r>
              <w:rPr>
                <w:rFonts w:ascii="Arial Narrow" w:eastAsia="Arial Narrow" w:hAnsi="Arial Narrow" w:cs="Arial Narrow"/>
                <w:b/>
                <w:bCs/>
                <w:color w:val="FFFFFF"/>
              </w:rPr>
              <w:t>Technologie und Begründung</w:t>
            </w:r>
          </w:p>
        </w:tc>
      </w:tr>
      <w:tr w:rsidR="006E211C" w14:paraId="173CA8BD" w14:textId="77777777">
        <w:tblPrEx>
          <w:tblCellMar>
            <w:top w:w="0" w:type="dxa"/>
            <w:bottom w:w="0" w:type="dxa"/>
          </w:tblCellMar>
        </w:tblPrEx>
        <w:tc>
          <w:tcPr>
            <w:tcW w:w="2500" w:type="dxa"/>
            <w:shd w:val="clear" w:color="auto" w:fill="FFFFFF"/>
          </w:tcPr>
          <w:p w14:paraId="4C818FD7" w14:textId="77777777" w:rsidR="006E211C" w:rsidRDefault="00000000">
            <w:r>
              <w:rPr>
                <w:rFonts w:ascii="Arial Narrow" w:eastAsia="Arial Narrow" w:hAnsi="Arial Narrow" w:cs="Arial Narrow"/>
              </w:rPr>
              <w:t>Frontend</w:t>
            </w:r>
          </w:p>
        </w:tc>
        <w:tc>
          <w:tcPr>
            <w:tcW w:w="5800" w:type="dxa"/>
            <w:shd w:val="clear" w:color="auto" w:fill="FFFFFF"/>
          </w:tcPr>
          <w:p w14:paraId="217817FA" w14:textId="77777777" w:rsidR="006E211C" w:rsidRDefault="00000000">
            <w:r>
              <w:rPr>
                <w:rFonts w:ascii="Arial Narrow" w:eastAsia="Arial Narrow" w:hAnsi="Arial Narrow" w:cs="Arial Narrow"/>
              </w:rPr>
              <w:t xml:space="preserve">Next.js 16 (App Router), React, </w:t>
            </w:r>
            <w:proofErr w:type="spellStart"/>
            <w:r>
              <w:rPr>
                <w:rFonts w:ascii="Arial Narrow" w:eastAsia="Arial Narrow" w:hAnsi="Arial Narrow" w:cs="Arial Narrow"/>
              </w:rPr>
              <w:t>TypeScript</w:t>
            </w:r>
            <w:proofErr w:type="spellEnd"/>
            <w:r>
              <w:rPr>
                <w:rFonts w:ascii="Arial Narrow" w:eastAsia="Arial Narrow" w:hAnsi="Arial Narrow" w:cs="Arial Narrow"/>
              </w:rPr>
              <w:t>. Serverseitiges Rendering, App-Router-Architektur für optimale Performance und SEO-Tauglichkeit.</w:t>
            </w:r>
          </w:p>
        </w:tc>
      </w:tr>
      <w:tr w:rsidR="006E211C" w14:paraId="182365FF" w14:textId="77777777">
        <w:tblPrEx>
          <w:tblCellMar>
            <w:top w:w="0" w:type="dxa"/>
            <w:bottom w:w="0" w:type="dxa"/>
          </w:tblCellMar>
        </w:tblPrEx>
        <w:tc>
          <w:tcPr>
            <w:tcW w:w="2500" w:type="dxa"/>
            <w:shd w:val="clear" w:color="auto" w:fill="F5F5F5"/>
          </w:tcPr>
          <w:p w14:paraId="0D22291D" w14:textId="77777777" w:rsidR="006E211C" w:rsidRDefault="00000000">
            <w:r>
              <w:rPr>
                <w:rFonts w:ascii="Arial Narrow" w:eastAsia="Arial Narrow" w:hAnsi="Arial Narrow" w:cs="Arial Narrow"/>
              </w:rPr>
              <w:t>Styling</w:t>
            </w:r>
          </w:p>
        </w:tc>
        <w:tc>
          <w:tcPr>
            <w:tcW w:w="5800" w:type="dxa"/>
            <w:shd w:val="clear" w:color="auto" w:fill="F5F5F5"/>
          </w:tcPr>
          <w:p w14:paraId="728FF7D4" w14:textId="77777777" w:rsidR="006E211C" w:rsidRDefault="00000000">
            <w:proofErr w:type="spellStart"/>
            <w:r>
              <w:rPr>
                <w:rFonts w:ascii="Arial Narrow" w:eastAsia="Arial Narrow" w:hAnsi="Arial Narrow" w:cs="Arial Narrow"/>
              </w:rPr>
              <w:t>Tailwind</w:t>
            </w:r>
            <w:proofErr w:type="spellEnd"/>
            <w:r>
              <w:rPr>
                <w:rFonts w:ascii="Arial Narrow" w:eastAsia="Arial Narrow" w:hAnsi="Arial Narrow" w:cs="Arial Narrow"/>
              </w:rPr>
              <w:t xml:space="preserve"> CSS v4. Utility-First, Dark-Mode-Support integriert.</w:t>
            </w:r>
          </w:p>
        </w:tc>
      </w:tr>
      <w:tr w:rsidR="006E211C" w14:paraId="45233F9E" w14:textId="77777777">
        <w:tblPrEx>
          <w:tblCellMar>
            <w:top w:w="0" w:type="dxa"/>
            <w:bottom w:w="0" w:type="dxa"/>
          </w:tblCellMar>
        </w:tblPrEx>
        <w:tc>
          <w:tcPr>
            <w:tcW w:w="2500" w:type="dxa"/>
            <w:shd w:val="clear" w:color="auto" w:fill="FFFFFF"/>
          </w:tcPr>
          <w:p w14:paraId="210CA35B" w14:textId="77777777" w:rsidR="006E211C" w:rsidRDefault="00000000">
            <w:r>
              <w:rPr>
                <w:rFonts w:ascii="Arial Narrow" w:eastAsia="Arial Narrow" w:hAnsi="Arial Narrow" w:cs="Arial Narrow"/>
              </w:rPr>
              <w:t>Backend und Datenbank</w:t>
            </w:r>
          </w:p>
        </w:tc>
        <w:tc>
          <w:tcPr>
            <w:tcW w:w="5800" w:type="dxa"/>
            <w:shd w:val="clear" w:color="auto" w:fill="FFFFFF"/>
          </w:tcPr>
          <w:p w14:paraId="7CE3AAFA" w14:textId="77777777" w:rsidR="006E211C" w:rsidRDefault="00000000">
            <w:proofErr w:type="spellStart"/>
            <w:r>
              <w:rPr>
                <w:rFonts w:ascii="Arial Narrow" w:eastAsia="Arial Narrow" w:hAnsi="Arial Narrow" w:cs="Arial Narrow"/>
              </w:rPr>
              <w:t>Supabase</w:t>
            </w:r>
            <w:proofErr w:type="spellEnd"/>
            <w:r>
              <w:rPr>
                <w:rFonts w:ascii="Arial Narrow" w:eastAsia="Arial Narrow" w:hAnsi="Arial Narrow" w:cs="Arial Narrow"/>
              </w:rPr>
              <w:t xml:space="preserve"> (PostgreSQL, Row Level Security für Nutzerdatentrennung, Authentifizierung integriert). EU-Server wählbar.</w:t>
            </w:r>
          </w:p>
        </w:tc>
      </w:tr>
      <w:tr w:rsidR="006E211C" w14:paraId="0CDE049B" w14:textId="77777777">
        <w:tblPrEx>
          <w:tblCellMar>
            <w:top w:w="0" w:type="dxa"/>
            <w:bottom w:w="0" w:type="dxa"/>
          </w:tblCellMar>
        </w:tblPrEx>
        <w:tc>
          <w:tcPr>
            <w:tcW w:w="2500" w:type="dxa"/>
            <w:shd w:val="clear" w:color="auto" w:fill="F5F5F5"/>
          </w:tcPr>
          <w:p w14:paraId="744C618B" w14:textId="77777777" w:rsidR="006E211C" w:rsidRDefault="00000000">
            <w:r>
              <w:rPr>
                <w:rFonts w:ascii="Arial Narrow" w:eastAsia="Arial Narrow" w:hAnsi="Arial Narrow" w:cs="Arial Narrow"/>
              </w:rPr>
              <w:t>Mehrsprachigkeit</w:t>
            </w:r>
          </w:p>
        </w:tc>
        <w:tc>
          <w:tcPr>
            <w:tcW w:w="5800" w:type="dxa"/>
            <w:shd w:val="clear" w:color="auto" w:fill="F5F5F5"/>
          </w:tcPr>
          <w:p w14:paraId="314706D6" w14:textId="77777777" w:rsidR="006E211C" w:rsidRDefault="00000000">
            <w:proofErr w:type="spellStart"/>
            <w:r>
              <w:rPr>
                <w:rFonts w:ascii="Arial Narrow" w:eastAsia="Arial Narrow" w:hAnsi="Arial Narrow" w:cs="Arial Narrow"/>
              </w:rPr>
              <w:t>next-intl</w:t>
            </w:r>
            <w:proofErr w:type="spellEnd"/>
            <w:r>
              <w:rPr>
                <w:rFonts w:ascii="Arial Narrow" w:eastAsia="Arial Narrow" w:hAnsi="Arial Narrow" w:cs="Arial Narrow"/>
              </w:rPr>
              <w:t xml:space="preserve"> für App Router. Übersetzungen in JSON-Dateien (</w:t>
            </w:r>
            <w:proofErr w:type="spellStart"/>
            <w:r>
              <w:rPr>
                <w:rFonts w:ascii="Arial Narrow" w:eastAsia="Arial Narrow" w:hAnsi="Arial Narrow" w:cs="Arial Narrow"/>
              </w:rPr>
              <w:t>de.json</w:t>
            </w:r>
            <w:proofErr w:type="spellEnd"/>
            <w:r>
              <w:rPr>
                <w:rFonts w:ascii="Arial Narrow" w:eastAsia="Arial Narrow" w:hAnsi="Arial Narrow" w:cs="Arial Narrow"/>
              </w:rPr>
              <w:t xml:space="preserve">, </w:t>
            </w:r>
            <w:proofErr w:type="spellStart"/>
            <w:r>
              <w:rPr>
                <w:rFonts w:ascii="Arial Narrow" w:eastAsia="Arial Narrow" w:hAnsi="Arial Narrow" w:cs="Arial Narrow"/>
              </w:rPr>
              <w:t>en.json</w:t>
            </w:r>
            <w:proofErr w:type="spellEnd"/>
            <w:r>
              <w:rPr>
                <w:rFonts w:ascii="Arial Narrow" w:eastAsia="Arial Narrow" w:hAnsi="Arial Narrow" w:cs="Arial Narrow"/>
              </w:rPr>
              <w:t>).</w:t>
            </w:r>
          </w:p>
        </w:tc>
      </w:tr>
      <w:tr w:rsidR="006E211C" w14:paraId="10D76ABD" w14:textId="77777777">
        <w:tblPrEx>
          <w:tblCellMar>
            <w:top w:w="0" w:type="dxa"/>
            <w:bottom w:w="0" w:type="dxa"/>
          </w:tblCellMar>
        </w:tblPrEx>
        <w:tc>
          <w:tcPr>
            <w:tcW w:w="2500" w:type="dxa"/>
            <w:shd w:val="clear" w:color="auto" w:fill="FFFFFF"/>
          </w:tcPr>
          <w:p w14:paraId="3C635F03" w14:textId="77777777" w:rsidR="006E211C" w:rsidRDefault="00000000">
            <w:r>
              <w:rPr>
                <w:rFonts w:ascii="Arial Narrow" w:eastAsia="Arial Narrow" w:hAnsi="Arial Narrow" w:cs="Arial Narrow"/>
              </w:rPr>
              <w:t>PDF-Generierung</w:t>
            </w:r>
          </w:p>
        </w:tc>
        <w:tc>
          <w:tcPr>
            <w:tcW w:w="5800" w:type="dxa"/>
            <w:shd w:val="clear" w:color="auto" w:fill="FFFFFF"/>
          </w:tcPr>
          <w:p w14:paraId="4B40D27A" w14:textId="77777777" w:rsidR="006E211C" w:rsidRDefault="00000000">
            <w:proofErr w:type="spellStart"/>
            <w:r>
              <w:rPr>
                <w:rFonts w:ascii="Arial Narrow" w:eastAsia="Arial Narrow" w:hAnsi="Arial Narrow" w:cs="Arial Narrow"/>
              </w:rPr>
              <w:t>react-pdf</w:t>
            </w:r>
            <w:proofErr w:type="spellEnd"/>
            <w:r>
              <w:rPr>
                <w:rFonts w:ascii="Arial Narrow" w:eastAsia="Arial Narrow" w:hAnsi="Arial Narrow" w:cs="Arial Narrow"/>
              </w:rPr>
              <w:t>. Serverseitige Generierung für konsistentes Layout des Widerspruchsschreibens und des Prüfberichts.</w:t>
            </w:r>
          </w:p>
        </w:tc>
      </w:tr>
      <w:tr w:rsidR="006E211C" w14:paraId="4A036C8C" w14:textId="77777777">
        <w:tblPrEx>
          <w:tblCellMar>
            <w:top w:w="0" w:type="dxa"/>
            <w:bottom w:w="0" w:type="dxa"/>
          </w:tblCellMar>
        </w:tblPrEx>
        <w:tc>
          <w:tcPr>
            <w:tcW w:w="2500" w:type="dxa"/>
            <w:shd w:val="clear" w:color="auto" w:fill="F5F5F5"/>
          </w:tcPr>
          <w:p w14:paraId="33269506" w14:textId="77777777" w:rsidR="006E211C" w:rsidRDefault="00000000">
            <w:proofErr w:type="spellStart"/>
            <w:r>
              <w:rPr>
                <w:rFonts w:ascii="Arial Narrow" w:eastAsia="Arial Narrow" w:hAnsi="Arial Narrow" w:cs="Arial Narrow"/>
              </w:rPr>
              <w:t>Deployment</w:t>
            </w:r>
            <w:proofErr w:type="spellEnd"/>
          </w:p>
        </w:tc>
        <w:tc>
          <w:tcPr>
            <w:tcW w:w="5800" w:type="dxa"/>
            <w:shd w:val="clear" w:color="auto" w:fill="F5F5F5"/>
          </w:tcPr>
          <w:p w14:paraId="6A2FE224" w14:textId="77777777" w:rsidR="006E211C" w:rsidRDefault="00000000">
            <w:proofErr w:type="spellStart"/>
            <w:r>
              <w:rPr>
                <w:rFonts w:ascii="Arial Narrow" w:eastAsia="Arial Narrow" w:hAnsi="Arial Narrow" w:cs="Arial Narrow"/>
              </w:rPr>
              <w:t>Vercel</w:t>
            </w:r>
            <w:proofErr w:type="spellEnd"/>
            <w:r>
              <w:rPr>
                <w:rFonts w:ascii="Arial Narrow" w:eastAsia="Arial Narrow" w:hAnsi="Arial Narrow" w:cs="Arial Narrow"/>
              </w:rPr>
              <w:t xml:space="preserve"> (EU-Region). Automatisches </w:t>
            </w:r>
            <w:proofErr w:type="spellStart"/>
            <w:r>
              <w:rPr>
                <w:rFonts w:ascii="Arial Narrow" w:eastAsia="Arial Narrow" w:hAnsi="Arial Narrow" w:cs="Arial Narrow"/>
              </w:rPr>
              <w:t>Deployment</w:t>
            </w:r>
            <w:proofErr w:type="spellEnd"/>
            <w:r>
              <w:rPr>
                <w:rFonts w:ascii="Arial Narrow" w:eastAsia="Arial Narrow" w:hAnsi="Arial Narrow" w:cs="Arial Narrow"/>
              </w:rPr>
              <w:t xml:space="preserve"> aus GitHub, skaliert ohne manuelle Konfiguration.</w:t>
            </w:r>
          </w:p>
        </w:tc>
      </w:tr>
      <w:tr w:rsidR="006E211C" w14:paraId="1380A552" w14:textId="77777777">
        <w:tblPrEx>
          <w:tblCellMar>
            <w:top w:w="0" w:type="dxa"/>
            <w:bottom w:w="0" w:type="dxa"/>
          </w:tblCellMar>
        </w:tblPrEx>
        <w:tc>
          <w:tcPr>
            <w:tcW w:w="2500" w:type="dxa"/>
            <w:shd w:val="clear" w:color="auto" w:fill="FFFFFF"/>
          </w:tcPr>
          <w:p w14:paraId="00681F2A" w14:textId="77777777" w:rsidR="006E211C" w:rsidRDefault="00000000">
            <w:r>
              <w:rPr>
                <w:rFonts w:ascii="Arial Narrow" w:eastAsia="Arial Narrow" w:hAnsi="Arial Narrow" w:cs="Arial Narrow"/>
              </w:rPr>
              <w:t>Entwicklungswerkzeug</w:t>
            </w:r>
          </w:p>
        </w:tc>
        <w:tc>
          <w:tcPr>
            <w:tcW w:w="5800" w:type="dxa"/>
            <w:shd w:val="clear" w:color="auto" w:fill="FFFFFF"/>
          </w:tcPr>
          <w:p w14:paraId="35803BBE" w14:textId="77777777" w:rsidR="006E211C" w:rsidRDefault="00000000">
            <w:r>
              <w:rPr>
                <w:rFonts w:ascii="Arial Narrow" w:eastAsia="Arial Narrow" w:hAnsi="Arial Narrow" w:cs="Arial Narrow"/>
              </w:rPr>
              <w:t>GitHub Copilot. Schreibt den Großteil des Codes; Entwickler reviewt und korrigiert.</w:t>
            </w:r>
          </w:p>
        </w:tc>
      </w:tr>
    </w:tbl>
    <w:p w14:paraId="4952EC9E" w14:textId="77777777" w:rsidR="006E211C" w:rsidRDefault="006E211C">
      <w:pPr>
        <w:spacing w:after="120"/>
      </w:pPr>
    </w:p>
    <w:p w14:paraId="0D4C3B39" w14:textId="77777777" w:rsidR="006E211C" w:rsidRDefault="00000000">
      <w:pPr>
        <w:spacing w:before="280" w:after="100"/>
      </w:pPr>
      <w:r>
        <w:rPr>
          <w:rFonts w:ascii="Arial Narrow" w:eastAsia="Arial Narrow" w:hAnsi="Arial Narrow" w:cs="Arial Narrow"/>
          <w:b/>
          <w:bCs/>
          <w:color w:val="333333"/>
          <w:sz w:val="26"/>
          <w:szCs w:val="26"/>
        </w:rPr>
        <w:t>9.3 Umsetzungsplan 5 Werktage</w:t>
      </w:r>
    </w:p>
    <w:p w14:paraId="4088BAAC" w14:textId="77777777" w:rsidR="006E211C" w:rsidRDefault="006E211C">
      <w:pPr>
        <w:spacing w:after="12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6"/>
        <w:gridCol w:w="1734"/>
        <w:gridCol w:w="4700"/>
      </w:tblGrid>
      <w:tr w:rsidR="006E211C" w14:paraId="1C0F097E" w14:textId="77777777">
        <w:tblPrEx>
          <w:tblCellMar>
            <w:top w:w="0" w:type="dxa"/>
            <w:bottom w:w="0" w:type="dxa"/>
          </w:tblCellMar>
        </w:tblPrEx>
        <w:trPr>
          <w:tblHeader/>
        </w:trPr>
        <w:tc>
          <w:tcPr>
            <w:tcW w:w="1400" w:type="dxa"/>
            <w:shd w:val="clear" w:color="auto" w:fill="000000"/>
          </w:tcPr>
          <w:p w14:paraId="586E1E77" w14:textId="77777777" w:rsidR="006E211C" w:rsidRDefault="00000000">
            <w:pPr>
              <w:jc w:val="center"/>
            </w:pPr>
            <w:r>
              <w:rPr>
                <w:rFonts w:ascii="Arial Narrow" w:eastAsia="Arial Narrow" w:hAnsi="Arial Narrow" w:cs="Arial Narrow"/>
                <w:b/>
                <w:bCs/>
                <w:color w:val="FFFFFF"/>
              </w:rPr>
              <w:t>Tag</w:t>
            </w:r>
          </w:p>
        </w:tc>
        <w:tc>
          <w:tcPr>
            <w:tcW w:w="1600" w:type="dxa"/>
            <w:shd w:val="clear" w:color="auto" w:fill="000000"/>
          </w:tcPr>
          <w:p w14:paraId="1393AE19" w14:textId="77777777" w:rsidR="006E211C" w:rsidRDefault="00000000">
            <w:pPr>
              <w:jc w:val="center"/>
            </w:pPr>
            <w:r>
              <w:rPr>
                <w:rFonts w:ascii="Arial Narrow" w:eastAsia="Arial Narrow" w:hAnsi="Arial Narrow" w:cs="Arial Narrow"/>
                <w:b/>
                <w:bCs/>
                <w:color w:val="FFFFFF"/>
              </w:rPr>
              <w:t>Fokus</w:t>
            </w:r>
          </w:p>
        </w:tc>
        <w:tc>
          <w:tcPr>
            <w:tcW w:w="4800" w:type="dxa"/>
            <w:shd w:val="clear" w:color="auto" w:fill="000000"/>
          </w:tcPr>
          <w:p w14:paraId="238ABA05" w14:textId="77777777" w:rsidR="006E211C" w:rsidRDefault="00000000">
            <w:pPr>
              <w:jc w:val="center"/>
            </w:pPr>
            <w:r>
              <w:rPr>
                <w:rFonts w:ascii="Arial Narrow" w:eastAsia="Arial Narrow" w:hAnsi="Arial Narrow" w:cs="Arial Narrow"/>
                <w:b/>
                <w:bCs/>
                <w:color w:val="FFFFFF"/>
              </w:rPr>
              <w:t>Inhalt</w:t>
            </w:r>
          </w:p>
        </w:tc>
      </w:tr>
      <w:tr w:rsidR="006E211C" w14:paraId="5DC7EA97" w14:textId="77777777">
        <w:tblPrEx>
          <w:tblCellMar>
            <w:top w:w="0" w:type="dxa"/>
            <w:bottom w:w="0" w:type="dxa"/>
          </w:tblCellMar>
        </w:tblPrEx>
        <w:tc>
          <w:tcPr>
            <w:tcW w:w="1400" w:type="dxa"/>
            <w:shd w:val="clear" w:color="auto" w:fill="FFFFFF"/>
          </w:tcPr>
          <w:p w14:paraId="07EBD8AE" w14:textId="77777777" w:rsidR="006E211C" w:rsidRDefault="00000000">
            <w:r>
              <w:rPr>
                <w:rFonts w:ascii="Arial Narrow" w:eastAsia="Arial Narrow" w:hAnsi="Arial Narrow" w:cs="Arial Narrow"/>
              </w:rPr>
              <w:t>Tag 1</w:t>
            </w:r>
          </w:p>
        </w:tc>
        <w:tc>
          <w:tcPr>
            <w:tcW w:w="1600" w:type="dxa"/>
            <w:shd w:val="clear" w:color="auto" w:fill="FFFFFF"/>
          </w:tcPr>
          <w:p w14:paraId="7DE43DA2" w14:textId="77777777" w:rsidR="006E211C" w:rsidRDefault="00000000">
            <w:r>
              <w:rPr>
                <w:rFonts w:ascii="Arial Narrow" w:eastAsia="Arial Narrow" w:hAnsi="Arial Narrow" w:cs="Arial Narrow"/>
              </w:rPr>
              <w:t>Projektsetup und Datenbankschema</w:t>
            </w:r>
          </w:p>
        </w:tc>
        <w:tc>
          <w:tcPr>
            <w:tcW w:w="4800" w:type="dxa"/>
            <w:shd w:val="clear" w:color="auto" w:fill="FFFFFF"/>
          </w:tcPr>
          <w:p w14:paraId="381D796C" w14:textId="77777777" w:rsidR="006E211C" w:rsidRDefault="00000000">
            <w:r>
              <w:rPr>
                <w:rFonts w:ascii="Arial Narrow" w:eastAsia="Arial Narrow" w:hAnsi="Arial Narrow" w:cs="Arial Narrow"/>
              </w:rPr>
              <w:t xml:space="preserve">Next.js-Projekt initialisieren, </w:t>
            </w:r>
            <w:proofErr w:type="spellStart"/>
            <w:r>
              <w:rPr>
                <w:rFonts w:ascii="Arial Narrow" w:eastAsia="Arial Narrow" w:hAnsi="Arial Narrow" w:cs="Arial Narrow"/>
              </w:rPr>
              <w:t>Supabase</w:t>
            </w:r>
            <w:proofErr w:type="spellEnd"/>
            <w:r>
              <w:rPr>
                <w:rFonts w:ascii="Arial Narrow" w:eastAsia="Arial Narrow" w:hAnsi="Arial Narrow" w:cs="Arial Narrow"/>
              </w:rPr>
              <w:t xml:space="preserve">-Projekt in EU anlegen, Datenbankschema (Abrechnungen, Positionen, BetrKV-Kategorien, Nutzer, Tarife), Authentifizierung (E-Mail und Passwort), Row-Level-Security für alle Tabellen, Grundlayout mit Dark/Light Mode, Navigation, Spracheinstellungen DE/EN. BetrKV-Initialdaten und HKVO-Parameter in Datenbank laden (nach juristischer Freigabe). </w:t>
            </w:r>
            <w:proofErr w:type="spellStart"/>
            <w:r>
              <w:rPr>
                <w:rFonts w:ascii="Arial Narrow" w:eastAsia="Arial Narrow" w:hAnsi="Arial Narrow" w:cs="Arial Narrow"/>
              </w:rPr>
              <w:t>Vercel-Deployment</w:t>
            </w:r>
            <w:proofErr w:type="spellEnd"/>
            <w:r>
              <w:rPr>
                <w:rFonts w:ascii="Arial Narrow" w:eastAsia="Arial Narrow" w:hAnsi="Arial Narrow" w:cs="Arial Narrow"/>
              </w:rPr>
              <w:t xml:space="preserve"> einrichten.</w:t>
            </w:r>
          </w:p>
        </w:tc>
      </w:tr>
      <w:tr w:rsidR="006E211C" w14:paraId="0059A546" w14:textId="77777777">
        <w:tblPrEx>
          <w:tblCellMar>
            <w:top w:w="0" w:type="dxa"/>
            <w:bottom w:w="0" w:type="dxa"/>
          </w:tblCellMar>
        </w:tblPrEx>
        <w:tc>
          <w:tcPr>
            <w:tcW w:w="1400" w:type="dxa"/>
            <w:shd w:val="clear" w:color="auto" w:fill="F5F5F5"/>
          </w:tcPr>
          <w:p w14:paraId="597F9233" w14:textId="77777777" w:rsidR="006E211C" w:rsidRDefault="00000000">
            <w:r>
              <w:rPr>
                <w:rFonts w:ascii="Arial Narrow" w:eastAsia="Arial Narrow" w:hAnsi="Arial Narrow" w:cs="Arial Narrow"/>
              </w:rPr>
              <w:t>Tag 2 bis 3</w:t>
            </w:r>
          </w:p>
        </w:tc>
        <w:tc>
          <w:tcPr>
            <w:tcW w:w="1600" w:type="dxa"/>
            <w:shd w:val="clear" w:color="auto" w:fill="F5F5F5"/>
          </w:tcPr>
          <w:p w14:paraId="0E188539" w14:textId="77777777" w:rsidR="006E211C" w:rsidRDefault="00000000">
            <w:r>
              <w:rPr>
                <w:rFonts w:ascii="Arial Narrow" w:eastAsia="Arial Narrow" w:hAnsi="Arial Narrow" w:cs="Arial Narrow"/>
              </w:rPr>
              <w:t>Hauptprozesse: Erfassung und Rechtsprüfung</w:t>
            </w:r>
          </w:p>
        </w:tc>
        <w:tc>
          <w:tcPr>
            <w:tcW w:w="4800" w:type="dxa"/>
            <w:shd w:val="clear" w:color="auto" w:fill="F5F5F5"/>
          </w:tcPr>
          <w:p w14:paraId="5DBB9540" w14:textId="77777777" w:rsidR="006E211C" w:rsidRDefault="00000000">
            <w:r>
              <w:rPr>
                <w:rFonts w:ascii="Arial Narrow" w:eastAsia="Arial Narrow" w:hAnsi="Arial Narrow" w:cs="Arial Narrow"/>
              </w:rPr>
              <w:t>Schritt-für-Schritt-Assistent zur Abrechnung-Erfassung, BetrKV-Abgleichlogik (Abgleich jeder Position gegen zulässige Kategorien), HKVO-Prüfung (Verbrauchsanteil 50 bis 70%), Vollständigkeitsprüfung (fehlende Schlüssel, Gesamtkosten), Fristberechnung (12 Monate nach § 556 Abs. 3 BGB), Fristanzeige und Erinnerungsbenachrichtigungen.</w:t>
            </w:r>
          </w:p>
        </w:tc>
      </w:tr>
      <w:tr w:rsidR="006E211C" w14:paraId="0C9ABE40" w14:textId="77777777">
        <w:tblPrEx>
          <w:tblCellMar>
            <w:top w:w="0" w:type="dxa"/>
            <w:bottom w:w="0" w:type="dxa"/>
          </w:tblCellMar>
        </w:tblPrEx>
        <w:tc>
          <w:tcPr>
            <w:tcW w:w="1400" w:type="dxa"/>
            <w:shd w:val="clear" w:color="auto" w:fill="FFFFFF"/>
          </w:tcPr>
          <w:p w14:paraId="0A262CEC" w14:textId="77777777" w:rsidR="006E211C" w:rsidRDefault="00000000">
            <w:r>
              <w:rPr>
                <w:rFonts w:ascii="Arial Narrow" w:eastAsia="Arial Narrow" w:hAnsi="Arial Narrow" w:cs="Arial Narrow"/>
              </w:rPr>
              <w:t>Tag 3 bis 4</w:t>
            </w:r>
          </w:p>
        </w:tc>
        <w:tc>
          <w:tcPr>
            <w:tcW w:w="1600" w:type="dxa"/>
            <w:shd w:val="clear" w:color="auto" w:fill="FFFFFF"/>
          </w:tcPr>
          <w:p w14:paraId="75961FF1" w14:textId="77777777" w:rsidR="006E211C" w:rsidRDefault="00000000">
            <w:r>
              <w:rPr>
                <w:rFonts w:ascii="Arial Narrow" w:eastAsia="Arial Narrow" w:hAnsi="Arial Narrow" w:cs="Arial Narrow"/>
              </w:rPr>
              <w:t>Ergebnisdarstellung und Widerspruchsschreiben</w:t>
            </w:r>
          </w:p>
        </w:tc>
        <w:tc>
          <w:tcPr>
            <w:tcW w:w="4800" w:type="dxa"/>
            <w:shd w:val="clear" w:color="auto" w:fill="FFFFFF"/>
          </w:tcPr>
          <w:p w14:paraId="1B545056" w14:textId="77777777" w:rsidR="006E211C" w:rsidRDefault="00000000">
            <w:r>
              <w:rPr>
                <w:rFonts w:ascii="Arial Narrow" w:eastAsia="Arial Narrow" w:hAnsi="Arial Narrow" w:cs="Arial Narrow"/>
              </w:rPr>
              <w:t>Ergebnisseite mit Ampeldarstellung, Positionsübersicht, Detailbefunden (Pro-Tarif), Betragsberechnung, RDG-Disclaimer auf jeder Ergebnisseite. Widerspruchsschreiben-Generator (Pro-Funktion): automatische Befüllung aus Prüfergebnis, Platzhalter-Markierung für fehlende Pflichtangaben, RDG-Hinweis im generierten Schreiben. PDF-</w:t>
            </w:r>
            <w:r>
              <w:rPr>
                <w:rFonts w:ascii="Arial Narrow" w:eastAsia="Arial Narrow" w:hAnsi="Arial Narrow" w:cs="Arial Narrow"/>
              </w:rPr>
              <w:lastRenderedPageBreak/>
              <w:t>Generierung für Widerspruchsschreiben und Prüfbericht (</w:t>
            </w:r>
            <w:proofErr w:type="spellStart"/>
            <w:r>
              <w:rPr>
                <w:rFonts w:ascii="Arial Narrow" w:eastAsia="Arial Narrow" w:hAnsi="Arial Narrow" w:cs="Arial Narrow"/>
              </w:rPr>
              <w:t>react-pdf</w:t>
            </w:r>
            <w:proofErr w:type="spellEnd"/>
            <w:r>
              <w:rPr>
                <w:rFonts w:ascii="Arial Narrow" w:eastAsia="Arial Narrow" w:hAnsi="Arial Narrow" w:cs="Arial Narrow"/>
              </w:rPr>
              <w:t>). Archiv-Seite mit Statusübersicht aller Abrechnungen.</w:t>
            </w:r>
          </w:p>
        </w:tc>
      </w:tr>
      <w:tr w:rsidR="006E211C" w14:paraId="37F29CC8" w14:textId="77777777">
        <w:tblPrEx>
          <w:tblCellMar>
            <w:top w:w="0" w:type="dxa"/>
            <w:bottom w:w="0" w:type="dxa"/>
          </w:tblCellMar>
        </w:tblPrEx>
        <w:tc>
          <w:tcPr>
            <w:tcW w:w="1400" w:type="dxa"/>
            <w:shd w:val="clear" w:color="auto" w:fill="F5F5F5"/>
          </w:tcPr>
          <w:p w14:paraId="278149E9" w14:textId="77777777" w:rsidR="006E211C" w:rsidRDefault="00000000">
            <w:r>
              <w:rPr>
                <w:rFonts w:ascii="Arial Narrow" w:eastAsia="Arial Narrow" w:hAnsi="Arial Narrow" w:cs="Arial Narrow"/>
              </w:rPr>
              <w:lastRenderedPageBreak/>
              <w:t>Tag 4 bis 5</w:t>
            </w:r>
          </w:p>
        </w:tc>
        <w:tc>
          <w:tcPr>
            <w:tcW w:w="1600" w:type="dxa"/>
            <w:shd w:val="clear" w:color="auto" w:fill="F5F5F5"/>
          </w:tcPr>
          <w:p w14:paraId="25FD2D03" w14:textId="77777777" w:rsidR="006E211C" w:rsidRDefault="00000000">
            <w:r>
              <w:rPr>
                <w:rFonts w:ascii="Arial Narrow" w:eastAsia="Arial Narrow" w:hAnsi="Arial Narrow" w:cs="Arial Narrow"/>
              </w:rPr>
              <w:t>Basisfunktionalitäten, Tarife und Legal</w:t>
            </w:r>
          </w:p>
        </w:tc>
        <w:tc>
          <w:tcPr>
            <w:tcW w:w="4800" w:type="dxa"/>
            <w:shd w:val="clear" w:color="auto" w:fill="F5F5F5"/>
          </w:tcPr>
          <w:p w14:paraId="7CB49CDC" w14:textId="77777777" w:rsidR="006E211C" w:rsidRDefault="00000000">
            <w:r>
              <w:rPr>
                <w:rFonts w:ascii="Arial Narrow" w:eastAsia="Arial Narrow" w:hAnsi="Arial Narrow" w:cs="Arial Narrow"/>
              </w:rPr>
              <w:t>Free/Pro-Tarif-Logik (Free: Ampel und Anzahl Auffälligkeiten; Pro: Detailbefund, Widerspruchsschreiben, PDF-Export, Archiv), Upgrade-Flow, Zahlungsabwicklung (Stripe), Admin-Bereich (BetrKV-Listenpflege, HKVO-Parameter, Nutzerverwaltung), Cookie-Banner (DSGVO/TTDSG), DSGVO-Funktionen (Konto löschen, Datenexport), FAQ, AGB, Impressum und Datenschutzerklärung.</w:t>
            </w:r>
          </w:p>
        </w:tc>
      </w:tr>
      <w:tr w:rsidR="006E211C" w14:paraId="7B2F0ADC" w14:textId="77777777">
        <w:tblPrEx>
          <w:tblCellMar>
            <w:top w:w="0" w:type="dxa"/>
            <w:bottom w:w="0" w:type="dxa"/>
          </w:tblCellMar>
        </w:tblPrEx>
        <w:tc>
          <w:tcPr>
            <w:tcW w:w="1400" w:type="dxa"/>
            <w:shd w:val="clear" w:color="auto" w:fill="FFFFFF"/>
          </w:tcPr>
          <w:p w14:paraId="71757E0B" w14:textId="77777777" w:rsidR="006E211C" w:rsidRDefault="00000000">
            <w:r>
              <w:rPr>
                <w:rFonts w:ascii="Arial Narrow" w:eastAsia="Arial Narrow" w:hAnsi="Arial Narrow" w:cs="Arial Narrow"/>
              </w:rPr>
              <w:t>Tag 5 bis 6 (Puffer)</w:t>
            </w:r>
          </w:p>
        </w:tc>
        <w:tc>
          <w:tcPr>
            <w:tcW w:w="1600" w:type="dxa"/>
            <w:shd w:val="clear" w:color="auto" w:fill="FFFFFF"/>
          </w:tcPr>
          <w:p w14:paraId="43716096" w14:textId="77777777" w:rsidR="006E211C" w:rsidRDefault="00000000">
            <w:proofErr w:type="spellStart"/>
            <w:r>
              <w:rPr>
                <w:rFonts w:ascii="Arial Narrow" w:eastAsia="Arial Narrow" w:hAnsi="Arial Narrow" w:cs="Arial Narrow"/>
              </w:rPr>
              <w:t>Testing</w:t>
            </w:r>
            <w:proofErr w:type="spellEnd"/>
            <w:r>
              <w:rPr>
                <w:rFonts w:ascii="Arial Narrow" w:eastAsia="Arial Narrow" w:hAnsi="Arial Narrow" w:cs="Arial Narrow"/>
              </w:rPr>
              <w:t>, Bugfixing und Übergabe</w:t>
            </w:r>
          </w:p>
        </w:tc>
        <w:tc>
          <w:tcPr>
            <w:tcW w:w="4800" w:type="dxa"/>
            <w:shd w:val="clear" w:color="auto" w:fill="FFFFFF"/>
          </w:tcPr>
          <w:p w14:paraId="6F93263E" w14:textId="77777777" w:rsidR="006E211C" w:rsidRDefault="00000000">
            <w:r>
              <w:rPr>
                <w:rFonts w:ascii="Arial Narrow" w:eastAsia="Arial Narrow" w:hAnsi="Arial Narrow" w:cs="Arial Narrow"/>
              </w:rPr>
              <w:t xml:space="preserve">Manuelles Testen aller Hauptprozesse (vollständiger Prüfzyklus einer Beispielabrechnung). Prüfung der RDG-Konformität aller generierten Texte. </w:t>
            </w:r>
            <w:proofErr w:type="spellStart"/>
            <w:r>
              <w:rPr>
                <w:rFonts w:ascii="Arial Narrow" w:eastAsia="Arial Narrow" w:hAnsi="Arial Narrow" w:cs="Arial Narrow"/>
              </w:rPr>
              <w:t>TypeScript</w:t>
            </w:r>
            <w:proofErr w:type="spellEnd"/>
            <w:r>
              <w:rPr>
                <w:rFonts w:ascii="Arial Narrow" w:eastAsia="Arial Narrow" w:hAnsi="Arial Narrow" w:cs="Arial Narrow"/>
              </w:rPr>
              <w:t xml:space="preserve"> </w:t>
            </w:r>
            <w:proofErr w:type="spellStart"/>
            <w:r>
              <w:rPr>
                <w:rFonts w:ascii="Arial Narrow" w:eastAsia="Arial Narrow" w:hAnsi="Arial Narrow" w:cs="Arial Narrow"/>
              </w:rPr>
              <w:t>typecheck</w:t>
            </w:r>
            <w:proofErr w:type="spellEnd"/>
            <w:r>
              <w:rPr>
                <w:rFonts w:ascii="Arial Narrow" w:eastAsia="Arial Narrow" w:hAnsi="Arial Narrow" w:cs="Arial Narrow"/>
              </w:rPr>
              <w:t xml:space="preserve">, </w:t>
            </w:r>
            <w:proofErr w:type="spellStart"/>
            <w:r>
              <w:rPr>
                <w:rFonts w:ascii="Arial Narrow" w:eastAsia="Arial Narrow" w:hAnsi="Arial Narrow" w:cs="Arial Narrow"/>
              </w:rPr>
              <w:t>ESLint</w:t>
            </w:r>
            <w:proofErr w:type="spellEnd"/>
            <w:r>
              <w:rPr>
                <w:rFonts w:ascii="Arial Narrow" w:eastAsia="Arial Narrow" w:hAnsi="Arial Narrow" w:cs="Arial Narrow"/>
              </w:rPr>
              <w:t xml:space="preserve"> </w:t>
            </w:r>
            <w:proofErr w:type="spellStart"/>
            <w:r>
              <w:rPr>
                <w:rFonts w:ascii="Arial Narrow" w:eastAsia="Arial Narrow" w:hAnsi="Arial Narrow" w:cs="Arial Narrow"/>
              </w:rPr>
              <w:t>lint</w:t>
            </w:r>
            <w:proofErr w:type="spellEnd"/>
            <w:r>
              <w:rPr>
                <w:rFonts w:ascii="Arial Narrow" w:eastAsia="Arial Narrow" w:hAnsi="Arial Narrow" w:cs="Arial Narrow"/>
              </w:rPr>
              <w:t xml:space="preserve">, </w:t>
            </w:r>
            <w:proofErr w:type="spellStart"/>
            <w:r>
              <w:rPr>
                <w:rFonts w:ascii="Arial Narrow" w:eastAsia="Arial Narrow" w:hAnsi="Arial Narrow" w:cs="Arial Narrow"/>
              </w:rPr>
              <w:t>Vercel</w:t>
            </w:r>
            <w:proofErr w:type="spellEnd"/>
            <w:r>
              <w:rPr>
                <w:rFonts w:ascii="Arial Narrow" w:eastAsia="Arial Narrow" w:hAnsi="Arial Narrow" w:cs="Arial Narrow"/>
              </w:rPr>
              <w:t xml:space="preserve"> </w:t>
            </w:r>
            <w:proofErr w:type="spellStart"/>
            <w:r>
              <w:rPr>
                <w:rFonts w:ascii="Arial Narrow" w:eastAsia="Arial Narrow" w:hAnsi="Arial Narrow" w:cs="Arial Narrow"/>
              </w:rPr>
              <w:t>build</w:t>
            </w:r>
            <w:proofErr w:type="spellEnd"/>
            <w:r>
              <w:rPr>
                <w:rFonts w:ascii="Arial Narrow" w:eastAsia="Arial Narrow" w:hAnsi="Arial Narrow" w:cs="Arial Narrow"/>
              </w:rPr>
              <w:t>. Beheben offener Fehler. Mobile-Responsive-Check. Abnahme durch WAMOCON. Soft Launch.</w:t>
            </w:r>
          </w:p>
        </w:tc>
      </w:tr>
    </w:tbl>
    <w:p w14:paraId="56C0A151" w14:textId="77777777" w:rsidR="006E211C" w:rsidRDefault="006E211C">
      <w:pPr>
        <w:spacing w:after="120"/>
      </w:pPr>
    </w:p>
    <w:p w14:paraId="36F982F5" w14:textId="77777777" w:rsidR="006E211C" w:rsidRDefault="00000000">
      <w:pPr>
        <w:spacing w:after="120"/>
      </w:pPr>
      <w:r>
        <w:rPr>
          <w:rFonts w:ascii="Arial Narrow" w:eastAsia="Arial Narrow" w:hAnsi="Arial Narrow" w:cs="Arial Narrow"/>
          <w:sz w:val="22"/>
          <w:szCs w:val="22"/>
        </w:rPr>
        <w:t>Gesamtrahmen: 5 Werktage (plus ein optionaler Puffertag). GitHub Copilot schreibt den Großteil des Codes. Version 1 ist ein lauffähiger, produktionsreifer Prototyp für erste Nutzer, kein finales Endprodukt.</w:t>
      </w:r>
    </w:p>
    <w:p w14:paraId="637CFD6E" w14:textId="77777777" w:rsidR="00CD0B9A" w:rsidRDefault="00CD0B9A">
      <w:pPr>
        <w:rPr>
          <w:rFonts w:ascii="Arial Narrow" w:eastAsia="Arial Narrow" w:hAnsi="Arial Narrow" w:cs="Arial Narrow"/>
          <w:b/>
          <w:bCs/>
          <w:color w:val="000000"/>
          <w:sz w:val="34"/>
          <w:szCs w:val="34"/>
        </w:rPr>
      </w:pPr>
      <w:r>
        <w:rPr>
          <w:rFonts w:ascii="Arial Narrow" w:eastAsia="Arial Narrow" w:hAnsi="Arial Narrow" w:cs="Arial Narrow"/>
          <w:b/>
          <w:bCs/>
          <w:color w:val="000000"/>
          <w:sz w:val="34"/>
          <w:szCs w:val="34"/>
        </w:rPr>
        <w:br w:type="page"/>
      </w:r>
    </w:p>
    <w:p w14:paraId="339DBB95" w14:textId="7FEDDE7A" w:rsidR="006E211C" w:rsidRDefault="00000000">
      <w:pPr>
        <w:spacing w:before="400" w:after="160"/>
      </w:pPr>
      <w:r>
        <w:rPr>
          <w:rFonts w:ascii="Arial Narrow" w:eastAsia="Arial Narrow" w:hAnsi="Arial Narrow" w:cs="Arial Narrow"/>
          <w:b/>
          <w:bCs/>
          <w:color w:val="000000"/>
          <w:sz w:val="34"/>
          <w:szCs w:val="34"/>
        </w:rPr>
        <w:lastRenderedPageBreak/>
        <w:t>10. Quellenverzeichnis</w:t>
      </w:r>
    </w:p>
    <w:p w14:paraId="45321673" w14:textId="77777777" w:rsidR="006E211C" w:rsidRDefault="006E211C">
      <w:pPr>
        <w:spacing w:after="120"/>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3900"/>
      </w:tblGrid>
      <w:tr w:rsidR="006E211C" w14:paraId="38424ACE" w14:textId="77777777">
        <w:tblPrEx>
          <w:tblCellMar>
            <w:top w:w="0" w:type="dxa"/>
            <w:bottom w:w="0" w:type="dxa"/>
          </w:tblCellMar>
        </w:tblPrEx>
        <w:trPr>
          <w:tblHeader/>
        </w:trPr>
        <w:tc>
          <w:tcPr>
            <w:tcW w:w="4400" w:type="dxa"/>
            <w:shd w:val="clear" w:color="auto" w:fill="000000"/>
          </w:tcPr>
          <w:p w14:paraId="2D941305" w14:textId="77777777" w:rsidR="006E211C" w:rsidRDefault="00000000">
            <w:pPr>
              <w:jc w:val="center"/>
            </w:pPr>
            <w:r>
              <w:rPr>
                <w:rFonts w:ascii="Arial Narrow" w:eastAsia="Arial Narrow" w:hAnsi="Arial Narrow" w:cs="Arial Narrow"/>
                <w:b/>
                <w:bCs/>
                <w:color w:val="FFFFFF"/>
              </w:rPr>
              <w:t>Quelle</w:t>
            </w:r>
          </w:p>
        </w:tc>
        <w:tc>
          <w:tcPr>
            <w:tcW w:w="3900" w:type="dxa"/>
            <w:shd w:val="clear" w:color="auto" w:fill="000000"/>
          </w:tcPr>
          <w:p w14:paraId="24AA671B" w14:textId="77777777" w:rsidR="006E211C" w:rsidRDefault="00000000">
            <w:pPr>
              <w:jc w:val="center"/>
            </w:pPr>
            <w:r>
              <w:rPr>
                <w:rFonts w:ascii="Arial Narrow" w:eastAsia="Arial Narrow" w:hAnsi="Arial Narrow" w:cs="Arial Narrow"/>
                <w:b/>
                <w:bCs/>
                <w:color w:val="FFFFFF"/>
              </w:rPr>
              <w:t>Inhalt</w:t>
            </w:r>
          </w:p>
        </w:tc>
      </w:tr>
      <w:tr w:rsidR="006E211C" w14:paraId="7E0C0F06" w14:textId="77777777">
        <w:tblPrEx>
          <w:tblCellMar>
            <w:top w:w="0" w:type="dxa"/>
            <w:bottom w:w="0" w:type="dxa"/>
          </w:tblCellMar>
        </w:tblPrEx>
        <w:tc>
          <w:tcPr>
            <w:tcW w:w="4400" w:type="dxa"/>
            <w:shd w:val="clear" w:color="auto" w:fill="FFFFFF"/>
          </w:tcPr>
          <w:p w14:paraId="623C8C10" w14:textId="77777777" w:rsidR="006E211C" w:rsidRDefault="00000000">
            <w:r>
              <w:rPr>
                <w:rFonts w:ascii="Arial Narrow" w:eastAsia="Arial Narrow" w:hAnsi="Arial Narrow" w:cs="Arial Narrow"/>
              </w:rPr>
              <w:t>Destatis, Mikrozensus 2025: Wohnsituation der Bevölkerung, destatis.de (abgerufen Mai 2026)</w:t>
            </w:r>
          </w:p>
        </w:tc>
        <w:tc>
          <w:tcPr>
            <w:tcW w:w="3900" w:type="dxa"/>
            <w:shd w:val="clear" w:color="auto" w:fill="FFFFFF"/>
          </w:tcPr>
          <w:p w14:paraId="47D629BD" w14:textId="77777777" w:rsidR="006E211C" w:rsidRDefault="00000000">
            <w:r>
              <w:rPr>
                <w:rFonts w:ascii="Arial Narrow" w:eastAsia="Arial Narrow" w:hAnsi="Arial Narrow" w:cs="Arial Narrow"/>
              </w:rPr>
              <w:t>Anzahl Mieterhaushalte in Deutschland (ca. 28 Millionen); Mietquote ca. 46% der Haushalte</w:t>
            </w:r>
          </w:p>
        </w:tc>
      </w:tr>
      <w:tr w:rsidR="006E211C" w14:paraId="39C21C48" w14:textId="77777777">
        <w:tblPrEx>
          <w:tblCellMar>
            <w:top w:w="0" w:type="dxa"/>
            <w:bottom w:w="0" w:type="dxa"/>
          </w:tblCellMar>
        </w:tblPrEx>
        <w:tc>
          <w:tcPr>
            <w:tcW w:w="4400" w:type="dxa"/>
            <w:shd w:val="clear" w:color="auto" w:fill="F5F5F5"/>
          </w:tcPr>
          <w:p w14:paraId="2FA95171" w14:textId="77777777" w:rsidR="006E211C" w:rsidRDefault="00000000">
            <w:r>
              <w:rPr>
                <w:rFonts w:ascii="Arial Narrow" w:eastAsia="Arial Narrow" w:hAnsi="Arial Narrow" w:cs="Arial Narrow"/>
              </w:rPr>
              <w:t xml:space="preserve">Eurostat, Housing </w:t>
            </w:r>
            <w:proofErr w:type="spellStart"/>
            <w:r>
              <w:rPr>
                <w:rFonts w:ascii="Arial Narrow" w:eastAsia="Arial Narrow" w:hAnsi="Arial Narrow" w:cs="Arial Narrow"/>
              </w:rPr>
              <w:t>statistics</w:t>
            </w:r>
            <w:proofErr w:type="spellEnd"/>
            <w:r>
              <w:rPr>
                <w:rFonts w:ascii="Arial Narrow" w:eastAsia="Arial Narrow" w:hAnsi="Arial Narrow" w:cs="Arial Narrow"/>
              </w:rPr>
              <w:t xml:space="preserve">, </w:t>
            </w:r>
            <w:proofErr w:type="spellStart"/>
            <w:r>
              <w:rPr>
                <w:rFonts w:ascii="Arial Narrow" w:eastAsia="Arial Narrow" w:hAnsi="Arial Narrow" w:cs="Arial Narrow"/>
              </w:rPr>
              <w:t>Statistics</w:t>
            </w:r>
            <w:proofErr w:type="spellEnd"/>
            <w:r>
              <w:rPr>
                <w:rFonts w:ascii="Arial Narrow" w:eastAsia="Arial Narrow" w:hAnsi="Arial Narrow" w:cs="Arial Narrow"/>
              </w:rPr>
              <w:t xml:space="preserve"> </w:t>
            </w:r>
            <w:proofErr w:type="spellStart"/>
            <w:r>
              <w:rPr>
                <w:rFonts w:ascii="Arial Narrow" w:eastAsia="Arial Narrow" w:hAnsi="Arial Narrow" w:cs="Arial Narrow"/>
              </w:rPr>
              <w:t>Explained</w:t>
            </w:r>
            <w:proofErr w:type="spellEnd"/>
            <w:r>
              <w:rPr>
                <w:rFonts w:ascii="Arial Narrow" w:eastAsia="Arial Narrow" w:hAnsi="Arial Narrow" w:cs="Arial Narrow"/>
              </w:rPr>
              <w:t>, ec.europa.eu/</w:t>
            </w:r>
            <w:proofErr w:type="spellStart"/>
            <w:r>
              <w:rPr>
                <w:rFonts w:ascii="Arial Narrow" w:eastAsia="Arial Narrow" w:hAnsi="Arial Narrow" w:cs="Arial Narrow"/>
              </w:rPr>
              <w:t>eurostat</w:t>
            </w:r>
            <w:proofErr w:type="spellEnd"/>
            <w:r>
              <w:rPr>
                <w:rFonts w:ascii="Arial Narrow" w:eastAsia="Arial Narrow" w:hAnsi="Arial Narrow" w:cs="Arial Narrow"/>
              </w:rPr>
              <w:t>/</w:t>
            </w:r>
            <w:proofErr w:type="spellStart"/>
            <w:r>
              <w:rPr>
                <w:rFonts w:ascii="Arial Narrow" w:eastAsia="Arial Narrow" w:hAnsi="Arial Narrow" w:cs="Arial Narrow"/>
              </w:rPr>
              <w:t>statistics-explained</w:t>
            </w:r>
            <w:proofErr w:type="spellEnd"/>
            <w:r>
              <w:rPr>
                <w:rFonts w:ascii="Arial Narrow" w:eastAsia="Arial Narrow" w:hAnsi="Arial Narrow" w:cs="Arial Narrow"/>
              </w:rPr>
              <w:t xml:space="preserve"> (abgerufen Mai 2026)</w:t>
            </w:r>
          </w:p>
        </w:tc>
        <w:tc>
          <w:tcPr>
            <w:tcW w:w="3900" w:type="dxa"/>
            <w:shd w:val="clear" w:color="auto" w:fill="F5F5F5"/>
          </w:tcPr>
          <w:p w14:paraId="0DA6240F" w14:textId="77777777" w:rsidR="006E211C" w:rsidRDefault="00000000">
            <w:r>
              <w:rPr>
                <w:rFonts w:ascii="Arial Narrow" w:eastAsia="Arial Narrow" w:hAnsi="Arial Narrow" w:cs="Arial Narrow"/>
              </w:rPr>
              <w:t>Mietquote Deutschland im EU-Vergleich: höchste Mietquote in der Europäischen Union</w:t>
            </w:r>
          </w:p>
        </w:tc>
      </w:tr>
      <w:tr w:rsidR="006E211C" w14:paraId="09ACD005" w14:textId="77777777">
        <w:tblPrEx>
          <w:tblCellMar>
            <w:top w:w="0" w:type="dxa"/>
            <w:bottom w:w="0" w:type="dxa"/>
          </w:tblCellMar>
        </w:tblPrEx>
        <w:tc>
          <w:tcPr>
            <w:tcW w:w="4400" w:type="dxa"/>
            <w:shd w:val="clear" w:color="auto" w:fill="FFFFFF"/>
          </w:tcPr>
          <w:p w14:paraId="66C3BEE9" w14:textId="77777777" w:rsidR="006E211C" w:rsidRDefault="00000000">
            <w:r>
              <w:rPr>
                <w:rFonts w:ascii="Arial Narrow" w:eastAsia="Arial Narrow" w:hAnsi="Arial Narrow" w:cs="Arial Narrow"/>
              </w:rPr>
              <w:t>VDIV Deutschland, Betriebskostenspiegel 2026, vdiv.de (abgerufen Mai 2026)</w:t>
            </w:r>
          </w:p>
        </w:tc>
        <w:tc>
          <w:tcPr>
            <w:tcW w:w="3900" w:type="dxa"/>
            <w:shd w:val="clear" w:color="auto" w:fill="FFFFFF"/>
          </w:tcPr>
          <w:p w14:paraId="7E7FD8CB" w14:textId="77777777" w:rsidR="006E211C" w:rsidRDefault="00000000">
            <w:r>
              <w:rPr>
                <w:rFonts w:ascii="Arial Narrow" w:eastAsia="Arial Narrow" w:hAnsi="Arial Narrow" w:cs="Arial Narrow"/>
              </w:rPr>
              <w:t>Durchschnittliche Nebenkostenbelastung ca. 2,35 Euro pro m² pro Monat (kalt); Nebenkostenbelastung weiterhin auf hohem Niveau nach Energiekostensteigerungen 2022 bis 2025</w:t>
            </w:r>
          </w:p>
        </w:tc>
      </w:tr>
      <w:tr w:rsidR="006E211C" w14:paraId="5EE79B4D" w14:textId="77777777">
        <w:tblPrEx>
          <w:tblCellMar>
            <w:top w:w="0" w:type="dxa"/>
            <w:bottom w:w="0" w:type="dxa"/>
          </w:tblCellMar>
        </w:tblPrEx>
        <w:tc>
          <w:tcPr>
            <w:tcW w:w="4400" w:type="dxa"/>
            <w:shd w:val="clear" w:color="auto" w:fill="F5F5F5"/>
          </w:tcPr>
          <w:p w14:paraId="45B5156D" w14:textId="77777777" w:rsidR="006E211C" w:rsidRDefault="00000000">
            <w:r>
              <w:rPr>
                <w:rFonts w:ascii="Arial Narrow" w:eastAsia="Arial Narrow" w:hAnsi="Arial Narrow" w:cs="Arial Narrow"/>
              </w:rPr>
              <w:t>Mieterbund Deutschland, Beratungsstatistik, mieterbund.de (abgerufen Mai 2026)</w:t>
            </w:r>
          </w:p>
        </w:tc>
        <w:tc>
          <w:tcPr>
            <w:tcW w:w="3900" w:type="dxa"/>
            <w:shd w:val="clear" w:color="auto" w:fill="F5F5F5"/>
          </w:tcPr>
          <w:p w14:paraId="4F03C69F" w14:textId="77777777" w:rsidR="006E211C" w:rsidRDefault="00000000">
            <w:r>
              <w:rPr>
                <w:rFonts w:ascii="Arial Narrow" w:eastAsia="Arial Narrow" w:hAnsi="Arial Narrow" w:cs="Arial Narrow"/>
              </w:rPr>
              <w:t>Betriebskosten- und Nebenkostenabrechnungen zählen zu den drei meistgefragten Beratungsthemen; keine amtliche Fehlerquote publiziert</w:t>
            </w:r>
          </w:p>
        </w:tc>
      </w:tr>
      <w:tr w:rsidR="006E211C" w14:paraId="0D0054E0" w14:textId="77777777">
        <w:tblPrEx>
          <w:tblCellMar>
            <w:top w:w="0" w:type="dxa"/>
            <w:bottom w:w="0" w:type="dxa"/>
          </w:tblCellMar>
        </w:tblPrEx>
        <w:tc>
          <w:tcPr>
            <w:tcW w:w="4400" w:type="dxa"/>
            <w:shd w:val="clear" w:color="auto" w:fill="FFFFFF"/>
          </w:tcPr>
          <w:p w14:paraId="763DB522" w14:textId="77777777" w:rsidR="006E211C" w:rsidRDefault="00000000">
            <w:r>
              <w:rPr>
                <w:rFonts w:ascii="Arial Narrow" w:eastAsia="Arial Narrow" w:hAnsi="Arial Narrow" w:cs="Arial Narrow"/>
              </w:rPr>
              <w:t>Conny GmbH, conny.de (Mai 2026)</w:t>
            </w:r>
          </w:p>
        </w:tc>
        <w:tc>
          <w:tcPr>
            <w:tcW w:w="3900" w:type="dxa"/>
            <w:shd w:val="clear" w:color="auto" w:fill="FFFFFF"/>
          </w:tcPr>
          <w:p w14:paraId="385AC33A" w14:textId="77777777" w:rsidR="006E211C" w:rsidRDefault="00000000">
            <w:r>
              <w:rPr>
                <w:rFonts w:ascii="Arial Narrow" w:eastAsia="Arial Narrow" w:hAnsi="Arial Narrow" w:cs="Arial Narrow"/>
              </w:rPr>
              <w:t>Über 500.000 bearbeitete Mietpreisbremse-Fälle; Nachweis der Skalierbarkeit von Legal-Tech im deutschen Mietmarkt</w:t>
            </w:r>
          </w:p>
        </w:tc>
      </w:tr>
      <w:tr w:rsidR="006E211C" w14:paraId="44D9A9DF" w14:textId="77777777">
        <w:tblPrEx>
          <w:tblCellMar>
            <w:top w:w="0" w:type="dxa"/>
            <w:bottom w:w="0" w:type="dxa"/>
          </w:tblCellMar>
        </w:tblPrEx>
        <w:tc>
          <w:tcPr>
            <w:tcW w:w="4400" w:type="dxa"/>
            <w:shd w:val="clear" w:color="auto" w:fill="F5F5F5"/>
          </w:tcPr>
          <w:p w14:paraId="60C4CFD1" w14:textId="77777777" w:rsidR="006E211C" w:rsidRDefault="00000000">
            <w:r>
              <w:rPr>
                <w:rFonts w:ascii="Arial Narrow" w:eastAsia="Arial Narrow" w:hAnsi="Arial Narrow" w:cs="Arial Narrow"/>
              </w:rPr>
              <w:t>§556 BGB, §556a BGB, §556b BGB, §556c BGB, gesetze-im-internet.de (Stand Mai 2026)</w:t>
            </w:r>
          </w:p>
        </w:tc>
        <w:tc>
          <w:tcPr>
            <w:tcW w:w="3900" w:type="dxa"/>
            <w:shd w:val="clear" w:color="auto" w:fill="F5F5F5"/>
          </w:tcPr>
          <w:p w14:paraId="796578D6" w14:textId="77777777" w:rsidR="006E211C" w:rsidRDefault="00000000">
            <w:r>
              <w:rPr>
                <w:rFonts w:ascii="Arial Narrow" w:eastAsia="Arial Narrow" w:hAnsi="Arial Narrow" w:cs="Arial Narrow"/>
              </w:rPr>
              <w:t>Vereinbarungen über Betriebskosten; Abrechnungsmaßstab; Fälligkeit der Betriebskostenzahlung; Vorrang der Wärmelieferung; Einwendungsausschluss nach 12 Monaten</w:t>
            </w:r>
          </w:p>
        </w:tc>
      </w:tr>
      <w:tr w:rsidR="006E211C" w14:paraId="7EE9210D" w14:textId="77777777">
        <w:tblPrEx>
          <w:tblCellMar>
            <w:top w:w="0" w:type="dxa"/>
            <w:bottom w:w="0" w:type="dxa"/>
          </w:tblCellMar>
        </w:tblPrEx>
        <w:tc>
          <w:tcPr>
            <w:tcW w:w="4400" w:type="dxa"/>
            <w:shd w:val="clear" w:color="auto" w:fill="FFFFFF"/>
          </w:tcPr>
          <w:p w14:paraId="6D569ADD" w14:textId="77777777" w:rsidR="006E211C" w:rsidRDefault="00000000">
            <w:r>
              <w:rPr>
                <w:rFonts w:ascii="Arial Narrow" w:eastAsia="Arial Narrow" w:hAnsi="Arial Narrow" w:cs="Arial Narrow"/>
              </w:rPr>
              <w:t>Betriebskostenverordnung (BetrKV) vom 25. November 2003, BGBl. I S. 2346, gesetze-im-internet.de (Stand Mai 2026)</w:t>
            </w:r>
          </w:p>
        </w:tc>
        <w:tc>
          <w:tcPr>
            <w:tcW w:w="3900" w:type="dxa"/>
            <w:shd w:val="clear" w:color="auto" w:fill="FFFFFF"/>
          </w:tcPr>
          <w:p w14:paraId="2E7FFBBC" w14:textId="77777777" w:rsidR="006E211C" w:rsidRDefault="00000000">
            <w:r>
              <w:rPr>
                <w:rFonts w:ascii="Arial Narrow" w:eastAsia="Arial Narrow" w:hAnsi="Arial Narrow" w:cs="Arial Narrow"/>
              </w:rPr>
              <w:t>Abschließende Liste der umlagefähigen Betriebskosten</w:t>
            </w:r>
          </w:p>
        </w:tc>
      </w:tr>
      <w:tr w:rsidR="006E211C" w14:paraId="7E3966AE" w14:textId="77777777">
        <w:tblPrEx>
          <w:tblCellMar>
            <w:top w:w="0" w:type="dxa"/>
            <w:bottom w:w="0" w:type="dxa"/>
          </w:tblCellMar>
        </w:tblPrEx>
        <w:tc>
          <w:tcPr>
            <w:tcW w:w="4400" w:type="dxa"/>
            <w:shd w:val="clear" w:color="auto" w:fill="F5F5F5"/>
          </w:tcPr>
          <w:p w14:paraId="50A5F40C" w14:textId="77777777" w:rsidR="006E211C" w:rsidRDefault="00000000">
            <w:r>
              <w:rPr>
                <w:rFonts w:ascii="Arial Narrow" w:eastAsia="Arial Narrow" w:hAnsi="Arial Narrow" w:cs="Arial Narrow"/>
              </w:rPr>
              <w:t>Heizkostenverordnung (HKVO) in der aktuell geltenden Fassung, gesetze-im-internet.de (Stand Mai 2026)</w:t>
            </w:r>
          </w:p>
        </w:tc>
        <w:tc>
          <w:tcPr>
            <w:tcW w:w="3900" w:type="dxa"/>
            <w:shd w:val="clear" w:color="auto" w:fill="F5F5F5"/>
          </w:tcPr>
          <w:p w14:paraId="099041CF" w14:textId="77777777" w:rsidR="006E211C" w:rsidRDefault="00000000">
            <w:r>
              <w:rPr>
                <w:rFonts w:ascii="Arial Narrow" w:eastAsia="Arial Narrow" w:hAnsi="Arial Narrow" w:cs="Arial Narrow"/>
              </w:rPr>
              <w:t>Pflichten zur verbrauchsabhängigen Abrechnung von Heizkosten; §7 HKVO: mindestens 50%, höchstens 70% verbrauchsabhängig</w:t>
            </w:r>
          </w:p>
        </w:tc>
      </w:tr>
      <w:tr w:rsidR="006E211C" w14:paraId="3E800DF4" w14:textId="77777777">
        <w:tblPrEx>
          <w:tblCellMar>
            <w:top w:w="0" w:type="dxa"/>
            <w:bottom w:w="0" w:type="dxa"/>
          </w:tblCellMar>
        </w:tblPrEx>
        <w:tc>
          <w:tcPr>
            <w:tcW w:w="4400" w:type="dxa"/>
            <w:shd w:val="clear" w:color="auto" w:fill="FFFFFF"/>
          </w:tcPr>
          <w:p w14:paraId="7B252229" w14:textId="77777777" w:rsidR="006E211C" w:rsidRDefault="00000000">
            <w:r>
              <w:rPr>
                <w:rFonts w:ascii="Arial Narrow" w:eastAsia="Arial Narrow" w:hAnsi="Arial Narrow" w:cs="Arial Narrow"/>
              </w:rPr>
              <w:t>Fernwärme-Fernkälte-Verordnung (FFVAV), §4, gesetze-im-internet.de (Stand Mai 2026)</w:t>
            </w:r>
          </w:p>
        </w:tc>
        <w:tc>
          <w:tcPr>
            <w:tcW w:w="3900" w:type="dxa"/>
            <w:shd w:val="clear" w:color="auto" w:fill="FFFFFF"/>
          </w:tcPr>
          <w:p w14:paraId="5A9C6FF6" w14:textId="77777777" w:rsidR="006E211C" w:rsidRDefault="00000000">
            <w:r>
              <w:rPr>
                <w:rFonts w:ascii="Arial Narrow" w:eastAsia="Arial Narrow" w:hAnsi="Arial Narrow" w:cs="Arial Narrow"/>
              </w:rPr>
              <w:t xml:space="preserve">Pflicht zur monatlichen Verbrauchsinformation bei fernablesbaren </w:t>
            </w:r>
            <w:proofErr w:type="spellStart"/>
            <w:r>
              <w:rPr>
                <w:rFonts w:ascii="Arial Narrow" w:eastAsia="Arial Narrow" w:hAnsi="Arial Narrow" w:cs="Arial Narrow"/>
              </w:rPr>
              <w:t>Zählerstandserfassungen</w:t>
            </w:r>
            <w:proofErr w:type="spellEnd"/>
            <w:r>
              <w:rPr>
                <w:rFonts w:ascii="Arial Narrow" w:eastAsia="Arial Narrow" w:hAnsi="Arial Narrow" w:cs="Arial Narrow"/>
              </w:rPr>
              <w:t xml:space="preserve"> seit 2022</w:t>
            </w:r>
          </w:p>
        </w:tc>
      </w:tr>
      <w:tr w:rsidR="006E211C" w14:paraId="213D80C7" w14:textId="77777777">
        <w:tblPrEx>
          <w:tblCellMar>
            <w:top w:w="0" w:type="dxa"/>
            <w:bottom w:w="0" w:type="dxa"/>
          </w:tblCellMar>
        </w:tblPrEx>
        <w:tc>
          <w:tcPr>
            <w:tcW w:w="4400" w:type="dxa"/>
            <w:shd w:val="clear" w:color="auto" w:fill="F5F5F5"/>
          </w:tcPr>
          <w:p w14:paraId="51A41E75" w14:textId="77777777" w:rsidR="006E211C" w:rsidRDefault="00000000">
            <w:r>
              <w:rPr>
                <w:rFonts w:ascii="Arial Narrow" w:eastAsia="Arial Narrow" w:hAnsi="Arial Narrow" w:cs="Arial Narrow"/>
              </w:rPr>
              <w:t>Rechtsdienstleistungsgesetz (RDG) vom 12. Dezember 2007, gesetze-im-internet.de (Stand Mai 2026)</w:t>
            </w:r>
          </w:p>
        </w:tc>
        <w:tc>
          <w:tcPr>
            <w:tcW w:w="3900" w:type="dxa"/>
            <w:shd w:val="clear" w:color="auto" w:fill="F5F5F5"/>
          </w:tcPr>
          <w:p w14:paraId="20316006" w14:textId="77777777" w:rsidR="006E211C" w:rsidRDefault="00000000">
            <w:r>
              <w:rPr>
                <w:rFonts w:ascii="Arial Narrow" w:eastAsia="Arial Narrow" w:hAnsi="Arial Narrow" w:cs="Arial Narrow"/>
              </w:rPr>
              <w:t>Definition und Grenzen erlaubter Rechtsdienstleistungen; §2 RDG: Abgrenzung zur Informationsbereitstellung</w:t>
            </w:r>
          </w:p>
        </w:tc>
      </w:tr>
      <w:tr w:rsidR="006E211C" w14:paraId="62359F24" w14:textId="77777777">
        <w:tblPrEx>
          <w:tblCellMar>
            <w:top w:w="0" w:type="dxa"/>
            <w:bottom w:w="0" w:type="dxa"/>
          </w:tblCellMar>
        </w:tblPrEx>
        <w:tc>
          <w:tcPr>
            <w:tcW w:w="4400" w:type="dxa"/>
            <w:shd w:val="clear" w:color="auto" w:fill="FFFFFF"/>
          </w:tcPr>
          <w:p w14:paraId="4F82076B" w14:textId="77777777" w:rsidR="006E211C" w:rsidRDefault="00000000">
            <w:r>
              <w:rPr>
                <w:rFonts w:ascii="Arial Narrow" w:eastAsia="Arial Narrow" w:hAnsi="Arial Narrow" w:cs="Arial Narrow"/>
              </w:rPr>
              <w:t>DSGVO (EU) 2016/679, eur-lex.europa.eu (Stand Mai 2026)</w:t>
            </w:r>
          </w:p>
        </w:tc>
        <w:tc>
          <w:tcPr>
            <w:tcW w:w="3900" w:type="dxa"/>
            <w:shd w:val="clear" w:color="auto" w:fill="FFFFFF"/>
          </w:tcPr>
          <w:p w14:paraId="4A636565" w14:textId="77777777" w:rsidR="006E211C" w:rsidRDefault="00000000">
            <w:r>
              <w:rPr>
                <w:rFonts w:ascii="Arial Narrow" w:eastAsia="Arial Narrow" w:hAnsi="Arial Narrow" w:cs="Arial Narrow"/>
              </w:rPr>
              <w:t>Datenschutzanforderungen für die Verarbeitung personenbezogener Daten von Nutzern</w:t>
            </w:r>
          </w:p>
        </w:tc>
      </w:tr>
      <w:tr w:rsidR="006E211C" w14:paraId="1EA7B854" w14:textId="77777777">
        <w:tblPrEx>
          <w:tblCellMar>
            <w:top w:w="0" w:type="dxa"/>
            <w:bottom w:w="0" w:type="dxa"/>
          </w:tblCellMar>
        </w:tblPrEx>
        <w:tc>
          <w:tcPr>
            <w:tcW w:w="4400" w:type="dxa"/>
            <w:shd w:val="clear" w:color="auto" w:fill="F5F5F5"/>
          </w:tcPr>
          <w:p w14:paraId="3E2724E9" w14:textId="77777777" w:rsidR="006E211C" w:rsidRDefault="00000000">
            <w:r>
              <w:rPr>
                <w:rFonts w:ascii="Arial Narrow" w:eastAsia="Arial Narrow" w:hAnsi="Arial Narrow" w:cs="Arial Narrow"/>
              </w:rPr>
              <w:t>nebenkostenabrechnung.com (Mai 2026)</w:t>
            </w:r>
          </w:p>
        </w:tc>
        <w:tc>
          <w:tcPr>
            <w:tcW w:w="3900" w:type="dxa"/>
            <w:shd w:val="clear" w:color="auto" w:fill="F5F5F5"/>
          </w:tcPr>
          <w:p w14:paraId="7EBFC9A5" w14:textId="77777777" w:rsidR="006E211C" w:rsidRDefault="00000000">
            <w:r>
              <w:rPr>
                <w:rFonts w:ascii="Arial Narrow" w:eastAsia="Arial Narrow" w:hAnsi="Arial Narrow" w:cs="Arial Narrow"/>
              </w:rPr>
              <w:t>Statisches Informationsportal ohne interaktive Prüffunktion; kein Widerspruchsschreiben-Generator</w:t>
            </w:r>
          </w:p>
        </w:tc>
      </w:tr>
      <w:tr w:rsidR="006E211C" w14:paraId="18275CE0" w14:textId="77777777">
        <w:tblPrEx>
          <w:tblCellMar>
            <w:top w:w="0" w:type="dxa"/>
            <w:bottom w:w="0" w:type="dxa"/>
          </w:tblCellMar>
        </w:tblPrEx>
        <w:tc>
          <w:tcPr>
            <w:tcW w:w="4400" w:type="dxa"/>
            <w:shd w:val="clear" w:color="auto" w:fill="FFFFFF"/>
          </w:tcPr>
          <w:p w14:paraId="23572BE2" w14:textId="77777777" w:rsidR="006E211C" w:rsidRDefault="00000000">
            <w:r>
              <w:rPr>
                <w:rFonts w:ascii="Arial Narrow" w:eastAsia="Arial Narrow" w:hAnsi="Arial Narrow" w:cs="Arial Narrow"/>
              </w:rPr>
              <w:t>Finanztip.de, finanztip.de/</w:t>
            </w:r>
            <w:proofErr w:type="spellStart"/>
            <w:r>
              <w:rPr>
                <w:rFonts w:ascii="Arial Narrow" w:eastAsia="Arial Narrow" w:hAnsi="Arial Narrow" w:cs="Arial Narrow"/>
              </w:rPr>
              <w:t>nebenkostenabrechnung</w:t>
            </w:r>
            <w:proofErr w:type="spellEnd"/>
            <w:r>
              <w:rPr>
                <w:rFonts w:ascii="Arial Narrow" w:eastAsia="Arial Narrow" w:hAnsi="Arial Narrow" w:cs="Arial Narrow"/>
              </w:rPr>
              <w:t xml:space="preserve"> (Mai 2026)</w:t>
            </w:r>
          </w:p>
        </w:tc>
        <w:tc>
          <w:tcPr>
            <w:tcW w:w="3900" w:type="dxa"/>
            <w:shd w:val="clear" w:color="auto" w:fill="FFFFFF"/>
          </w:tcPr>
          <w:p w14:paraId="623B4DDF" w14:textId="77777777" w:rsidR="006E211C" w:rsidRDefault="00000000">
            <w:r>
              <w:rPr>
                <w:rFonts w:ascii="Arial Narrow" w:eastAsia="Arial Narrow" w:hAnsi="Arial Narrow" w:cs="Arial Narrow"/>
              </w:rPr>
              <w:t>Redaktioneller Ratgeber ohne interaktive Prüffunktion; keine Betragsberechnung</w:t>
            </w:r>
          </w:p>
        </w:tc>
      </w:tr>
      <w:tr w:rsidR="006E211C" w14:paraId="7F5B74CD" w14:textId="77777777">
        <w:tblPrEx>
          <w:tblCellMar>
            <w:top w:w="0" w:type="dxa"/>
            <w:bottom w:w="0" w:type="dxa"/>
          </w:tblCellMar>
        </w:tblPrEx>
        <w:tc>
          <w:tcPr>
            <w:tcW w:w="4400" w:type="dxa"/>
            <w:shd w:val="clear" w:color="auto" w:fill="F5F5F5"/>
          </w:tcPr>
          <w:p w14:paraId="3922B054" w14:textId="77777777" w:rsidR="006E211C" w:rsidRDefault="00000000">
            <w:r>
              <w:rPr>
                <w:rFonts w:ascii="Arial Narrow" w:eastAsia="Arial Narrow" w:hAnsi="Arial Narrow" w:cs="Arial Narrow"/>
              </w:rPr>
              <w:t>mieterbund.de (Mai 2026)</w:t>
            </w:r>
          </w:p>
        </w:tc>
        <w:tc>
          <w:tcPr>
            <w:tcW w:w="3900" w:type="dxa"/>
            <w:shd w:val="clear" w:color="auto" w:fill="F5F5F5"/>
          </w:tcPr>
          <w:p w14:paraId="02D34DC7" w14:textId="77777777" w:rsidR="006E211C" w:rsidRDefault="00000000">
            <w:r>
              <w:rPr>
                <w:rFonts w:ascii="Arial Narrow" w:eastAsia="Arial Narrow" w:hAnsi="Arial Narrow" w:cs="Arial Narrow"/>
              </w:rPr>
              <w:t>Kostenpflichtige Mitgliedschaft und persönliche Beratung; kein digitales Werkzeug verfügbar</w:t>
            </w:r>
          </w:p>
        </w:tc>
      </w:tr>
      <w:tr w:rsidR="006E211C" w14:paraId="532C6ADA" w14:textId="77777777">
        <w:tblPrEx>
          <w:tblCellMar>
            <w:top w:w="0" w:type="dxa"/>
            <w:bottom w:w="0" w:type="dxa"/>
          </w:tblCellMar>
        </w:tblPrEx>
        <w:tc>
          <w:tcPr>
            <w:tcW w:w="4400" w:type="dxa"/>
            <w:shd w:val="clear" w:color="auto" w:fill="FFFFFF"/>
          </w:tcPr>
          <w:p w14:paraId="729CCE70" w14:textId="77777777" w:rsidR="006E211C" w:rsidRDefault="00000000">
            <w:r>
              <w:rPr>
                <w:rFonts w:ascii="Arial Narrow" w:eastAsia="Arial Narrow" w:hAnsi="Arial Narrow" w:cs="Arial Narrow"/>
              </w:rPr>
              <w:t>verbraucherzentrale.de (Mai 2026)</w:t>
            </w:r>
          </w:p>
        </w:tc>
        <w:tc>
          <w:tcPr>
            <w:tcW w:w="3900" w:type="dxa"/>
            <w:shd w:val="clear" w:color="auto" w:fill="FFFFFF"/>
          </w:tcPr>
          <w:p w14:paraId="04A89A19" w14:textId="77777777" w:rsidR="006E211C" w:rsidRDefault="00000000">
            <w:r>
              <w:rPr>
                <w:rFonts w:ascii="Arial Narrow" w:eastAsia="Arial Narrow" w:hAnsi="Arial Narrow" w:cs="Arial Narrow"/>
              </w:rPr>
              <w:t>Öffentlich geförderter Verbraucherschutz; Beratung nicht automatisiert und nicht digital skalierbar</w:t>
            </w:r>
          </w:p>
        </w:tc>
      </w:tr>
    </w:tbl>
    <w:p w14:paraId="6A0C08C1" w14:textId="77777777" w:rsidR="006E211C" w:rsidRDefault="006E211C">
      <w:pPr>
        <w:spacing w:after="120"/>
      </w:pPr>
    </w:p>
    <w:sectPr w:rsidR="006E211C">
      <w:head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67287" w14:textId="77777777" w:rsidR="00FB6690" w:rsidRDefault="00FB6690">
      <w:r>
        <w:separator/>
      </w:r>
    </w:p>
  </w:endnote>
  <w:endnote w:type="continuationSeparator" w:id="0">
    <w:p w14:paraId="3B8C167A" w14:textId="77777777" w:rsidR="00FB6690" w:rsidRDefault="00FB66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333CA" w14:textId="77777777" w:rsidR="00FB6690" w:rsidRDefault="00FB6690">
      <w:r>
        <w:separator/>
      </w:r>
    </w:p>
  </w:footnote>
  <w:footnote w:type="continuationSeparator" w:id="0">
    <w:p w14:paraId="3113E04B" w14:textId="77777777" w:rsidR="00FB6690" w:rsidRDefault="00FB6690">
      <w:r>
        <w:continuationSeparator/>
      </w:r>
    </w:p>
  </w:footnote>
  <w:footnote w:id="1">
    <w:p w14:paraId="02B34FC8" w14:textId="77777777" w:rsidR="006E211C" w:rsidRDefault="00000000">
      <w:r>
        <w:rPr>
          <w:rStyle w:val="Funotenzeichen"/>
        </w:rPr>
        <w:footnoteRef/>
      </w:r>
      <w:r>
        <w:rPr>
          <w:rFonts w:ascii="Arial Narrow" w:eastAsia="Arial Narrow" w:hAnsi="Arial Narrow" w:cs="Arial Narrow"/>
          <w:sz w:val="18"/>
          <w:szCs w:val="18"/>
        </w:rPr>
        <w:t>§556 BGB: Paragraph 556 des Bürgerlichen Gesetzbuchs regelt Vereinbarungen über Betriebskosten. Er bestimmt, welche Kosten der Vermieter auf den Mieter umlegen darf und legt die Pflicht zur jährlichen Abrechnung fest.</w:t>
      </w:r>
    </w:p>
  </w:footnote>
  <w:footnote w:id="2">
    <w:p w14:paraId="34086580" w14:textId="77777777" w:rsidR="006E211C" w:rsidRDefault="00000000">
      <w:r>
        <w:rPr>
          <w:rStyle w:val="Funotenzeichen"/>
        </w:rPr>
        <w:footnoteRef/>
      </w:r>
      <w:r>
        <w:rPr>
          <w:rFonts w:ascii="Arial Narrow" w:eastAsia="Arial Narrow" w:hAnsi="Arial Narrow" w:cs="Arial Narrow"/>
          <w:sz w:val="18"/>
          <w:szCs w:val="18"/>
        </w:rPr>
        <w:t>BetrKV (Betriebskostenverordnung) vom 25. November 2003, BGBl. I S. 2346 (gesetze-im-internet.de, Stand Mai 2026): Enthält die abschließende Liste aller zulässigen umlagefähigen Betriebskosten. Positionen außerhalb dieser Liste dürfen nicht auf den Mieter umgelegt werden.</w:t>
      </w:r>
    </w:p>
  </w:footnote>
  <w:footnote w:id="3">
    <w:p w14:paraId="412AC209" w14:textId="77777777" w:rsidR="006E211C" w:rsidRDefault="00000000">
      <w:r>
        <w:rPr>
          <w:rStyle w:val="Funotenzeichen"/>
        </w:rPr>
        <w:footnoteRef/>
      </w:r>
      <w:r>
        <w:rPr>
          <w:rFonts w:ascii="Arial Narrow" w:eastAsia="Arial Narrow" w:hAnsi="Arial Narrow" w:cs="Arial Narrow"/>
          <w:sz w:val="18"/>
          <w:szCs w:val="18"/>
        </w:rPr>
        <w:t>HKVO (Heizkostenverordnung) in der aktuell geltenden Fassung: Schreibt die verbrauchsabhängige Abrechnung von Heiz- und Warmwasserkosten vor. §7 HKVO: Mindestens 50% und höchstens 70% der Heizkosten sind verbrauchsabhängig abzurechnen.</w:t>
      </w:r>
    </w:p>
  </w:footnote>
  <w:footnote w:id="4">
    <w:p w14:paraId="20629848" w14:textId="77777777" w:rsidR="006E211C" w:rsidRDefault="00000000">
      <w:r>
        <w:rPr>
          <w:rStyle w:val="Funotenzeichen"/>
        </w:rPr>
        <w:footnoteRef/>
      </w:r>
      <w:r>
        <w:rPr>
          <w:rFonts w:ascii="Arial Narrow" w:eastAsia="Arial Narrow" w:hAnsi="Arial Narrow" w:cs="Arial Narrow"/>
          <w:sz w:val="18"/>
          <w:szCs w:val="18"/>
        </w:rPr>
        <w:t>§556 Abs. 3 BGB: Der Vermieter muss die Nebenkostenabrechnung dem Mieter spätestens zwölf Monate nach Ende des Abrechnungszeitraums mitteilen. Wer als Mieter nicht innerhalb von zwölf Monaten nach Zugang der Abrechnung Einwendungen erhebt, verliert sein Widerspruchsrecht (Einwendungsausschluss nach §556 Abs. 3 Satz 5 BGB).</w:t>
      </w:r>
    </w:p>
  </w:footnote>
  <w:footnote w:id="5">
    <w:p w14:paraId="0178C0CD" w14:textId="77777777" w:rsidR="00CD0B9A" w:rsidRDefault="00CD0B9A"/>
    <w:p w14:paraId="10892642" w14:textId="77777777" w:rsidR="00000000" w:rsidRDefault="00000000"/>
  </w:footnote>
  <w:footnote w:id="6">
    <w:p w14:paraId="788D64C7" w14:textId="77777777" w:rsidR="006E211C" w:rsidRDefault="00000000">
      <w:r>
        <w:rPr>
          <w:rStyle w:val="Funotenzeichen"/>
        </w:rPr>
        <w:footnoteRef/>
      </w:r>
      <w:r>
        <w:rPr>
          <w:rFonts w:ascii="Arial Narrow" w:eastAsia="Arial Narrow" w:hAnsi="Arial Narrow" w:cs="Arial Narrow"/>
          <w:sz w:val="18"/>
          <w:szCs w:val="18"/>
        </w:rPr>
        <w:t>Legal-Tech: Einsatz von Technologie und Software zur Unterstützung oder Automatisierung rechtlicher Tätigkeiten und Prozesse. Kein Synonym für Rechtsdienstleistung im Sinne des §2 RDG.</w:t>
      </w:r>
    </w:p>
  </w:footnote>
  <w:footnote w:id="7">
    <w:p w14:paraId="6360117A" w14:textId="77777777" w:rsidR="006E211C" w:rsidRDefault="00000000">
      <w:r>
        <w:rPr>
          <w:rStyle w:val="Funotenzeichen"/>
        </w:rPr>
        <w:footnoteRef/>
      </w:r>
      <w:r>
        <w:rPr>
          <w:rFonts w:ascii="Arial Narrow" w:eastAsia="Arial Narrow" w:hAnsi="Arial Narrow" w:cs="Arial Narrow"/>
          <w:sz w:val="18"/>
          <w:szCs w:val="18"/>
        </w:rPr>
        <w:t>§556b BGB: Regelt die Fälligkeit der Betriebskostenzahlung sowie das Aufrechnungs- und Zurückbehaltungsrecht des Mieters. Der Mieter darf nach Fristablauf mit einem anerkannten Erstattungsanspruch gegen die laufende Vorauszahlung aufrechnen.</w:t>
      </w:r>
    </w:p>
  </w:footnote>
  <w:footnote w:id="8">
    <w:p w14:paraId="778B5C32" w14:textId="77777777" w:rsidR="006E211C" w:rsidRDefault="00000000">
      <w:r>
        <w:rPr>
          <w:rStyle w:val="Funotenzeichen"/>
        </w:rPr>
        <w:footnoteRef/>
      </w:r>
      <w:r>
        <w:rPr>
          <w:rFonts w:ascii="Arial Narrow" w:eastAsia="Arial Narrow" w:hAnsi="Arial Narrow" w:cs="Arial Narrow"/>
          <w:sz w:val="18"/>
          <w:szCs w:val="18"/>
        </w:rPr>
        <w:t xml:space="preserve">FFVAV (Fernwärme-Fernkälte-Verordnung), §4: Schreibt seit 2022 vor, dass Versorger bei fernablesbaren </w:t>
      </w:r>
      <w:proofErr w:type="spellStart"/>
      <w:r>
        <w:rPr>
          <w:rFonts w:ascii="Arial Narrow" w:eastAsia="Arial Narrow" w:hAnsi="Arial Narrow" w:cs="Arial Narrow"/>
          <w:sz w:val="18"/>
          <w:szCs w:val="18"/>
        </w:rPr>
        <w:t>Zählerstandserfassungen</w:t>
      </w:r>
      <w:proofErr w:type="spellEnd"/>
      <w:r>
        <w:rPr>
          <w:rFonts w:ascii="Arial Narrow" w:eastAsia="Arial Narrow" w:hAnsi="Arial Narrow" w:cs="Arial Narrow"/>
          <w:sz w:val="18"/>
          <w:szCs w:val="18"/>
        </w:rPr>
        <w:t xml:space="preserve"> monatliche Verbrauchsinformationen bereitzustellen haben. Relevant für Mieter mit Fernwärmeanschluss; in </w:t>
      </w:r>
      <w:proofErr w:type="spellStart"/>
      <w:r>
        <w:rPr>
          <w:rFonts w:ascii="Arial Narrow" w:eastAsia="Arial Narrow" w:hAnsi="Arial Narrow" w:cs="Arial Narrow"/>
          <w:sz w:val="18"/>
          <w:szCs w:val="18"/>
        </w:rPr>
        <w:t>NebenkostenCheck</w:t>
      </w:r>
      <w:proofErr w:type="spellEnd"/>
      <w:r>
        <w:rPr>
          <w:rFonts w:ascii="Arial Narrow" w:eastAsia="Arial Narrow" w:hAnsi="Arial Narrow" w:cs="Arial Narrow"/>
          <w:sz w:val="18"/>
          <w:szCs w:val="18"/>
        </w:rPr>
        <w:t xml:space="preserve"> V1 als Hinweis implementiert, in V2 geprüft.</w:t>
      </w:r>
    </w:p>
  </w:footnote>
  <w:footnote w:id="9">
    <w:p w14:paraId="385CD311" w14:textId="77777777" w:rsidR="006E211C" w:rsidRDefault="00000000">
      <w:r>
        <w:rPr>
          <w:rStyle w:val="Funotenzeichen"/>
        </w:rPr>
        <w:footnoteRef/>
      </w:r>
      <w:r>
        <w:rPr>
          <w:rFonts w:ascii="Arial Narrow" w:eastAsia="Arial Narrow" w:hAnsi="Arial Narrow" w:cs="Arial Narrow"/>
          <w:sz w:val="18"/>
          <w:szCs w:val="18"/>
        </w:rPr>
        <w:t>RDG (Rechtsdienstleistungsgesetz) vom 12. Dezember 2007 (gesetze-im-internet.de, Stand Mai 2026): Regelt, welche rechtlichen Tätigkeiten außerhalb der Rechtsanwaltschaft zulässig sind. §2 RDG definiert Rechtsdienstleistungen als Tätigkeiten in konkreten fremden Angelegenheiten, die eine rechtliche Prüfung des Einzelfalls erfordern. Reine Informationsbereitstellung und automatisierte Musterdokumente gelten nicht als Rechtsdienstleistung, sofern kein individueller Beratungscharakter vorliegt.</w:t>
      </w:r>
    </w:p>
  </w:footnote>
  <w:footnote w:id="10">
    <w:p w14:paraId="5C19F20A" w14:textId="77777777" w:rsidR="006E211C" w:rsidRDefault="00000000">
      <w:r>
        <w:rPr>
          <w:rStyle w:val="Funotenzeichen"/>
        </w:rPr>
        <w:footnoteRef/>
      </w:r>
      <w:r>
        <w:rPr>
          <w:rFonts w:ascii="Arial Narrow" w:eastAsia="Arial Narrow" w:hAnsi="Arial Narrow" w:cs="Arial Narrow"/>
          <w:sz w:val="18"/>
          <w:szCs w:val="18"/>
        </w:rPr>
        <w:t>Freemium (aus englisch: Free und Premium): Geschäftsmodell, bei dem eine Grundversion eines Produkts kostenlos angeboten wird und erweiterte Funktionen kostenpflichtig sind. Der Konversionsmoment liegt im Moment des erlebten Mehrwerts der kostenlosen Version.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A777C" w14:textId="77777777" w:rsidR="006E211C" w:rsidRDefault="00000000">
    <w:r>
      <w:rPr>
        <w:noProof/>
      </w:rPr>
      <w:drawing>
        <wp:anchor distT="0" distB="0" distL="0" distR="0" simplePos="0" relativeHeight="857250" behindDoc="1" locked="0" layoutInCell="1" allowOverlap="1" wp14:anchorId="4AC1B207" wp14:editId="03D7A3CB">
          <wp:simplePos x="0" y="0"/>
          <wp:positionH relativeFrom="page">
            <wp:align>right</wp:align>
          </wp:positionH>
          <wp:positionV relativeFrom="paragraph">
            <wp:posOffset>-411480</wp:posOffset>
          </wp:positionV>
          <wp:extent cx="1704975" cy="85725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704975" cy="857250"/>
                  </a:xfrm>
                  <a:prstGeom prst="rect">
                    <a:avLst/>
                  </a:prstGeom>
                </pic:spPr>
              </pic:pic>
            </a:graphicData>
          </a:graphic>
        </wp:anchor>
      </w:drawing>
    </w:r>
    <w:r>
      <w:rPr>
        <w:rFonts w:ascii="Arial Narrow" w:eastAsia="Arial Narrow" w:hAnsi="Arial Narrow" w:cs="Arial Narrow"/>
        <w:color w:val="888888"/>
        <w:sz w:val="16"/>
        <w:szCs w:val="16"/>
      </w:rPr>
      <w:t xml:space="preserve">WAMOCON GmbH, </w:t>
    </w:r>
    <w:proofErr w:type="spellStart"/>
    <w:r>
      <w:rPr>
        <w:rFonts w:ascii="Arial Narrow" w:eastAsia="Arial Narrow" w:hAnsi="Arial Narrow" w:cs="Arial Narrow"/>
        <w:color w:val="888888"/>
        <w:sz w:val="16"/>
        <w:szCs w:val="16"/>
      </w:rPr>
      <w:t>Mergenthalerallee</w:t>
    </w:r>
    <w:proofErr w:type="spellEnd"/>
    <w:r>
      <w:rPr>
        <w:rFonts w:ascii="Arial Narrow" w:eastAsia="Arial Narrow" w:hAnsi="Arial Narrow" w:cs="Arial Narrow"/>
        <w:color w:val="888888"/>
        <w:sz w:val="16"/>
        <w:szCs w:val="16"/>
      </w:rPr>
      <w:t xml:space="preserve"> 79-81, 65760 Eschborn</w:t>
    </w:r>
  </w:p>
  <w:p w14:paraId="2606B49A" w14:textId="77777777" w:rsidR="006E211C" w:rsidRDefault="006E211C">
    <w:pPr>
      <w:pBdr>
        <w:bottom w:val="single" w:sz="4" w:space="0" w:color="CCCCC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F3A42"/>
    <w:multiLevelType w:val="hybridMultilevel"/>
    <w:tmpl w:val="6D4449F2"/>
    <w:lvl w:ilvl="0" w:tplc="5DAC1536">
      <w:start w:val="1"/>
      <w:numFmt w:val="bullet"/>
      <w:lvlText w:val="●"/>
      <w:lvlJc w:val="left"/>
      <w:pPr>
        <w:ind w:left="720" w:hanging="360"/>
      </w:pPr>
    </w:lvl>
    <w:lvl w:ilvl="1" w:tplc="17F2EF2E">
      <w:start w:val="1"/>
      <w:numFmt w:val="bullet"/>
      <w:lvlText w:val="○"/>
      <w:lvlJc w:val="left"/>
      <w:pPr>
        <w:ind w:left="1440" w:hanging="360"/>
      </w:pPr>
    </w:lvl>
    <w:lvl w:ilvl="2" w:tplc="6666F042">
      <w:start w:val="1"/>
      <w:numFmt w:val="bullet"/>
      <w:lvlText w:val="■"/>
      <w:lvlJc w:val="left"/>
      <w:pPr>
        <w:ind w:left="2160" w:hanging="360"/>
      </w:pPr>
    </w:lvl>
    <w:lvl w:ilvl="3" w:tplc="98627224">
      <w:start w:val="1"/>
      <w:numFmt w:val="bullet"/>
      <w:lvlText w:val="●"/>
      <w:lvlJc w:val="left"/>
      <w:pPr>
        <w:ind w:left="2880" w:hanging="360"/>
      </w:pPr>
    </w:lvl>
    <w:lvl w:ilvl="4" w:tplc="604E1394">
      <w:start w:val="1"/>
      <w:numFmt w:val="bullet"/>
      <w:lvlText w:val="○"/>
      <w:lvlJc w:val="left"/>
      <w:pPr>
        <w:ind w:left="3600" w:hanging="360"/>
      </w:pPr>
    </w:lvl>
    <w:lvl w:ilvl="5" w:tplc="70B2E218">
      <w:start w:val="1"/>
      <w:numFmt w:val="bullet"/>
      <w:lvlText w:val="■"/>
      <w:lvlJc w:val="left"/>
      <w:pPr>
        <w:ind w:left="4320" w:hanging="360"/>
      </w:pPr>
    </w:lvl>
    <w:lvl w:ilvl="6" w:tplc="3078DAD0">
      <w:start w:val="1"/>
      <w:numFmt w:val="bullet"/>
      <w:lvlText w:val="●"/>
      <w:lvlJc w:val="left"/>
      <w:pPr>
        <w:ind w:left="5040" w:hanging="360"/>
      </w:pPr>
    </w:lvl>
    <w:lvl w:ilvl="7" w:tplc="FB42BE80">
      <w:start w:val="1"/>
      <w:numFmt w:val="bullet"/>
      <w:lvlText w:val="●"/>
      <w:lvlJc w:val="left"/>
      <w:pPr>
        <w:ind w:left="5760" w:hanging="360"/>
      </w:pPr>
    </w:lvl>
    <w:lvl w:ilvl="8" w:tplc="AF92EB80">
      <w:start w:val="1"/>
      <w:numFmt w:val="bullet"/>
      <w:lvlText w:val="●"/>
      <w:lvlJc w:val="left"/>
      <w:pPr>
        <w:ind w:left="6480" w:hanging="360"/>
      </w:pPr>
    </w:lvl>
  </w:abstractNum>
  <w:num w:numId="1" w16cid:durableId="654146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11C"/>
    <w:rsid w:val="00104AF8"/>
    <w:rsid w:val="006E211C"/>
    <w:rsid w:val="00CD0B9A"/>
    <w:rsid w:val="00FB669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5D3AF"/>
  <w15:docId w15:val="{3B3EA478-2E4D-4FE9-8A82-0A04CBE24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undefined"/></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5393</Words>
  <Characters>33976</Characters>
  <Application>Microsoft Office Word</Application>
  <DocSecurity>0</DocSecurity>
  <Lines>283</Lines>
  <Paragraphs>78</Paragraphs>
  <ScaleCrop>false</ScaleCrop>
  <Company/>
  <LinksUpToDate>false</LinksUpToDate>
  <CharactersWithSpaces>39291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Erwin Moretz</cp:lastModifiedBy>
  <cp:revision>1</cp:revision>
  <dcterms:created xsi:type="dcterms:W3CDTF">2026-05-19T14:23:00Z</dcterms:created>
  <dcterms:modified xsi:type="dcterms:W3CDTF">2026-05-19T14:46:00Z</dcterms:modified>
</cp:coreProperties>
</file>