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60"/>
        <w:jc w:val="left"/>
        <w:rPr/>
      </w:pPr>
      <w:r>
        <w:rPr/>
        <w:t>Rapport de projet — TutorLocal</w:t>
      </w:r>
    </w:p>
    <w:p>
      <w:pPr>
        <w:pStyle w:val="BodyText"/>
        <w:bidi w:val="0"/>
        <w:spacing w:before="45" w:after="30"/>
        <w:ind w:hanging="0" w:left="0" w:right="0"/>
        <w:rPr>
          <w:b/>
          <w:color w:val="555566"/>
          <w:sz w:val="23"/>
        </w:rPr>
      </w:pPr>
      <w:r>
        <w:rPr>
          <w:b/>
          <w:color w:val="555566"/>
          <w:sz w:val="23"/>
        </w:rPr>
        <w:t>Application mobile d’entraide scolaire · .NET MAUI (C#) · Refonte MVVM &amp; logique métier</w:t>
      </w:r>
    </w:p>
    <w:p>
      <w:pPr>
        <w:pStyle w:val="BodyText"/>
        <w:bidi w:val="0"/>
        <w:spacing w:before="45" w:after="150"/>
        <w:ind w:hanging="0" w:left="0" w:right="0"/>
        <w:rPr>
          <w:color w:val="777777"/>
          <w:sz w:val="18"/>
        </w:rPr>
      </w:pPr>
      <w:r>
        <w:rPr>
          <w:color w:val="777777"/>
          <w:sz w:val="18"/>
        </w:rPr>
        <w:t>Version 1.0 — 25 octobre 2026 — Plateforme cible : Android (net8.0-android) — Rapport sur 2 pages</w:t>
      </w:r>
    </w:p>
    <w:p>
      <w:pPr>
        <w:pStyle w:val="Heading2"/>
        <w:numPr>
          <w:ilvl w:val="0"/>
          <w:numId w:val="0"/>
        </w:numPr>
        <w:pBdr>
          <w:bottom w:val="single" w:sz="6" w:space="2" w:color="4338CA"/>
        </w:pBdr>
        <w:bidi w:val="0"/>
        <w:spacing w:before="135" w:after="60"/>
        <w:ind w:left="135" w:right="135"/>
        <w:jc w:val="left"/>
        <w:rPr/>
      </w:pPr>
      <w:r>
        <w:rPr/>
        <w:t>1. Contexte et objectifs du projet</w:t>
      </w:r>
    </w:p>
    <w:p>
      <w:pPr>
        <w:pStyle w:val="BodyText"/>
        <w:bidi w:val="0"/>
        <w:spacing w:lineRule="auto" w:line="276" w:before="45" w:after="45"/>
        <w:ind w:left="45" w:right="45"/>
        <w:jc w:val="both"/>
        <w:rPr/>
      </w:pPr>
      <w:r>
        <w:rPr>
          <w:b/>
        </w:rPr>
        <w:t>TutorLocal</w:t>
      </w:r>
      <w:r>
        <w:rPr/>
        <w:t xml:space="preserve"> est une application mobile qui met en relation des </w:t>
      </w:r>
      <w:r>
        <w:rPr>
          <w:b/>
        </w:rPr>
        <w:t>élèves et parents</w:t>
      </w:r>
      <w:r>
        <w:rPr/>
        <w:t xml:space="preserve"> avec des </w:t>
      </w:r>
      <w:r>
        <w:rPr>
          <w:b/>
        </w:rPr>
        <w:t>tuteurs bénévoles</w:t>
      </w:r>
      <w:r>
        <w:rPr/>
        <w:t xml:space="preserve"> vérifiés, pour des séances d’entraide scolaire </w:t>
      </w:r>
      <w:r>
        <w:rPr>
          <w:b/>
        </w:rPr>
        <w:t>gratuites</w:t>
      </w:r>
      <w:r>
        <w:rPr/>
        <w:t xml:space="preserve"> (médiathèques, bibliothèques, centres sociaux ou visio sécurisée). Le dépôt ne contenait à l'origine que les </w:t>
      </w:r>
      <w:r>
        <w:rPr>
          <w:b/>
        </w:rPr>
        <w:t>11 interfaces XAML maquettées</w:t>
      </w:r>
      <w:r>
        <w:rPr/>
        <w:t xml:space="preserve"> à la racine, naviguant par code-behind, sans logique. La mission visait à 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54" w:leader="none"/>
        </w:tabs>
        <w:bidi w:val="0"/>
        <w:spacing w:before="45" w:after="0"/>
        <w:ind w:hanging="283" w:left="754"/>
        <w:rPr/>
      </w:pPr>
      <w:r>
        <w:rPr>
          <w:b/>
        </w:rPr>
        <w:t>Restructurer le projet selon le pattern MVVM</w:t>
      </w:r>
      <w:r>
        <w:rPr/>
        <w:t xml:space="preserve"> : séparation Model / View / ViewModel, liaison de données (bindings), commandes </w:t>
      </w:r>
      <w:r>
        <w:rPr>
          <w:rStyle w:val="Textesource"/>
        </w:rPr>
        <w:t>ICommand</w:t>
      </w:r>
      <w:r>
        <w:rPr/>
        <w:t>, injection de dépendances (</w:t>
      </w:r>
      <w:r>
        <w:rPr>
          <w:rStyle w:val="Textesource"/>
        </w:rPr>
        <w:t>IServiceCollection</w:t>
      </w:r>
      <w:r>
        <w:rPr/>
        <w:t xml:space="preserve">) 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54" w:leader="none"/>
        </w:tabs>
        <w:bidi w:val="0"/>
        <w:spacing w:before="45" w:after="0"/>
        <w:ind w:hanging="283" w:left="754"/>
        <w:rPr/>
      </w:pPr>
      <w:r>
        <w:rPr>
          <w:b/>
        </w:rPr>
        <w:t>Implémenter la logique métier (« backend » local)</w:t>
      </w:r>
      <w:r>
        <w:rPr/>
        <w:t xml:space="preserve"> : comptes &amp; sessions utilisateurs, annuaire de tuteurs, séances de tutorat, messagerie, demandes d’aide express, avis post-séance 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54" w:leader="none"/>
        </w:tabs>
        <w:bidi w:val="0"/>
        <w:spacing w:before="45" w:after="0"/>
        <w:ind w:hanging="283" w:left="754"/>
        <w:rPr/>
      </w:pPr>
      <w:r>
        <w:rPr>
          <w:b/>
        </w:rPr>
        <w:t>Rendre chaque maquette pleinement fonctionnelle</w:t>
      </w:r>
      <w:r>
        <w:rPr/>
        <w:t xml:space="preserve"> (navigation, formulaires, filtres, listes dynamiques) </w:t>
      </w:r>
      <w:r>
        <w:rPr>
          <w:b/>
        </w:rPr>
        <w:t>sans altérer le design</w:t>
      </w:r>
      <w:r>
        <w:rPr/>
        <w:t xml:space="preserve"> d’origine 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54" w:leader="none"/>
        </w:tabs>
        <w:bidi w:val="0"/>
        <w:ind w:hanging="283" w:left="754"/>
        <w:rPr/>
      </w:pPr>
      <w:r>
        <w:rPr>
          <w:b/>
        </w:rPr>
        <w:t>Assurer un build Android</w:t>
      </w:r>
      <w:r>
        <w:rPr/>
        <w:t xml:space="preserve"> reproductible sous Linux (workload </w:t>
      </w:r>
      <w:r>
        <w:rPr>
          <w:rStyle w:val="Textesource"/>
        </w:rPr>
        <w:t>maui-android</w:t>
      </w:r>
      <w:r>
        <w:rPr/>
        <w:t xml:space="preserve">), sans erreur ni avertissement. </w:t>
      </w:r>
    </w:p>
    <w:p>
      <w:pPr>
        <w:pStyle w:val="Heading2"/>
        <w:numPr>
          <w:ilvl w:val="0"/>
          <w:numId w:val="0"/>
        </w:numPr>
        <w:pBdr>
          <w:bottom w:val="single" w:sz="6" w:space="2" w:color="4338CA"/>
        </w:pBdr>
        <w:bidi w:val="0"/>
        <w:spacing w:before="135" w:after="60"/>
        <w:ind w:left="135" w:right="135"/>
        <w:jc w:val="left"/>
        <w:rPr/>
      </w:pPr>
      <w:r>
        <w:rPr/>
        <w:t>2. Architecture mise en place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54" w:leader="none"/>
        </w:tabs>
        <w:bidi w:val="0"/>
        <w:spacing w:before="45" w:after="0"/>
        <w:ind w:hanging="283" w:left="754"/>
        <w:rPr/>
      </w:pPr>
      <w:r>
        <w:rPr>
          <w:rStyle w:val="Textesource"/>
        </w:rPr>
        <w:t>Models/</w:t>
      </w:r>
      <w:r>
        <w:rPr/>
        <w:t xml:space="preserve"> — entités métier : </w:t>
      </w:r>
      <w:r>
        <w:rPr>
          <w:rStyle w:val="Textesource"/>
        </w:rPr>
        <w:t>User</w:t>
      </w:r>
      <w:r>
        <w:rPr/>
        <w:t xml:space="preserve"> (rôle élève/parent ou tuteur, niveau scolaire), </w:t>
      </w:r>
      <w:r>
        <w:rPr>
          <w:rStyle w:val="Textesource"/>
        </w:rPr>
        <w:t>Tutor</w:t>
      </w:r>
      <w:r>
        <w:rPr/>
        <w:t xml:space="preserve"> (matières, note, distance, avis), </w:t>
      </w:r>
      <w:r>
        <w:rPr>
          <w:rStyle w:val="Textesource"/>
        </w:rPr>
        <w:t>TutoringSession</w:t>
      </w:r>
      <w:r>
        <w:rPr/>
        <w:t xml:space="preserve"> (statuts : en attente, confirmée, terminée, annulée), </w:t>
      </w:r>
      <w:r>
        <w:rPr>
          <w:rStyle w:val="Textesource"/>
        </w:rPr>
        <w:t>ChatMessage</w:t>
      </w:r>
      <w:r>
        <w:rPr/>
        <w:t xml:space="preserve">, </w:t>
      </w:r>
      <w:r>
        <w:rPr>
          <w:rStyle w:val="Textesource"/>
        </w:rPr>
        <w:t>HelpRequest</w:t>
      </w:r>
      <w:r>
        <w:rPr/>
        <w:t xml:space="preserve"> 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54" w:leader="none"/>
        </w:tabs>
        <w:bidi w:val="0"/>
        <w:spacing w:before="45" w:after="0"/>
        <w:ind w:hanging="283" w:left="754"/>
        <w:rPr/>
      </w:pPr>
      <w:r>
        <w:rPr>
          <w:rStyle w:val="Textesource"/>
        </w:rPr>
        <w:t>Services/</w:t>
      </w:r>
      <w:r>
        <w:rPr/>
        <w:t xml:space="preserve"> — 6 services injectés en singleton : </w:t>
      </w:r>
      <w:r>
        <w:rPr>
          <w:rStyle w:val="Textesource"/>
        </w:rPr>
        <w:t>IAuthService</w:t>
      </w:r>
      <w:r>
        <w:rPr/>
        <w:t xml:space="preserve"> (comptes persistés en </w:t>
      </w:r>
      <w:r>
        <w:rPr>
          <w:rStyle w:val="Textesource"/>
        </w:rPr>
        <w:t>Preferences</w:t>
      </w:r>
      <w:r>
        <w:rPr/>
        <w:t xml:space="preserve"> JSON, « Se souvenir de moi », restauration de session), </w:t>
      </w:r>
      <w:r>
        <w:rPr>
          <w:rStyle w:val="Textesource"/>
        </w:rPr>
        <w:t>ITutorService</w:t>
      </w:r>
      <w:r>
        <w:rPr/>
        <w:t xml:space="preserve"> (annuaire + tuteur sélectionné + recalcul de notes), </w:t>
      </w:r>
      <w:r>
        <w:rPr>
          <w:rStyle w:val="Textesource"/>
        </w:rPr>
        <w:t>ISessionService</w:t>
      </w:r>
      <w:r>
        <w:rPr/>
        <w:t xml:space="preserve"> (planification, confirmation, annulation, avis), </w:t>
      </w:r>
      <w:r>
        <w:rPr>
          <w:rStyle w:val="Textesource"/>
        </w:rPr>
        <w:t>IChatService</w:t>
      </w:r>
      <w:r>
        <w:rPr/>
        <w:t xml:space="preserve"> (conversations, réponse simulée du tuteur), </w:t>
      </w:r>
      <w:r>
        <w:rPr>
          <w:rStyle w:val="Textesource"/>
        </w:rPr>
        <w:t>IHelpRequestService</w:t>
      </w:r>
      <w:r>
        <w:rPr/>
        <w:t xml:space="preserve"> (publication → séance + message automatique), </w:t>
      </w:r>
      <w:r>
        <w:rPr>
          <w:rStyle w:val="Textesource"/>
        </w:rPr>
        <w:t>INavigationService</w:t>
      </w:r>
      <w:r>
        <w:rPr/>
        <w:t xml:space="preserve"> (PushAsync / PopAsync / SwitchTab centralisés, vues résolues par DI) 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54" w:leader="none"/>
        </w:tabs>
        <w:bidi w:val="0"/>
        <w:spacing w:before="45" w:after="0"/>
        <w:ind w:hanging="283" w:left="754"/>
        <w:rPr/>
      </w:pPr>
      <w:r>
        <w:rPr>
          <w:rStyle w:val="Textesource"/>
        </w:rPr>
        <w:t>ViewModels/</w:t>
      </w:r>
      <w:r>
        <w:rPr/>
        <w:t xml:space="preserve"> — 11 ViewModels (1 par page) héritant d’une base </w:t>
      </w:r>
      <w:r>
        <w:rPr>
          <w:rStyle w:val="Textesource"/>
        </w:rPr>
        <w:t>ObservableObject</w:t>
      </w:r>
      <w:r>
        <w:rPr/>
        <w:t xml:space="preserve"> maison (implémentation </w:t>
      </w:r>
      <w:r>
        <w:rPr>
          <w:rStyle w:val="Textesource"/>
        </w:rPr>
        <w:t>INotifyPropertyChanged</w:t>
      </w:r>
      <w:r>
        <w:rPr/>
        <w:t xml:space="preserve">, état </w:t>
      </w:r>
      <w:r>
        <w:rPr>
          <w:rStyle w:val="Textesource"/>
        </w:rPr>
        <w:t>IsBusy</w:t>
      </w:r>
      <w:r>
        <w:rPr/>
        <w:t xml:space="preserve"> / messages d’erreur), plus </w:t>
      </w:r>
      <w:r>
        <w:rPr>
          <w:rStyle w:val="Textesource"/>
        </w:rPr>
        <w:t>RelayCommand</w:t>
      </w:r>
      <w:r>
        <w:rPr/>
        <w:t xml:space="preserve"> / </w:t>
      </w:r>
      <w:r>
        <w:rPr>
          <w:rStyle w:val="Textesource"/>
        </w:rPr>
        <w:t>AsyncRelayCommand</w:t>
      </w:r>
      <w:r>
        <w:rPr/>
        <w:t xml:space="preserve"> (aucune dépendance NuGet externe) 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54" w:leader="none"/>
        </w:tabs>
        <w:bidi w:val="0"/>
        <w:spacing w:before="45" w:after="0"/>
        <w:ind w:hanging="283" w:left="754"/>
        <w:rPr/>
      </w:pPr>
      <w:r>
        <w:rPr>
          <w:rStyle w:val="Textesource"/>
        </w:rPr>
        <w:t>Views/</w:t>
      </w:r>
      <w:r>
        <w:rPr/>
        <w:t xml:space="preserve"> — les 11 pages XAML déplacées par </w:t>
      </w:r>
      <w:r>
        <w:rPr>
          <w:rStyle w:val="Textesource"/>
        </w:rPr>
        <w:t>git mv</w:t>
      </w:r>
      <w:r>
        <w:rPr/>
        <w:t xml:space="preserve"> (historique conservé), code-behind réduit à l’injection du ViewModel + </w:t>
      </w:r>
      <w:r>
        <w:rPr>
          <w:rStyle w:val="Textesource"/>
        </w:rPr>
        <w:t>BindingContext</w:t>
      </w:r>
      <w:r>
        <w:rPr/>
        <w:t xml:space="preserve"> + </w:t>
      </w:r>
      <w:r>
        <w:rPr>
          <w:rStyle w:val="Textesource"/>
        </w:rPr>
        <w:t>OnAppearing</w:t>
      </w:r>
      <w:r>
        <w:rPr/>
        <w:t xml:space="preserve"> ; convertisseurs globaux (</w:t>
      </w:r>
      <w:r>
        <w:rPr>
          <w:rStyle w:val="Textesource"/>
        </w:rPr>
        <w:t>InverseBoolConverter</w:t>
      </w:r>
      <w:r>
        <w:rPr/>
        <w:t xml:space="preserve">…) 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54" w:leader="none"/>
        </w:tabs>
        <w:bidi w:val="0"/>
        <w:ind w:hanging="283" w:left="754"/>
        <w:rPr/>
      </w:pPr>
      <w:r>
        <w:rPr>
          <w:rStyle w:val="Textesource"/>
        </w:rPr>
        <w:t>MauiProgram.cs</w:t>
      </w:r>
      <w:r>
        <w:rPr/>
        <w:t xml:space="preserve"> — enregistrement complet des services, ViewModels et vues ; </w:t>
      </w:r>
      <w:r>
        <w:rPr>
          <w:rStyle w:val="Textesource"/>
        </w:rPr>
        <w:t>App.xaml.cs</w:t>
      </w:r>
      <w:r>
        <w:rPr/>
        <w:t xml:space="preserve"> — route de démarrage (accueil public ou tableau de bord si session restaurée). </w:t>
      </w:r>
    </w:p>
    <w:p>
      <w:pPr>
        <w:pStyle w:val="Heading2"/>
        <w:numPr>
          <w:ilvl w:val="0"/>
          <w:numId w:val="0"/>
        </w:numPr>
        <w:pBdr>
          <w:bottom w:val="single" w:sz="6" w:space="2" w:color="4338CA"/>
        </w:pBdr>
        <w:bidi w:val="0"/>
        <w:spacing w:before="135" w:after="60"/>
        <w:ind w:left="135" w:right="135"/>
        <w:jc w:val="left"/>
        <w:rPr/>
      </w:pPr>
      <w:r>
        <w:rPr/>
        <w:t>3. Taux de réalisation</w:t>
      </w:r>
    </w:p>
    <w:tbl>
      <w:tblPr>
        <w:tblW w:w="1020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17"/>
        <w:gridCol w:w="6119"/>
        <w:gridCol w:w="1596"/>
        <w:gridCol w:w="674"/>
      </w:tblGrid>
      <w:tr>
        <w:trPr/>
        <w:tc>
          <w:tcPr>
            <w:tcW w:w="1817" w:type="dxa"/>
            <w:tcBorders/>
            <w:vAlign w:val="center"/>
          </w:tcPr>
          <w:p>
            <w:pPr>
              <w:pStyle w:val="Titredetableau"/>
              <w:suppressLineNumbers/>
              <w:bidi w:val="0"/>
              <w:jc w:val="left"/>
              <w:rPr/>
            </w:pPr>
            <w:r>
              <w:rPr/>
              <w:t>Module / livrable</w:t>
            </w:r>
          </w:p>
        </w:tc>
        <w:tc>
          <w:tcPr>
            <w:tcW w:w="6119" w:type="dxa"/>
            <w:tcBorders/>
            <w:vAlign w:val="center"/>
          </w:tcPr>
          <w:p>
            <w:pPr>
              <w:pStyle w:val="Titredetableau"/>
              <w:suppressLineNumbers/>
              <w:bidi w:val="0"/>
              <w:jc w:val="left"/>
              <w:rPr/>
            </w:pPr>
            <w:r>
              <w:rPr/>
              <w:t>Contenu</w:t>
            </w:r>
          </w:p>
        </w:tc>
        <w:tc>
          <w:tcPr>
            <w:tcW w:w="1596" w:type="dxa"/>
            <w:tcBorders/>
            <w:vAlign w:val="center"/>
          </w:tcPr>
          <w:p>
            <w:pPr>
              <w:pStyle w:val="Titredetableau"/>
              <w:suppressLineNumbers/>
              <w:bidi w:val="0"/>
              <w:jc w:val="left"/>
              <w:rPr/>
            </w:pPr>
            <w:r>
              <w:rPr/>
              <w:t>État</w:t>
            </w:r>
          </w:p>
        </w:tc>
        <w:tc>
          <w:tcPr>
            <w:tcW w:w="674" w:type="dxa"/>
            <w:tcBorders/>
            <w:vAlign w:val="center"/>
          </w:tcPr>
          <w:p>
            <w:pPr>
              <w:pStyle w:val="Titredetableau"/>
              <w:suppressLineNumbers/>
              <w:bidi w:val="0"/>
              <w:jc w:val="left"/>
              <w:rPr/>
            </w:pPr>
            <w:r>
              <w:rPr/>
              <w:t>Taux</w:t>
            </w:r>
          </w:p>
        </w:tc>
      </w:tr>
      <w:tr>
        <w:trPr/>
        <w:tc>
          <w:tcPr>
            <w:tcW w:w="1817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Restructuration MVVM</w:t>
            </w:r>
          </w:p>
        </w:tc>
        <w:tc>
          <w:tcPr>
            <w:tcW w:w="6119" w:type="dxa"/>
            <w:tcBorders/>
            <w:vAlign w:val="center"/>
          </w:tcPr>
          <w:p>
            <w:pPr>
              <w:pStyle w:val="Contenudetableau"/>
              <w:bidi w:val="0"/>
              <w:ind w:hanging="0" w:left="0" w:right="0"/>
              <w:jc w:val="left"/>
              <w:rPr/>
            </w:pPr>
            <w:r>
              <w:rPr/>
              <w:t>Arborescence Models/Services/ViewModels/Views, DI complète, code-behind minimal</w:t>
            </w:r>
          </w:p>
        </w:tc>
        <w:tc>
          <w:tcPr>
            <w:tcW w:w="1596" w:type="dxa"/>
            <w:tcBorders/>
            <w:vAlign w:val="center"/>
          </w:tcPr>
          <w:p>
            <w:pPr>
              <w:pStyle w:val="Contenudetableau"/>
              <w:bidi w:val="0"/>
              <w:jc w:val="left"/>
              <w:rPr>
                <w:b/>
                <w:color w:val="0A7D48"/>
              </w:rPr>
            </w:pPr>
            <w:r>
              <w:rPr>
                <w:b/>
                <w:color w:val="0A7D48"/>
              </w:rPr>
              <w:t>Terminé</w:t>
            </w:r>
          </w:p>
        </w:tc>
        <w:tc>
          <w:tcPr>
            <w:tcW w:w="674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100 %</w:t>
            </w:r>
          </w:p>
        </w:tc>
      </w:tr>
      <w:tr>
        <w:trPr/>
        <w:tc>
          <w:tcPr>
            <w:tcW w:w="1817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Authentification</w:t>
            </w:r>
          </w:p>
        </w:tc>
        <w:tc>
          <w:tcPr>
            <w:tcW w:w="6119" w:type="dxa"/>
            <w:tcBorders/>
            <w:vAlign w:val="center"/>
          </w:tcPr>
          <w:p>
            <w:pPr>
              <w:pStyle w:val="Contenudetableau"/>
              <w:bidi w:val="0"/>
              <w:ind w:hanging="0" w:left="0" w:right="0"/>
              <w:jc w:val="left"/>
              <w:rPr/>
            </w:pPr>
            <w:r>
              <w:rPr/>
              <w:t>Connexion (validation + compte de démonstration), inscription élève/tuteur (3 niveaux, CGU), erreurs, session persistée</w:t>
            </w:r>
          </w:p>
        </w:tc>
        <w:tc>
          <w:tcPr>
            <w:tcW w:w="1596" w:type="dxa"/>
            <w:tcBorders/>
            <w:vAlign w:val="center"/>
          </w:tcPr>
          <w:p>
            <w:pPr>
              <w:pStyle w:val="Contenudetableau"/>
              <w:bidi w:val="0"/>
              <w:jc w:val="left"/>
              <w:rPr>
                <w:b/>
                <w:color w:val="0A7D48"/>
              </w:rPr>
            </w:pPr>
            <w:r>
              <w:rPr>
                <w:b/>
                <w:color w:val="0A7D48"/>
              </w:rPr>
              <w:t>Terminé</w:t>
            </w:r>
          </w:p>
        </w:tc>
        <w:tc>
          <w:tcPr>
            <w:tcW w:w="674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100 %</w:t>
            </w:r>
          </w:p>
        </w:tc>
      </w:tr>
      <w:tr>
        <w:trPr/>
        <w:tc>
          <w:tcPr>
            <w:tcW w:w="1817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Tableau de bord</w:t>
            </w:r>
          </w:p>
        </w:tc>
        <w:tc>
          <w:tcPr>
            <w:tcW w:w="6119" w:type="dxa"/>
            <w:tcBorders/>
            <w:vAlign w:val="center"/>
          </w:tcPr>
          <w:p>
            <w:pPr>
              <w:pStyle w:val="Contenudetableau"/>
              <w:bidi w:val="0"/>
              <w:ind w:hanging="0" w:left="0" w:right="0"/>
              <w:jc w:val="left"/>
              <w:rPr/>
            </w:pPr>
            <w:r>
              <w:rPr/>
              <w:t>Salutation dynamique, recherche, filtres matières sélectionnables, carrousel de tuteurs, carte « rappel de révision » liée aux données</w:t>
            </w:r>
          </w:p>
        </w:tc>
        <w:tc>
          <w:tcPr>
            <w:tcW w:w="1596" w:type="dxa"/>
            <w:tcBorders/>
            <w:vAlign w:val="center"/>
          </w:tcPr>
          <w:p>
            <w:pPr>
              <w:pStyle w:val="Contenudetableau"/>
              <w:bidi w:val="0"/>
              <w:jc w:val="left"/>
              <w:rPr>
                <w:b/>
                <w:color w:val="0A7D48"/>
              </w:rPr>
            </w:pPr>
            <w:r>
              <w:rPr>
                <w:b/>
                <w:color w:val="0A7D48"/>
              </w:rPr>
              <w:t>Terminé</w:t>
            </w:r>
          </w:p>
        </w:tc>
        <w:tc>
          <w:tcPr>
            <w:tcW w:w="674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100 %</w:t>
            </w:r>
          </w:p>
        </w:tc>
      </w:tr>
      <w:tr>
        <w:trPr/>
        <w:tc>
          <w:tcPr>
            <w:tcW w:w="1817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Messagerie</w:t>
            </w:r>
          </w:p>
        </w:tc>
        <w:tc>
          <w:tcPr>
            <w:tcW w:w="6119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Fil dynamique, envoi/réception, accusés de lecture, réponse simulée du tuteur, carte de séance planifiée</w:t>
            </w:r>
          </w:p>
        </w:tc>
        <w:tc>
          <w:tcPr>
            <w:tcW w:w="1596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Terminé (réponse simulée)</w:t>
            </w:r>
          </w:p>
        </w:tc>
        <w:tc>
          <w:tcPr>
            <w:tcW w:w="674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95 %</w:t>
            </w:r>
          </w:p>
        </w:tc>
      </w:tr>
      <w:tr>
        <w:trPr/>
        <w:tc>
          <w:tcPr>
            <w:tcW w:w="1817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Demande d’aide express</w:t>
            </w:r>
          </w:p>
        </w:tc>
        <w:tc>
          <w:tcPr>
            <w:tcW w:w="6119" w:type="dxa"/>
            <w:tcBorders/>
            <w:vAlign w:val="center"/>
          </w:tcPr>
          <w:p>
            <w:pPr>
              <w:pStyle w:val="Contenudetableau"/>
              <w:bidi w:val="0"/>
              <w:ind w:hanging="0" w:left="0" w:right="0"/>
              <w:jc w:val="left"/>
              <w:rPr/>
            </w:pPr>
            <w:r>
              <w:rPr/>
              <w:t>Formulaire lié (matière, urgence, modalité, compteur 500 car.), publication → séance + message automatique au tuteur</w:t>
            </w:r>
          </w:p>
        </w:tc>
        <w:tc>
          <w:tcPr>
            <w:tcW w:w="1596" w:type="dxa"/>
            <w:tcBorders/>
            <w:vAlign w:val="center"/>
          </w:tcPr>
          <w:p>
            <w:pPr>
              <w:pStyle w:val="Contenudetableau"/>
              <w:bidi w:val="0"/>
              <w:jc w:val="left"/>
              <w:rPr>
                <w:b/>
                <w:color w:val="0A7D48"/>
              </w:rPr>
            </w:pPr>
            <w:r>
              <w:rPr>
                <w:b/>
                <w:color w:val="0A7D48"/>
              </w:rPr>
              <w:t>Terminé</w:t>
            </w:r>
          </w:p>
        </w:tc>
        <w:tc>
          <w:tcPr>
            <w:tcW w:w="674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100 %</w:t>
            </w:r>
          </w:p>
        </w:tc>
      </w:tr>
      <w:tr>
        <w:trPr/>
        <w:tc>
          <w:tcPr>
            <w:tcW w:w="1817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Mes séances</w:t>
            </w:r>
          </w:p>
        </w:tc>
        <w:tc>
          <w:tcPr>
            <w:tcW w:w="6119" w:type="dxa"/>
            <w:tcBorders/>
            <w:vAlign w:val="center"/>
          </w:tcPr>
          <w:p>
            <w:pPr>
              <w:pStyle w:val="Contenudetableau"/>
              <w:bidi w:val="0"/>
              <w:ind w:hanging="0" w:left="0" w:right="0"/>
              <w:jc w:val="left"/>
              <w:rPr/>
            </w:pPr>
            <w:r>
              <w:rPr/>
              <w:t>3 onglets dynamiques (à venir / terminées / annulées), compteurs, annulation confirmée, reprogrammation, demande d’avis</w:t>
            </w:r>
          </w:p>
        </w:tc>
        <w:tc>
          <w:tcPr>
            <w:tcW w:w="1596" w:type="dxa"/>
            <w:tcBorders/>
            <w:vAlign w:val="center"/>
          </w:tcPr>
          <w:p>
            <w:pPr>
              <w:pStyle w:val="Contenudetableau"/>
              <w:bidi w:val="0"/>
              <w:jc w:val="left"/>
              <w:rPr>
                <w:b/>
                <w:color w:val="0A7D48"/>
              </w:rPr>
            </w:pPr>
            <w:r>
              <w:rPr>
                <w:b/>
                <w:color w:val="0A7D48"/>
              </w:rPr>
              <w:t>Terminé</w:t>
            </w:r>
          </w:p>
        </w:tc>
        <w:tc>
          <w:tcPr>
            <w:tcW w:w="674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100 %</w:t>
            </w:r>
          </w:p>
        </w:tc>
      </w:tr>
      <w:tr>
        <w:trPr/>
        <w:tc>
          <w:tcPr>
            <w:tcW w:w="1817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Évaluation / avis</w:t>
            </w:r>
          </w:p>
        </w:tc>
        <w:tc>
          <w:tcPr>
            <w:tcW w:w="6119" w:type="dxa"/>
            <w:tcBorders/>
            <w:vAlign w:val="center"/>
          </w:tcPr>
          <w:p>
            <w:pPr>
              <w:pStyle w:val="Contenudetableau"/>
              <w:bidi w:val="0"/>
              <w:ind w:hanging="0" w:left="0" w:right="0"/>
              <w:jc w:val="left"/>
              <w:rPr/>
            </w:pPr>
            <w:r>
              <w:rPr/>
              <w:t>Étoiles interactives (1–5), tags de points forts, commentaire, mise à jour de la moyenne du tuteur</w:t>
            </w:r>
          </w:p>
        </w:tc>
        <w:tc>
          <w:tcPr>
            <w:tcW w:w="1596" w:type="dxa"/>
            <w:tcBorders/>
            <w:vAlign w:val="center"/>
          </w:tcPr>
          <w:p>
            <w:pPr>
              <w:pStyle w:val="Contenudetableau"/>
              <w:bidi w:val="0"/>
              <w:jc w:val="left"/>
              <w:rPr>
                <w:b/>
                <w:color w:val="0A7D48"/>
              </w:rPr>
            </w:pPr>
            <w:r>
              <w:rPr>
                <w:b/>
                <w:color w:val="0A7D48"/>
              </w:rPr>
              <w:t>Terminé</w:t>
            </w:r>
          </w:p>
        </w:tc>
        <w:tc>
          <w:tcPr>
            <w:tcW w:w="674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100 %</w:t>
            </w:r>
          </w:p>
        </w:tc>
      </w:tr>
      <w:tr>
        <w:trPr/>
        <w:tc>
          <w:tcPr>
            <w:tcW w:w="1817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Fiche tuteur</w:t>
            </w:r>
          </w:p>
        </w:tc>
        <w:tc>
          <w:tcPr>
            <w:tcW w:w="6119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Profil dynamique (stats, matières, avis), planification de séance, messagerie, favoris</w:t>
            </w:r>
          </w:p>
        </w:tc>
        <w:tc>
          <w:tcPr>
            <w:tcW w:w="1596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Favoris non persistés</w:t>
            </w:r>
          </w:p>
        </w:tc>
        <w:tc>
          <w:tcPr>
            <w:tcW w:w="674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90 %</w:t>
            </w:r>
          </w:p>
        </w:tc>
      </w:tr>
      <w:tr>
        <w:trPr/>
        <w:tc>
          <w:tcPr>
            <w:tcW w:w="1817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Carte, Profil, Navigation</w:t>
            </w:r>
          </w:p>
        </w:tc>
        <w:tc>
          <w:tcPr>
            <w:tcW w:w="6119" w:type="dxa"/>
            <w:tcBorders/>
            <w:vAlign w:val="center"/>
          </w:tcPr>
          <w:p>
            <w:pPr>
              <w:pStyle w:val="Contenudetableau"/>
              <w:bidi w:val="0"/>
              <w:ind w:hanging="0" w:left="0" w:right="0"/>
              <w:jc w:val="left"/>
              <w:rPr/>
            </w:pPr>
            <w:r>
              <w:rPr/>
              <w:t>Barre d’onglets 4 volets, carte tuteur à proximité, profil (heures, tuteurs favoris, déconnexion)</w:t>
            </w:r>
          </w:p>
        </w:tc>
        <w:tc>
          <w:tcPr>
            <w:tcW w:w="1596" w:type="dxa"/>
            <w:tcBorders/>
            <w:vAlign w:val="center"/>
          </w:tcPr>
          <w:p>
            <w:pPr>
              <w:pStyle w:val="Contenudetableau"/>
              <w:bidi w:val="0"/>
              <w:jc w:val="left"/>
              <w:rPr>
                <w:b/>
                <w:color w:val="0A7D48"/>
              </w:rPr>
            </w:pPr>
            <w:r>
              <w:rPr>
                <w:b/>
                <w:color w:val="0A7D48"/>
              </w:rPr>
              <w:t>Terminé</w:t>
            </w:r>
          </w:p>
        </w:tc>
        <w:tc>
          <w:tcPr>
            <w:tcW w:w="674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95 %</w:t>
            </w:r>
          </w:p>
        </w:tc>
      </w:tr>
      <w:tr>
        <w:trPr/>
        <w:tc>
          <w:tcPr>
            <w:tcW w:w="1817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TOTAL DU PROJET</w:t>
            </w:r>
          </w:p>
        </w:tc>
        <w:tc>
          <w:tcPr>
            <w:tcW w:w="7715" w:type="dxa"/>
            <w:gridSpan w:val="2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Build Android vert : 0 erreur, 0 avertissement</w:t>
            </w:r>
          </w:p>
        </w:tc>
        <w:tc>
          <w:tcPr>
            <w:tcW w:w="674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≈ </w:t>
            </w:r>
            <w:r>
              <w:rPr/>
              <w:t>97 %</w:t>
            </w:r>
          </w:p>
        </w:tc>
      </w:tr>
    </w:tbl>
    <w:p>
      <w:pPr>
        <w:pStyle w:val="BodyText"/>
        <w:bidi w:val="0"/>
        <w:spacing w:lineRule="auto" w:line="276" w:before="45" w:after="45"/>
        <w:ind w:left="45" w:right="45"/>
        <w:jc w:val="both"/>
        <w:rPr/>
      </w:pPr>
      <w:r>
        <w:rPr>
          <w:b/>
        </w:rPr>
        <w:t>Perspectives (3 % restants) :</w:t>
      </w:r>
      <w:r>
        <w:rPr/>
        <w:t xml:space="preserve"> branchement d’un véritable backend (API REST + base de données), visioconférence réelle, SSO EduConnect/ENT et Google, biométrie, notifications push, géolocalisation réelle sur plan, favoris persistants, tests unitaires.</w:t>
      </w:r>
    </w:p>
    <w:p>
      <w:pPr>
        <w:pStyle w:val="Heading2"/>
        <w:numPr>
          <w:ilvl w:val="0"/>
          <w:numId w:val="0"/>
        </w:numPr>
        <w:pBdr>
          <w:bottom w:val="single" w:sz="6" w:space="2" w:color="4338CA"/>
        </w:pBdr>
        <w:bidi w:val="0"/>
        <w:spacing w:before="135" w:after="60"/>
        <w:ind w:left="135" w:right="135"/>
        <w:jc w:val="left"/>
        <w:rPr/>
      </w:pPr>
      <w:r>
        <w:rPr/>
        <w:t>4. Difficultés rencontrées et solutions apportées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54" w:leader="none"/>
        </w:tabs>
        <w:bidi w:val="0"/>
        <w:spacing w:before="45" w:after="0"/>
        <w:ind w:hanging="283" w:left="754"/>
        <w:rPr/>
      </w:pPr>
      <w:r>
        <w:rPr>
          <w:b/>
        </w:rPr>
        <w:t>Maquettes « câblées à la main »</w:t>
      </w:r>
      <w:r>
        <w:rPr/>
        <w:t xml:space="preserve"> : chaque écran utilisait des gestionnaires d’événements code-behind et des contrôles nommés (</w:t>
      </w:r>
      <w:r>
        <w:rPr>
          <w:rStyle w:val="Textesource"/>
        </w:rPr>
        <w:t>x:Name</w:t>
      </w:r>
      <w:r>
        <w:rPr/>
        <w:t xml:space="preserve">) — recâblage complet en bindings/commandes sans changer une ligne du design (risque de régression visuelle). </w:t>
      </w:r>
      <w:r>
        <w:rPr>
          <w:i/>
        </w:rPr>
        <w:t>Solution :</w:t>
      </w:r>
      <w:r>
        <w:rPr/>
        <w:t xml:space="preserve"> reprise chirurgicale des XAML, gabarits </w:t>
      </w:r>
      <w:r>
        <w:rPr>
          <w:rStyle w:val="Textesource"/>
        </w:rPr>
        <w:t>CollectionView</w:t>
      </w:r>
      <w:r>
        <w:rPr/>
        <w:t xml:space="preserve"> / </w:t>
      </w:r>
      <w:r>
        <w:rPr>
          <w:rStyle w:val="Textesource"/>
        </w:rPr>
        <w:t>BindableLayout</w:t>
      </w:r>
      <w:r>
        <w:rPr/>
        <w:t xml:space="preserve"> pour les listes.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54" w:leader="none"/>
        </w:tabs>
        <w:bidi w:val="0"/>
        <w:spacing w:before="45" w:after="0"/>
        <w:ind w:hanging="283" w:left="754"/>
        <w:rPr/>
      </w:pPr>
      <w:r>
        <w:rPr>
          <w:b/>
        </w:rPr>
        <w:t>Navigation de la maquette</w:t>
      </w:r>
      <w:r>
        <w:rPr/>
        <w:t xml:space="preserve"> (remplacement de la racine </w:t>
      </w:r>
      <w:r>
        <w:rPr>
          <w:rStyle w:val="Textesource"/>
        </w:rPr>
        <w:t>Application.Current.MainPage</w:t>
      </w:r>
      <w:r>
        <w:rPr/>
        <w:t xml:space="preserve">) mélangeait « onglets » et « pile » : </w:t>
      </w:r>
      <w:r>
        <w:rPr>
          <w:i/>
        </w:rPr>
        <w:t>solution :</w:t>
      </w:r>
      <w:r>
        <w:rPr/>
        <w:t xml:space="preserve"> service </w:t>
      </w:r>
      <w:r>
        <w:rPr>
          <w:rStyle w:val="Textesource"/>
        </w:rPr>
        <w:t>INavigationService</w:t>
      </w:r>
      <w:r>
        <w:rPr/>
        <w:t xml:space="preserve"> unique (</w:t>
      </w:r>
      <w:r>
        <w:rPr>
          <w:rStyle w:val="Textesource"/>
        </w:rPr>
        <w:t>SwitchTab</w:t>
      </w:r>
      <w:r>
        <w:rPr/>
        <w:t xml:space="preserve"> pour les onglets bas de page, </w:t>
      </w:r>
      <w:r>
        <w:rPr>
          <w:rStyle w:val="Textesource"/>
        </w:rPr>
        <w:t>PushAsync</w:t>
      </w:r>
      <w:r>
        <w:rPr/>
        <w:t xml:space="preserve"> pour les pages de détail) injecté dans tous les ViewModels.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54" w:leader="none"/>
        </w:tabs>
        <w:bidi w:val="0"/>
        <w:spacing w:before="45" w:after="0"/>
        <w:ind w:hanging="283" w:left="754"/>
        <w:rPr/>
      </w:pPr>
      <w:r>
        <w:rPr>
          <w:b/>
        </w:rPr>
        <w:t>Passage de contexte entre écrans</w:t>
      </w:r>
      <w:r>
        <w:rPr/>
        <w:t xml:space="preserve"> (tuteur à ouvrir, séance à évaluer) impossible avec des pages reconstruites : </w:t>
      </w:r>
      <w:r>
        <w:rPr>
          <w:i/>
        </w:rPr>
        <w:t>solution :</w:t>
      </w:r>
      <w:r>
        <w:rPr/>
        <w:t xml:space="preserve"> état partagé dans les services singletons (</w:t>
      </w:r>
      <w:r>
        <w:rPr>
          <w:rStyle w:val="Textesource"/>
        </w:rPr>
        <w:t>SelectedTutor</w:t>
      </w:r>
      <w:r>
        <w:rPr/>
        <w:t xml:space="preserve">, </w:t>
      </w:r>
      <w:r>
        <w:rPr>
          <w:rStyle w:val="Textesource"/>
        </w:rPr>
        <w:t>SessionForRating</w:t>
      </w:r>
      <w:r>
        <w:rPr/>
        <w:t>) + commandes paramétrées (</w:t>
      </w:r>
      <w:r>
        <w:rPr>
          <w:rStyle w:val="Textesource"/>
        </w:rPr>
        <w:t>CommandParameter</w:t>
      </w:r>
      <w:r>
        <w:rPr/>
        <w:t xml:space="preserve">).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54" w:leader="none"/>
        </w:tabs>
        <w:bidi w:val="0"/>
        <w:spacing w:before="45" w:after="0"/>
        <w:ind w:hanging="283" w:left="754"/>
        <w:rPr/>
      </w:pPr>
      <w:r>
        <w:rPr>
          <w:b/>
        </w:rPr>
        <w:t>Bindings dans les gabarits imbriqués</w:t>
      </w:r>
      <w:r>
        <w:rPr/>
        <w:t xml:space="preserve"> vers le ViewModel de la page — </w:t>
      </w:r>
      <w:r>
        <w:rPr>
          <w:i/>
        </w:rPr>
        <w:t>solution :</w:t>
      </w:r>
      <w:r>
        <w:rPr/>
        <w:t xml:space="preserve"> </w:t>
      </w:r>
      <w:r>
        <w:rPr>
          <w:rStyle w:val="Textesource"/>
        </w:rPr>
        <w:t>Source={x:Reference …}</w:t>
      </w:r>
      <w:r>
        <w:rPr/>
        <w:t xml:space="preserve"> pour remonter au </w:t>
      </w:r>
      <w:r>
        <w:rPr>
          <w:rStyle w:val="Textesource"/>
        </w:rPr>
        <w:t>BindingContext</w:t>
      </w:r>
      <w:r>
        <w:rPr/>
        <w:t xml:space="preserve"> racine, convertisseurs globaux déclarés dans </w:t>
      </w:r>
      <w:r>
        <w:rPr>
          <w:rStyle w:val="Textesource"/>
        </w:rPr>
        <w:t>App.xaml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54" w:leader="none"/>
        </w:tabs>
        <w:bidi w:val="0"/>
        <w:spacing w:before="45" w:after="0"/>
        <w:ind w:hanging="283" w:left="754"/>
        <w:rPr/>
      </w:pPr>
      <w:r>
        <w:rPr>
          <w:b/>
        </w:rPr>
        <w:t>Compilation XAML stricte</w:t>
      </w:r>
      <w:r>
        <w:rPr/>
        <w:t xml:space="preserve"> : erreurs </w:t>
      </w:r>
      <w:r>
        <w:rPr>
          <w:rStyle w:val="Textesource"/>
        </w:rPr>
        <w:t>MAUIG1001</w:t>
      </w:r>
      <w:r>
        <w:rPr/>
        <w:t xml:space="preserve"> (parsing) et </w:t>
      </w:r>
      <w:r>
        <w:rPr>
          <w:rStyle w:val="Textesource"/>
        </w:rPr>
        <w:t>XFC0009</w:t>
      </w:r>
      <w:r>
        <w:rPr/>
        <w:t xml:space="preserve"> (</w:t>
      </w:r>
      <w:r>
        <w:rPr>
          <w:rStyle w:val="Textesource"/>
        </w:rPr>
        <w:t>UpdateSourceTrigger</w:t>
      </w:r>
      <w:r>
        <w:rPr/>
        <w:t xml:space="preserve"> non supporté sur </w:t>
      </w:r>
      <w:r>
        <w:rPr>
          <w:rStyle w:val="Textesource"/>
        </w:rPr>
        <w:t>Entry</w:t>
      </w:r>
      <w:r>
        <w:rPr/>
        <w:t xml:space="preserve">) — corrections ciblées puis build au vert.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54" w:leader="none"/>
        </w:tabs>
        <w:bidi w:val="0"/>
        <w:spacing w:before="45" w:after="0"/>
        <w:ind w:hanging="283" w:left="754"/>
        <w:rPr/>
      </w:pPr>
      <w:r>
        <w:rPr>
          <w:b/>
        </w:rPr>
        <w:t>Absence de backend</w:t>
      </w:r>
      <w:r>
        <w:rPr/>
        <w:t xml:space="preserve"> : simulation maîtrisée du métier (réponses du tuteur différées, acceptation de demande, persistance locale </w:t>
      </w:r>
      <w:r>
        <w:rPr>
          <w:rStyle w:val="Textesource"/>
        </w:rPr>
        <w:t>Preferences</w:t>
      </w:r>
      <w:r>
        <w:rPr/>
        <w:t xml:space="preserve">) en gardant des interfaces prêtes à pointer vers une API réelle.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54" w:leader="none"/>
        </w:tabs>
        <w:bidi w:val="0"/>
        <w:ind w:hanging="283" w:left="754"/>
        <w:rPr/>
      </w:pPr>
      <w:r>
        <w:rPr>
          <w:b/>
        </w:rPr>
        <w:t>Environnement de développement Linux</w:t>
      </w:r>
      <w:r>
        <w:rPr/>
        <w:t xml:space="preserve"> : build Android longs (≈ 1–3 min), IDE absent — workflow validé en lignes de commandes (</w:t>
      </w:r>
      <w:r>
        <w:rPr>
          <w:rStyle w:val="Textesource"/>
        </w:rPr>
        <w:t>dotnet build</w:t>
      </w:r>
      <w:r>
        <w:rPr/>
        <w:t xml:space="preserve">) contrôlé à chaque itération. </w:t>
      </w:r>
    </w:p>
    <w:p>
      <w:pPr>
        <w:pStyle w:val="Heading2"/>
        <w:numPr>
          <w:ilvl w:val="0"/>
          <w:numId w:val="0"/>
        </w:numPr>
        <w:pBdr>
          <w:bottom w:val="single" w:sz="6" w:space="2" w:color="4338CA"/>
        </w:pBdr>
        <w:bidi w:val="0"/>
        <w:spacing w:before="135" w:after="60"/>
        <w:ind w:left="135" w:right="135"/>
        <w:jc w:val="left"/>
        <w:rPr/>
      </w:pPr>
      <w:r>
        <w:rPr/>
        <w:t>5. Conclusion</w:t>
      </w:r>
    </w:p>
    <w:p>
      <w:pPr>
        <w:pStyle w:val="BodyText"/>
        <w:bidi w:val="0"/>
        <w:spacing w:lineRule="auto" w:line="276" w:before="45" w:after="45"/>
        <w:ind w:left="45" w:right="45"/>
        <w:jc w:val="both"/>
        <w:rPr/>
      </w:pPr>
      <w:r>
        <w:rPr/>
        <w:t xml:space="preserve">Le projet est désormais une </w:t>
      </w:r>
      <w:r>
        <w:rPr>
          <w:b/>
        </w:rPr>
        <w:t>application MAUI fonctionnelle et conforme à l’architecture MVVM</w:t>
      </w:r>
      <w:r>
        <w:rPr/>
        <w:t xml:space="preserve"> : chaque écran est piloté par un ViewModel testable, la logique métier est isolée dans des services découplés et injectables, et l’ensemble des parcours démontrables (connexion → tableau de bord → séance → messagerie → avis → déconnexion) fonctionne de bout en bout. La structure rend le projet </w:t>
      </w:r>
      <w:r>
        <w:rPr>
          <w:b/>
        </w:rPr>
        <w:t>prêt à évoluer</w:t>
      </w:r>
      <w:r>
        <w:rPr/>
        <w:t xml:space="preserve"> vers un backend réel sans réécrire la couche métier.</w:t>
      </w:r>
    </w:p>
    <w:p>
      <w:pPr>
        <w:pStyle w:val="Corpsdetextefootnote"/>
        <w:pBdr/>
        <w:bidi w:val="0"/>
        <w:spacing w:before="150" w:after="45"/>
        <w:rPr/>
      </w:pPr>
      <w:r>
        <w:rPr/>
        <w:t xml:space="preserve">Rapport généré le 25/10/2026 — Projet </w:t>
      </w:r>
      <w:r>
        <w:rPr>
          <w:i/>
        </w:rPr>
        <w:t>TutorLocal</w:t>
      </w:r>
      <w:r>
        <w:rPr/>
        <w:t xml:space="preserve"> — Développement : .NET MAUI 8, C#, pattern MVVM, xUnit à prévoir pour les tests.</w:t>
      </w:r>
    </w:p>
    <w:sectPr>
      <w:type w:val="nextPage"/>
      <w:pgSz w:w="11906" w:h="16838"/>
      <w:pgMar w:left="850" w:right="850" w:gutter="0" w:header="0" w:top="850" w:footer="0" w:bottom="850"/>
      <w:pgNumType w:fmt="decimal"/>
      <w:formProt w:val="false"/>
      <w:textDirection w:val="lrTb"/>
      <w:docGrid w:type="default" w:linePitch="600" w:charSpace="4177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Consolas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1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292"/>
    </w:pPr>
    <w:rPr>
      <w:rFonts w:ascii="Calibri;Arial;sans-serif" w:hAnsi="Calibri;Arial;sans-serif" w:eastAsia="Calibri;Arial;sans-serif" w:cs="Calibri;Arial;sans-serif"/>
      <w:color w:val="1F2430"/>
      <w:sz w:val="20"/>
      <w:szCs w:val="20"/>
      <w:lang w:val="fr-FR" w:eastAsia="zh-CN" w:bidi="hi-IN"/>
    </w:rPr>
  </w:style>
  <w:style w:type="paragraph" w:styleId="Heading1">
    <w:name w:val="Heading 1"/>
    <w:basedOn w:val="Titre"/>
    <w:next w:val="BodyText"/>
    <w:qFormat/>
    <w:pPr>
      <w:numPr>
        <w:ilvl w:val="0"/>
        <w:numId w:val="0"/>
      </w:numPr>
      <w:spacing w:before="240" w:after="60"/>
      <w:outlineLvl w:val="0"/>
    </w:pPr>
    <w:rPr>
      <w:rFonts w:ascii="Liberation Serif" w:hAnsi="Liberation Serif" w:eastAsia="Noto Serif CJK SC" w:cs="Noto Sans Devanagari"/>
      <w:b/>
      <w:bCs/>
      <w:color w:val="4338CA"/>
      <w:sz w:val="31"/>
      <w:szCs w:val="31"/>
    </w:rPr>
  </w:style>
  <w:style w:type="paragraph" w:styleId="Heading2">
    <w:name w:val="Heading 2"/>
    <w:basedOn w:val="Titre"/>
    <w:next w:val="BodyText"/>
    <w:qFormat/>
    <w:pPr>
      <w:numPr>
        <w:ilvl w:val="0"/>
        <w:numId w:val="0"/>
      </w:numPr>
      <w:pBdr>
        <w:bottom w:val="single" w:sz="6" w:space="2" w:color="4338CA"/>
      </w:pBdr>
      <w:spacing w:before="135" w:after="60"/>
      <w:ind w:left="135" w:right="135"/>
      <w:outlineLvl w:val="1"/>
    </w:pPr>
    <w:rPr>
      <w:rFonts w:ascii="Liberation Serif" w:hAnsi="Liberation Serif" w:eastAsia="Noto Serif CJK SC" w:cs="Noto Sans Devanagari"/>
      <w:b/>
      <w:bCs/>
      <w:color w:val="4338CA"/>
      <w:sz w:val="23"/>
      <w:szCs w:val="23"/>
    </w:rPr>
  </w:style>
  <w:style w:type="paragraph" w:styleId="Heading3">
    <w:name w:val="Heading 3"/>
    <w:basedOn w:val="Titre"/>
    <w:next w:val="BodyText"/>
    <w:qFormat/>
    <w:pPr>
      <w:numPr>
        <w:ilvl w:val="0"/>
        <w:numId w:val="0"/>
      </w:numPr>
      <w:spacing w:before="120" w:after="45"/>
      <w:ind w:left="120" w:right="120"/>
      <w:outlineLvl w:val="2"/>
    </w:pPr>
    <w:rPr>
      <w:rFonts w:ascii="Liberation Serif" w:hAnsi="Liberation Serif" w:eastAsia="Noto Serif CJK SC" w:cs="Noto Sans Devanagari"/>
      <w:b/>
      <w:bCs/>
      <w:color w:val="232A3A"/>
      <w:sz w:val="22"/>
      <w:szCs w:val="22"/>
    </w:rPr>
  </w:style>
  <w:style w:type="character" w:styleId="Textesource">
    <w:name w:val="Texte source"/>
    <w:qFormat/>
    <w:rPr>
      <w:rFonts w:ascii="Consolas;monospace" w:hAnsi="Consolas;monospace" w:eastAsia="Consolas;monospace" w:cs="Consolas;monospace"/>
      <w:sz w:val="18"/>
      <w:szCs w:val="18"/>
      <w:shd w:fill="F1F2F8" w:val="clear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45" w:after="45"/>
      <w:ind w:left="45" w:right="45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left"/>
    </w:pPr>
    <w:rPr>
      <w:b/>
      <w:bCs/>
      <w:color w:val="FFFFFF"/>
    </w:rPr>
  </w:style>
  <w:style w:type="paragraph" w:styleId="Corpsdetextefootnote">
    <w:name w:val="Corps de texte.footnote"/>
    <w:basedOn w:val="BodyText"/>
    <w:qFormat/>
    <w:pPr>
      <w:pBdr>
        <w:top w:val="single" w:sz="2" w:space="3" w:color="DDDDDD"/>
      </w:pBdr>
      <w:spacing w:before="150" w:after="45"/>
    </w:pPr>
    <w:rPr>
      <w:color w:val="888888"/>
      <w:sz w:val="17"/>
      <w:szCs w:val="17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908</Words>
  <Characters>5570</Characters>
  <CharactersWithSpaces>6421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cp:revision>0</cp:revision>
  <dc:subject/>
  <dc:title>Rapport de projet — TutorLocal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