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40"/>
      </w:pPr>
      <w:r>
        <w:rPr>
          <w:rFonts w:ascii="宋体" w:cs="宋体" w:eastAsia="宋体" w:hAnsi="宋体"/>
          <w:sz w:val="48"/>
          <w:szCs w:val="48"/>
        </w:rPr>
        <w:t xml:space="preserve"/>
      </w:r>
    </w:p>
    <w:p>
      <w:pPr>
        <w:spacing w:line="440"/>
      </w:pPr>
      <w:r>
        <w:rPr>
          <w:rFonts w:ascii="宋体" w:cs="宋体" w:eastAsia="宋体" w:hAnsi="宋体"/>
          <w:sz w:val="48"/>
          <w:szCs w:val="48"/>
        </w:rPr>
        <w:t xml:space="preserve"/>
      </w:r>
    </w:p>
    <w:p>
      <w:pPr>
        <w:spacing w:after="200"/>
        <w:jc w:val="center"/>
      </w:pPr>
      <w:r>
        <w:rPr>
          <w:rFonts w:ascii="宋体" w:cs="宋体" w:eastAsia="宋体" w:hAnsi="宋体"/>
          <w:b/>
          <w:bCs/>
          <w:sz w:val="36"/>
          <w:szCs w:val="36"/>
        </w:rPr>
        <w:t xml:space="preserve">专业综合课程设计</w:t>
      </w:r>
    </w:p>
    <w:p>
      <w:pPr>
        <w:spacing w:line="440"/>
      </w:pPr>
      <w:r>
        <w:rPr>
          <w:rFonts w:ascii="宋体" w:cs="宋体" w:eastAsia="宋体" w:hAnsi="宋体"/>
          <w:sz w:val="24"/>
          <w:szCs w:val="24"/>
        </w:rPr>
        <w:t xml:space="preserve"/>
      </w:r>
    </w:p>
    <w:p>
      <w:pPr>
        <w:spacing w:after="400"/>
        <w:jc w:val="center"/>
      </w:pPr>
      <w:r>
        <w:rPr>
          <w:rFonts w:ascii="宋体" w:cs="宋体" w:eastAsia="宋体" w:hAnsi="宋体"/>
          <w:sz w:val="28"/>
          <w:szCs w:val="28"/>
        </w:rPr>
        <w:t xml:space="preserve">软件需求规格说明书</w:t>
      </w:r>
    </w:p>
    <w:p>
      <w:pPr>
        <w:spacing w:line="440"/>
      </w:pPr>
      <w:r>
        <w:rPr>
          <w:rFonts w:ascii="宋体" w:cs="宋体" w:eastAsia="宋体" w:hAnsi="宋体"/>
          <w:sz w:val="24"/>
          <w:szCs w:val="24"/>
        </w:rPr>
        <w:t xml:space="preserve"/>
      </w:r>
    </w:p>
    <w:p>
      <w:pPr>
        <w:spacing w:line="44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组长姓名：张三      学号：2021001      专业：软件工程      班级：212001</w:t>
      </w:r>
    </w:p>
    <w:p>
      <w:pPr>
        <w:spacing w:line="44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成员：2021002-李四    2021003-王五    2021004-赵六    2021005-孙七</w:t>
      </w:r>
    </w:p>
    <w:p>
      <w:pPr>
        <w:spacing w:line="44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课题名称：漫画多语言智能翻译与图像合成系统</w:t>
      </w:r>
    </w:p>
    <w:p>
      <w:pPr>
        <w:spacing w:line="44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指导教师：XXX      开课学期：2025-2026 第二学期</w:t>
      </w:r>
    </w:p>
    <w:p>
      <w:r>
        <w:br w:type="page"/>
      </w:r>
    </w:p>
    <w:p>
      <w:pPr>
        <w:pStyle w:val="Heading1"/>
        <w:spacing w:after="150" w:before="300" w:line="44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1 引言</w:t>
      </w:r>
    </w:p>
    <w:p>
      <w:pPr>
        <w:pStyle w:val="Heading2"/>
        <w:spacing w:after="120" w:before="240" w:line="44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1.1 课题的来源、意义和目标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本课题「漫画多语言智能翻译与图像合成系统」来源于对漫画爱好者社区的实际需求调研。在Reddit的r/manga板块（200万+订阅者）、国内各大动漫论坛以及汉化组社区中，漫画翻译始终是讨论热度最高的话题之一。大量用户表达了对于「一键翻译生肉漫画」「自动生成高质量翻译版本」工具的强烈需求。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课题的意义体现在多个层面：对个人爱好者而言，降低了享受海外漫画的语言门槛；对外语学习者而言，提供了沉浸式的双语对照学习环境；对汉化组而言，大幅提升了翻译和嵌字效率（预期效率提升300%）；对出版社而言，提供了标准化的批量翻译解决方案。从技术层面看，本课题是多模态AI技术在垂直领域应用的典范，为LLM在图像翻译场景的落地积累了宝贵经验。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项目的核心目标是构建一个完整的Web端漫画翻译平台，支持日、中、英、韩等多语言漫画的智能处理。系统需覆盖从图像导入、文字检测、OCR识别、智能翻译、背景修复、文字回填到多格式导出的全链路功能，并提供PC端专业编辑工作台和移动端沉浸式阅读器的双端体验。</w:t>
      </w:r>
    </w:p>
    <w:p>
      <w:pPr>
        <w:pStyle w:val="Heading1"/>
        <w:spacing w:after="150" w:before="300" w:line="44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2 系统可行性分析</w:t>
      </w:r>
    </w:p>
    <w:p>
      <w:pPr>
        <w:pStyle w:val="Heading2"/>
        <w:spacing w:after="120" w:before="240" w:line="44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2.1 经济可行性分析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项目开发成本主要包括：云服务器租用费用（约500元/月）、GPU算力费用（按量付费，约0.5元/次翻译）、域名和CDN费用（约200元/年）。项目采用开源自部署方案（PostgreSQL、Redis、MinIO）降低基础设施成本，LLM翻译采用自部署Qwen模型+云端API的混合方案，在保证质量的同时控制算力开销。项目商业化前景广阔：计划采用Freemium+订阅的混合商业模式，专业版定价29元/月或199元/年，预计在用户量达到5000时可实现月度盈亏平衡。按保守估计的5%付费转化率，项目具备良好的经济可行性。</w:t>
      </w:r>
    </w:p>
    <w:p>
      <w:pPr>
        <w:pStyle w:val="Heading2"/>
        <w:spacing w:after="120" w:before="240" w:line="44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2.2 技术可行性分析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前端技术栈：React 18 + Next.js 14(App Router) + Ant Design 5 + Zustand + react-konva/fabric.js。该技术栈均为业界成熟方案，React生态社区活跃（GitHub 220K+ stars），Ant Design提供完善的中后台组件库，Canvas图像编辑引擎支持精确的选区操作和文字渲染。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后端技术栈：Go(Gin) API网关 + Python FastAPI微服务（7个业务服务）+ Celery异步任务队列。Go语言的高并发特性适合API网关场景（单节点万级QPS），FastAPI是Python生态中最流行的异步Web框架（GitHub 70K+ stars），微服务架构支持各处理环节独立部署和弹性伸缩。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AI模型方案：文字检测采用CRAFT/DBnet（漫画专项微调），OCR采用MangaOCR+PaddleOCR双引擎融合，基础翻译采用自部署Qwen2.5-7B-Instruct（翻译微调），多模态翻译采用Qwen2-VL-7B/GPT-4V API，背景修复采用LaMa Inpainting+Stable Diffusion Inpainting。以上模型均在漫画翻译场景有成熟的社区方案和预训练权重可用，技术风险可控。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数据存储方案：PostgreSQL 16作为主数据库（JSONB支持半结构化数据），Redis 7作为缓存和会话管理，MinIO作为S3兼容对象存储。该方案均为业界标准技术栈，运维经验丰富。</w:t>
      </w:r>
    </w:p>
    <w:p>
      <w:pPr>
        <w:pStyle w:val="Heading2"/>
        <w:spacing w:after="120" w:before="240" w:line="44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2.3 法律可行性分析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项目作为技术工具平台，不存储和分发用户翻译的漫画内容，所有用户上传内容仅本人可见。系统明确在用户协议中声明：版权责任归属用户，平台仅提供翻译技术工具，不对用户上传内容的版权状态进行审核。数据处理遵循中国《个人信息保护法》（PIPL）要求，用户可随时导出或删除全部个人数据。系统不会将用户翻译内容用于公开模型训练（除非用户明确同意加入改进计划）。上传文件类型采用白名单校验，敏感内容自动检测拦截。整体法律风险评估为低风险，具备法律可行性。</w:t>
      </w:r>
    </w:p>
    <w:p>
      <w:pPr>
        <w:pStyle w:val="Heading2"/>
        <w:spacing w:after="120" w:before="240" w:line="44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2.4 环境影响因素分析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项目开发的正面环境影响包括：通过数字化翻译工具降低纸质漫画的跨国物流需求，减少碳排放；推动无纸化漫画阅读和数字出版。负面环境影响主要来自GPU服务器的电力消耗，通过智能算力调度（空闲自动缩容、批处理合并请求）可将GPU闲置率降低至30%以下。项目不涉及危险化学品、高污染工业过程或生态环境破坏。</w:t>
      </w:r>
    </w:p>
    <w:p>
      <w:pPr>
        <w:pStyle w:val="Heading2"/>
        <w:spacing w:after="120" w:before="240" w:line="44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2.5 方案比选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在架构方案上，团队对比了三种候选方案：方案A「单体架构」，使用Django单体应用快速开发，优点为开发效率高，缺点为AI处理管线耦合度高、难以独立扩展，不适合本项目的复杂管线需求；方案B「全微服务架构+K8s」，优点为弹性伸缩能力强，缺点为MVP阶段运维复杂度高；方案C「微服务架构+Docker Compose」，折中方案，MVP阶段使用Docker Compose简化部署，生产环境可平滑迁移K8s。最终选择方案C，兼顾了MVP阶段的开发效率和未来的可扩展性。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在翻译引擎方案上，对比了两种候选方案：方案A「纯云端API」（如全部使用GPT-4V），优点为翻译质量最高，缺点为成本过高（约0.5元/次）且受API可用性影响；方案B「自部署+云端混合」，基础翻译使用自部署Qwen-7B（成本接近于零），复杂场景使用GPT-4V（按需调用）。最终选择方案B，在保证翻译质量的同时大幅降低运营成本。</w:t>
      </w:r>
    </w:p>
    <w:p>
      <w:pPr>
        <w:pStyle w:val="Heading1"/>
        <w:spacing w:after="150" w:before="300" w:line="44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3 系统功能性需求</w:t>
      </w:r>
    </w:p>
    <w:p>
      <w:pPr>
        <w:pStyle w:val="Heading2"/>
        <w:spacing w:after="120" w:before="240" w:line="44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3.1 系统结构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本系统采用「表现层-接入层-业务服务层-AI模型服务层-异步任务层-数据存储层」六层架构。前端基于Next.js 14的App Router实现PC端和移动端的响应式设计，通过Go API Gateway统一接入后端微服务集群。后端7个微服务按职责划分为：用户服务（认证/偏好）、项目服务（作品/章节/页面管理）、翻译服务（翻译引擎调度/术语库）、图像处理服务（检测/OCR/修复/渲染）、导出服务（格式转换/打包）、阅读器服务（双语阅读/生词本）、通知服务（站内/邮件推送）。AI模型服务独立部署为GPU微服务集群。Celery+Redis负责异步任务编排和批量处理。PostgreSQL+Redis+MinIO构成数据三角。</w:t>
      </w:r>
    </w:p>
    <w:p>
      <w:pPr>
        <w:pStyle w:val="Heading2"/>
        <w:spacing w:after="120" w:before="240" w:line="44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3.2 功能模块</w:t>
      </w:r>
    </w:p>
    <w:p>
      <w:pPr>
        <w:pStyle w:val="Heading3"/>
        <w:spacing w:after="80" w:before="180" w:line="44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3.2.1 用户认证与个人中心模块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该模块负责用户的注册、登录、token管理和个人偏好设置。支持手机号和邮箱两种注册方式，采用JWT双Token机制（Access Token 2小时+Refresh Token 7天）实现无状态认证。个人中心提供偏好设置管理（默认翻译引擎、目标语言、导出格式等）、付费权益管理、回收站管理和消息通知管理功能。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用例名称：用户注册登录。用例标识号：UC001。简要说明：用户通过邮箱或手机号注册账号并登录系统。前置条件：用户未登录。参与者：普通用户。基本事件流：1.用户进入注册页面；2.填写邮箱/手机号、密码、昵称；3.系统校验信息格式；4.发送验证码；5.用户输入验证码；6.系统创建账号并返回JWT Token；7.用户使用Token访问系统功能；8.用例结束。异常事件流：邮箱/手机号已注册则提示「该账号已注册」；密码强度不足则提示「密码需8-20位，含大小写字母和数字」；验证码错误则提示重新输入。后置条件：用户登录成功，拥有免费版基础权限。</w:t>
      </w:r>
    </w:p>
    <w:p>
      <w:pPr>
        <w:pStyle w:val="Heading3"/>
        <w:spacing w:after="80" w:before="180" w:line="44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3.2.2 项目管理与图像导入模块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该模块实现「作品-章节-页面」三级内容管理结构，支持多格式文件导入和智能预处理。导入功能支持JPG/PNG/WebP单张或批量上传，CBZ/ZIP/RAR/7Z压缩包自动解压，PDF文件自动逐页拆分。导入时自动进行倾斜校正、黑边裁剪、重复页面检测和曝光优化。项目管理功能包括作品/章节/页面的创建、重命名、删除、拖拽排序，以及封面图设置和状态标记（待处理/翻译中/已校对/已完成）。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用例名称：上传漫画文件。用例标识号：UC002。简要说明：用户上传漫画图片或压缩包，系统自动解析并生成页面列表。前置条件：用户已登录且已创建作品。参与者：普通用户。基本事件流：1.用户进入作品编辑页；2.点击「上传」按钮或拖拽文件至上传区域；3.系统校验文件格式和大小；4.显示上传进度条；5.上传完成后系统自动解压（如为压缩包）并生成缩略图；6.系统自动进行预处理（倾斜校正、黑边裁剪等）；7.页面列表渲染完成；8.用例结束。异常事件流：不支持的格式则弹窗提示；压缩包损坏则提示重新上传；单图超过50MB建议压缩。后置条件：页面添加至指定章节，状态为「待处理」。</w:t>
      </w:r>
    </w:p>
    <w:p>
      <w:pPr>
        <w:pStyle w:val="Heading3"/>
        <w:spacing w:after="80" w:before="180" w:line="44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3.2.3 文字检测与OCR识别模块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该模块实现漫画图像中文字区域的自动检测和多语言OCR识别。检测功能覆盖对话气泡、内心独白、旁白框、拟声词、效果字五种文字类型，支持日文竖排、弧形文本、倾斜文本等特殊排版适配。检测结果以半透明多边形选区标注在图像上，并输出字符级置信度。OCR支持中日英韩四种语言的识别，针对漫画场景优化了艺术字体和手写体的识别能力。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用例名称：文字区域检测。用例标识号：UC003。简要说明：系统自动检测页面中的文字区域并在图像上标注。前置条件：页面已上传且状态为「待处理」。参与者：普通用户。基本事件流：1.用户选中页面点击「文字检测」；2.系统调用检测模型分析图像；3.返回文字区域列表（坐标、类型、置信度）；4.前端以彩色半透明多边形标注检测结果；5.低置信度(&lt;60%)区域以红色高亮提示；6.用户可手动调整选区；7.用例结束。异常事件流：检测超时则自动重试一次；图片无文字则提示「未检测到文字区域」。后置条件：文字区域数据保存至数据库，页面进入OCR就绪状态。</w:t>
      </w:r>
    </w:p>
    <w:p>
      <w:pPr>
        <w:pStyle w:val="Heading3"/>
        <w:spacing w:after="80" w:before="180" w:line="44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3.2.4 智能翻译模块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该模块提供双引擎翻译能力：基础通用引擎（基于自部署Qwen2.5-7B）处理日常对话翻译，支持中日英互译，单句翻译≤2秒；多模态上下文引擎（基于Qwen2-VL或GPT-4V）结合画面内容进行语境感知翻译，精准处理文化梗和角色语气。翻译记忆复用机制自动匹配同作品内的重复/相似句子（相似度≥90%），减少重复翻译开销。支持术语库管理、风格一键切换（大陆简体/台版繁体）、拟声词三种处理模式（保留+译注/替换/双语叠加）等高级功能。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用例名称：一键翻译页面。用例标识号：UC004。简要说明：用户触发一键翻译，系统自动完成当前页面的翻译处理。前置条件：页面已完成OCR识别。参与者：普通用户。基本事件流：1.用户点击「翻译」按钮；2.系统检测翻译记忆缓存，命中则直接返回；3.未命中则调用翻译引擎；4.系统返回翻译结果并保存；5.前端展示翻译对照预览；6.用户可选择修改译文或确认；7.用例结束。异常事件流：翻译引擎不可用则自动故障转移至备用引擎；翻译超时则降级为基础引擎。后置条件：翻译结果保存，页面状态更新为「翻译完成」。</w:t>
      </w:r>
    </w:p>
    <w:p>
      <w:pPr>
        <w:pStyle w:val="Heading3"/>
        <w:spacing w:after="80" w:before="180" w:line="44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3.2.5 背景修复与文字回填模块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该模块是漫画翻译质量的关键环节，包括分级智能擦除、AI自适应排版和文字渲染三个子功能。擦除功能提供「文字擦除」和「全气泡擦除」两种模式，针对漫画网点纸、排线、渐变等不同背景类型采用差异化修复策略。擦除后自动评估质量（SSIM分数），低于阈值（0.85）的区域自动标记为「需人工修复」。排版引擎自动适配气泡形状（圆形/椭圆/多边形），动态调整字号、行距和对齐方式，文字溢出时智能缩小字号（最低至原字号的70%）。</w:t>
      </w:r>
    </w:p>
    <w:p>
      <w:pPr>
        <w:pStyle w:val="Heading3"/>
        <w:spacing w:after="80" w:before="180" w:line="44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3.2.6 图像合成与导出模块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该模块提供多种格式的单页和批量导出能力：支持JPG/PNG/WebP格式导出（可自定义分辨率和压缩质量），CBZ漫画包和PDF单行本批量打包，三种双语对照导出模式（左右分屏/上下对照/气泡内双语叠加），以及条漫长图导出。导出任务在后台异步队列中执行，支持暂停/取消和进度查看，完成后通过站内通知和邮件提醒用户。</w:t>
      </w:r>
    </w:p>
    <w:p>
      <w:pPr>
        <w:pStyle w:val="Heading3"/>
        <w:spacing w:after="80" w:before="180" w:line="44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3.2.7 双语阅读器模块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内置Web端双语漫画阅读器，支持在线阅读已翻译的漫画作品。核心交互包括：点击气泡切换原文/译文/双语显示（响应≤300ms），自动保存阅读进度，PC端支持单页/双页/全屏三种阅读模式，移动端支持竖屏卷轴滚动和横屏翻页。学习辅助功能包括：振假名/罗马音标注、单词即点即译、一键加入生词本等。</w:t>
      </w:r>
    </w:p>
    <w:p>
      <w:pPr>
        <w:pStyle w:val="Heading1"/>
        <w:spacing w:after="150" w:before="300" w:line="44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4 系统非功能性需求</w:t>
      </w:r>
    </w:p>
    <w:p>
      <w:pPr>
        <w:pStyle w:val="Heading3"/>
        <w:spacing w:after="80" w:before="180" w:line="44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4.1 安全性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全站HTTPS加密传输（TLS 1.3）；用户密码bcrypt哈希存储（成本因子≥12）；JWT Token过期时间：Access Token 2小时，Refresh Token 7天；上传文件白名单校验（扩展名+MIME类型+魔数三重校验）；API Key bcrypt哈希存储，仅创建时展示一次；敏感操作（删除作品、永久删除）需二次验证；日志中自动脱敏手机号、邮箱等PII字段。</w:t>
      </w:r>
    </w:p>
    <w:p>
      <w:pPr>
        <w:pStyle w:val="Heading3"/>
        <w:spacing w:after="80" w:before="180" w:line="44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4.2 可靠性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系统整体可用性≥99.5%（月度）；云端处理服务可用性≥99.9%；计划内维护提前24小时通知；故障恢复时间≤4小时；AI模型服务故障自动转移至备用引擎；翻译记忆缓存Redis热备，主从切换时间≤30秒；数据库每日自动备份。</w:t>
      </w:r>
    </w:p>
    <w:p>
      <w:pPr>
        <w:pStyle w:val="Heading3"/>
        <w:spacing w:after="80" w:before="180" w:line="44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4.3 互操作性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RESTful API遵循OpenAPI 3.0规范，支持标准HTTP方法（GET/POST/PUT/DELETE）；数据交换格式为JSON（UTF-8编码）；API版本通过URL路径（/api/v1/）管理；支持跨平台客户端（PC浏览器/移动端浏览器/PWA）；文件格式兼容JPG/PNG/WebP/CBZ/ZIP/RAR/7Z/PDF/TTF/OTF/CSV等。</w:t>
      </w:r>
    </w:p>
    <w:p>
      <w:pPr>
        <w:pStyle w:val="Heading3"/>
        <w:spacing w:after="80" w:before="180" w:line="44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4.4 健壮性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每个模块具有独立的错误处理和恢复机制；AI处理超时自动重试（最多1次）；批量任务部分失败不阻塞其余页面处理；文件上传支持断点续传（分片上传，每片5MB）；前端Canvas操作异常时降级为简单表单编辑模式；弱网环境（&lt;2Mbps）自动压缩预览图画质。</w:t>
      </w:r>
    </w:p>
    <w:p>
      <w:pPr>
        <w:pStyle w:val="Heading3"/>
        <w:spacing w:after="80" w:before="180" w:line="44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4.5 易使用性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提供「简易模式」和「专业编辑模式」两种操作方式：简易模式仅需5步完成首次翻译（上传→一键翻译→预览→导出）；专业模式开放全部编辑工具。首次登录提供3步引导流程（不超过90秒）；内置3页示例项目作为教学案例；各功能面板为空时显示引导卡片；帮助中心（/help）提供搜索、快捷键一览和视频教程链接。</w:t>
      </w:r>
    </w:p>
    <w:p>
      <w:pPr>
        <w:pStyle w:val="Heading3"/>
        <w:spacing w:after="80" w:before="180" w:line="44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4.6 可维护性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前端组件化开发，核心组件复用率≥70%；后端服务模块化，各处理环节独立可替换；日志统一采集（Loki+Promtail）；关键操作全链路日志记录；Go网关和Python服务独立编译/部署，互不影响。</w:t>
      </w:r>
    </w:p>
    <w:p>
      <w:pPr>
        <w:pStyle w:val="Heading3"/>
        <w:spacing w:after="80" w:before="180" w:line="44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4.7 可移植性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系统通过Docker Compose实现一键部署；核心服务均为跨平台技术栈（Go、Python、React），可在Linux/macOS/Windows WSL2环境运行；对象存储基于S3兼容协议（MinIO），可无缝迁移至阿里云OSS/AWS S3；数据库使用标准PostgreSQL，支持主流云数据库服务。</w:t>
      </w:r>
    </w:p>
    <w:p>
      <w:pPr>
        <w:pStyle w:val="Heading3"/>
        <w:spacing w:after="80" w:before="180" w:line="44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4.8 可重用性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微服务架构下各服务以RESTful API暴露功能，可被第三方应用或内部其他系统复用；翻译引擎封装为统一接口，支持模型热插拔（新模型实现标准API即可接入）；前端组件库（图像编辑、选区操作、样式调整等）可在其他图像处理项目中复用；共享Python模块（models/tasks/utils）在7个微服务间共享。</w:t>
      </w:r>
    </w:p>
    <w:p>
      <w:pPr>
        <w:pStyle w:val="Heading3"/>
        <w:spacing w:after="80" w:before="180" w:line="44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4.9 可扩充性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微服务架构天然支持水平扩展，各服务可独立增加实例数；AI模型层支持插件式扩展，新增检测/识别/翻译模型无需修改业务代码；支持语言的增量添加（当前支持4种，预留6种语言扩展位）；导出格式支持渐进添加（当前支持5种，预留EPUB等扩展）；商业版本支持从免费版到企业版的权益渐进升级。</w:t>
      </w:r>
    </w:p>
    <w:p>
      <w:pPr>
        <w:pStyle w:val="Heading3"/>
        <w:spacing w:after="80" w:before="180" w:line="44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4.10 性能需求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核心性能指标：PC端操作响应≤100ms，移动端操作响应≤150ms；单页基础全流程（1080P）≤40秒；单页高级全流程（1080P+超分辨率+精细修复）≤90秒；OCR单区域识别≤3秒；基础翻译单句≤2秒；批量任务支持单用户单次最多200页；PC端页面加载≤2秒，移动端首屏加载（4G）≤3秒；翻译缓存命中率≥80%；跨作品搜索（10万条记录）≤1秒。</w:t>
      </w:r>
    </w:p>
    <w:p>
      <w:pPr>
        <w:pStyle w:val="Heading1"/>
        <w:spacing w:after="150" w:before="300" w:line="44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5 实施方案设计</w:t>
      </w:r>
    </w:p>
    <w:p>
      <w:pPr>
        <w:pStyle w:val="Heading2"/>
        <w:spacing w:after="120" w:before="240" w:line="44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5.1 技术方案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前端采用React 18 + Next.js 14(App Router) + Ant Design 5 + Zustand状态管理 + react-konva/fabric.js Canvas编辑引擎。通过Next.js的App Router实现PC端（/project/）和移动端（/m/）的路由分离，利用middleware进行设备检测和路由重定向。API层采用Next.js的BFF（Backend for Frontend）模式，在服务端聚合多个后端微服务的数据，前端通过简洁的数据接口获取聚合后的结果。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后端API网关采用Go语言（Gin框架），负责JWT鉴权、请求路由分发、限流熔断和文件上传代理。7个Python FastAPI微服务各司其职，通过RESTful API进行同步通信，通过Celery+Redis进行异步任务编排。异步任务包括批量翻译、批量导出、图像处理流水线和通知推送等。数据库采用PostgreSQL 16以JSONB字段存储半结构化数据（OCR结果、翻译结果、选区坐标等），Redis 7用于翻译记忆缓存、会话管理和分布式锁，MinIO用于图片和导出文件的S3兼容对象存储。</w:t>
      </w:r>
    </w:p>
    <w:p>
      <w:pPr>
        <w:pStyle w:val="Heading2"/>
        <w:spacing w:after="120" w:before="240" w:line="44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5.2 人员安排与分配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00"/>
        <w:gridCol w:w="2400"/>
        <w:gridCol w:w="2600"/>
        <w:gridCol w:w="2426"/>
      </w:tblGrid>
      <w:tr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440"/>
            </w:pPr>
            <w:r>
              <w:rPr>
                <w:rFonts w:ascii="宋体" w:cs="宋体" w:eastAsia="宋体" w:hAnsi="宋体"/>
                <w:b/>
                <w:bCs/>
                <w:sz w:val="24"/>
                <w:szCs w:val="24"/>
              </w:rPr>
              <w:t xml:space="preserve">角色</w:t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440"/>
            </w:pPr>
            <w:r>
              <w:rPr>
                <w:rFonts w:ascii="宋体" w:cs="宋体" w:eastAsia="宋体" w:hAnsi="宋体"/>
                <w:b/>
                <w:bCs/>
                <w:sz w:val="24"/>
                <w:szCs w:val="24"/>
              </w:rPr>
              <w:t xml:space="preserve">姓名</w:t>
            </w:r>
          </w:p>
        </w:tc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440"/>
            </w:pPr>
            <w:r>
              <w:rPr>
                <w:rFonts w:ascii="宋体" w:cs="宋体" w:eastAsia="宋体" w:hAnsi="宋体"/>
                <w:b/>
                <w:bCs/>
                <w:sz w:val="24"/>
                <w:szCs w:val="24"/>
              </w:rPr>
              <w:t xml:space="preserve">技术栈</w:t>
            </w:r>
          </w:p>
        </w:tc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440"/>
            </w:pPr>
            <w:r>
              <w:rPr>
                <w:rFonts w:ascii="宋体" w:cs="宋体" w:eastAsia="宋体" w:hAnsi="宋体"/>
                <w:b/>
                <w:bCs/>
                <w:sz w:val="24"/>
                <w:szCs w:val="24"/>
              </w:rPr>
              <w:t xml:space="preserve">主要任务</w:t>
            </w:r>
          </w:p>
        </w:tc>
        <w:tc>
          <w:tcPr>
            <w:tcW w:type="dxa" w:w="24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440"/>
            </w:pPr>
            <w:r>
              <w:rPr>
                <w:rFonts w:ascii="宋体" w:cs="宋体" w:eastAsia="宋体" w:hAnsi="宋体"/>
                <w:b/>
                <w:bCs/>
                <w:sz w:val="24"/>
                <w:szCs w:val="24"/>
              </w:rPr>
              <w:t xml:space="preserve">交付物</w:t>
            </w:r>
          </w:p>
        </w:tc>
      </w:tr>
      <w:tr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440"/>
            </w:pPr>
            <w:r>
              <w:rPr>
                <w:rFonts w:ascii="宋体" w:cs="宋体" w:eastAsia="宋体" w:hAnsi="宋体"/>
                <w:b/>
                <w:bCs/>
                <w:sz w:val="24"/>
                <w:szCs w:val="24"/>
              </w:rPr>
              <w:t xml:space="preserve">项目组长/全栈</w:t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440"/>
            </w:pPr>
            <w:r>
              <w:rPr>
                <w:rFonts w:ascii="宋体" w:cs="宋体" w:eastAsia="宋体" w:hAnsi="宋体"/>
                <w:b w:val="false"/>
                <w:bCs w:val="false"/>
                <w:sz w:val="24"/>
                <w:szCs w:val="24"/>
              </w:rPr>
              <w:t xml:space="preserve">张三</w:t>
            </w:r>
          </w:p>
        </w:tc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440"/>
            </w:pPr>
            <w:r>
              <w:rPr>
                <w:rFonts w:ascii="宋体" w:cs="宋体" w:eastAsia="宋体" w:hAnsi="宋体"/>
                <w:b w:val="false"/>
                <w:bCs w:val="false"/>
                <w:sz w:val="24"/>
                <w:szCs w:val="24"/>
              </w:rPr>
              <w:t xml:space="preserve">Go/Python/React</w:t>
            </w:r>
          </w:p>
        </w:tc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440"/>
            </w:pPr>
            <w:r>
              <w:rPr>
                <w:rFonts w:ascii="宋体" w:cs="宋体" w:eastAsia="宋体" w:hAnsi="宋体"/>
                <w:b w:val="false"/>
                <w:bCs w:val="false"/>
                <w:sz w:val="24"/>
                <w:szCs w:val="24"/>
              </w:rPr>
              <w:t xml:space="preserve">项目统筹、架构设计、Go网关开发、CI/CD搭建</w:t>
            </w:r>
          </w:p>
        </w:tc>
        <w:tc>
          <w:tcPr>
            <w:tcW w:type="dxa" w:w="24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440"/>
            </w:pPr>
            <w:r>
              <w:rPr>
                <w:rFonts w:ascii="宋体" w:cs="宋体" w:eastAsia="宋体" w:hAnsi="宋体"/>
                <w:b w:val="false"/>
                <w:bCs w:val="false"/>
                <w:sz w:val="24"/>
                <w:szCs w:val="24"/>
              </w:rPr>
              <w:t xml:space="preserve">架构文档、网关代码、部署方案</w:t>
            </w:r>
          </w:p>
        </w:tc>
      </w:tr>
      <w:tr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440"/>
            </w:pPr>
            <w:r>
              <w:rPr>
                <w:rFonts w:ascii="宋体" w:cs="宋体" w:eastAsia="宋体" w:hAnsi="宋体"/>
                <w:b/>
                <w:bCs/>
                <w:sz w:val="24"/>
                <w:szCs w:val="24"/>
              </w:rPr>
              <w:t xml:space="preserve">前端开发</w:t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440"/>
            </w:pPr>
            <w:r>
              <w:rPr>
                <w:rFonts w:ascii="宋体" w:cs="宋体" w:eastAsia="宋体" w:hAnsi="宋体"/>
                <w:b w:val="false"/>
                <w:bCs w:val="false"/>
                <w:sz w:val="24"/>
                <w:szCs w:val="24"/>
              </w:rPr>
              <w:t xml:space="preserve">李四</w:t>
            </w:r>
          </w:p>
        </w:tc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440"/>
            </w:pPr>
            <w:r>
              <w:rPr>
                <w:rFonts w:ascii="宋体" w:cs="宋体" w:eastAsia="宋体" w:hAnsi="宋体"/>
                <w:b w:val="false"/>
                <w:bCs w:val="false"/>
                <w:sz w:val="24"/>
                <w:szCs w:val="24"/>
              </w:rPr>
              <w:t xml:space="preserve">React/Next.js/TypeScript</w:t>
            </w:r>
          </w:p>
        </w:tc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440"/>
            </w:pPr>
            <w:r>
              <w:rPr>
                <w:rFonts w:ascii="宋体" w:cs="宋体" w:eastAsia="宋体" w:hAnsi="宋体"/>
                <w:b w:val="false"/>
                <w:bCs w:val="false"/>
                <w:sz w:val="24"/>
                <w:szCs w:val="24"/>
              </w:rPr>
              <w:t xml:space="preserve">PC端和移动端页面开发、Canvas编辑功能、PWA实现</w:t>
            </w:r>
          </w:p>
        </w:tc>
        <w:tc>
          <w:tcPr>
            <w:tcW w:type="dxa" w:w="24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440"/>
            </w:pPr>
            <w:r>
              <w:rPr>
                <w:rFonts w:ascii="宋体" w:cs="宋体" w:eastAsia="宋体" w:hAnsi="宋体"/>
                <w:b w:val="false"/>
                <w:bCs w:val="false"/>
                <w:sz w:val="24"/>
                <w:szCs w:val="24"/>
              </w:rPr>
              <w:t xml:space="preserve">前端代码、组件文档、UI测试报告</w:t>
            </w:r>
          </w:p>
        </w:tc>
      </w:tr>
      <w:tr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440"/>
            </w:pPr>
            <w:r>
              <w:rPr>
                <w:rFonts w:ascii="宋体" w:cs="宋体" w:eastAsia="宋体" w:hAnsi="宋体"/>
                <w:b/>
                <w:bCs/>
                <w:sz w:val="24"/>
                <w:szCs w:val="24"/>
              </w:rPr>
              <w:t xml:space="preserve">后端开发</w:t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440"/>
            </w:pPr>
            <w:r>
              <w:rPr>
                <w:rFonts w:ascii="宋体" w:cs="宋体" w:eastAsia="宋体" w:hAnsi="宋体"/>
                <w:b w:val="false"/>
                <w:bCs w:val="false"/>
                <w:sz w:val="24"/>
                <w:szCs w:val="24"/>
              </w:rPr>
              <w:t xml:space="preserve">王五</w:t>
            </w:r>
          </w:p>
        </w:tc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440"/>
            </w:pPr>
            <w:r>
              <w:rPr>
                <w:rFonts w:ascii="宋体" w:cs="宋体" w:eastAsia="宋体" w:hAnsi="宋体"/>
                <w:b w:val="false"/>
                <w:bCs w:val="false"/>
                <w:sz w:val="24"/>
                <w:szCs w:val="24"/>
              </w:rPr>
              <w:t xml:space="preserve">Python FastAPI/Celery</w:t>
            </w:r>
          </w:p>
        </w:tc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440"/>
            </w:pPr>
            <w:r>
              <w:rPr>
                <w:rFonts w:ascii="宋体" w:cs="宋体" w:eastAsia="宋体" w:hAnsi="宋体"/>
                <w:b w:val="false"/>
                <w:bCs w:val="false"/>
                <w:sz w:val="24"/>
                <w:szCs w:val="24"/>
              </w:rPr>
              <w:t xml:space="preserve">业务微服务开发、数据库设计、API文档编写</w:t>
            </w:r>
          </w:p>
        </w:tc>
        <w:tc>
          <w:tcPr>
            <w:tcW w:type="dxa" w:w="24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440"/>
            </w:pPr>
            <w:r>
              <w:rPr>
                <w:rFonts w:ascii="宋体" w:cs="宋体" w:eastAsia="宋体" w:hAnsi="宋体"/>
                <w:b w:val="false"/>
                <w:bCs w:val="false"/>
                <w:sz w:val="24"/>
                <w:szCs w:val="24"/>
              </w:rPr>
              <w:t xml:space="preserve">后端代码、API文档、数据库DDL/DML</w:t>
            </w:r>
          </w:p>
        </w:tc>
      </w:tr>
      <w:tr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440"/>
            </w:pPr>
            <w:r>
              <w:rPr>
                <w:rFonts w:ascii="宋体" w:cs="宋体" w:eastAsia="宋体" w:hAnsi="宋体"/>
                <w:b/>
                <w:bCs/>
                <w:sz w:val="24"/>
                <w:szCs w:val="24"/>
              </w:rPr>
              <w:t xml:space="preserve">AI/ML工程师</w:t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440"/>
            </w:pPr>
            <w:r>
              <w:rPr>
                <w:rFonts w:ascii="宋体" w:cs="宋体" w:eastAsia="宋体" w:hAnsi="宋体"/>
                <w:b w:val="false"/>
                <w:bCs w:val="false"/>
                <w:sz w:val="24"/>
                <w:szCs w:val="24"/>
              </w:rPr>
              <w:t xml:space="preserve">赵六</w:t>
            </w:r>
          </w:p>
        </w:tc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440"/>
            </w:pPr>
            <w:r>
              <w:rPr>
                <w:rFonts w:ascii="宋体" w:cs="宋体" w:eastAsia="宋体" w:hAnsi="宋体"/>
                <w:b w:val="false"/>
                <w:bCs w:val="false"/>
                <w:sz w:val="24"/>
                <w:szCs w:val="24"/>
              </w:rPr>
              <w:t xml:space="preserve">Python/PyTorch/ONNX</w:t>
            </w:r>
          </w:p>
        </w:tc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440"/>
            </w:pPr>
            <w:r>
              <w:rPr>
                <w:rFonts w:ascii="宋体" w:cs="宋体" w:eastAsia="宋体" w:hAnsi="宋体"/>
                <w:b w:val="false"/>
                <w:bCs w:val="false"/>
                <w:sz w:val="24"/>
                <w:szCs w:val="24"/>
              </w:rPr>
              <w:t xml:space="preserve">AI模型集成、翻译引擎开发、模型部署优化</w:t>
            </w:r>
          </w:p>
        </w:tc>
        <w:tc>
          <w:tcPr>
            <w:tcW w:type="dxa" w:w="24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440"/>
            </w:pPr>
            <w:r>
              <w:rPr>
                <w:rFonts w:ascii="宋体" w:cs="宋体" w:eastAsia="宋体" w:hAnsi="宋体"/>
                <w:b w:val="false"/>
                <w:bCs w:val="false"/>
                <w:sz w:val="24"/>
                <w:szCs w:val="24"/>
              </w:rPr>
              <w:t xml:space="preserve">模型服务代码、模型评估报告</w:t>
            </w:r>
          </w:p>
        </w:tc>
      </w:tr>
      <w:tr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440"/>
            </w:pPr>
            <w:r>
              <w:rPr>
                <w:rFonts w:ascii="宋体" w:cs="宋体" w:eastAsia="宋体" w:hAnsi="宋体"/>
                <w:b/>
                <w:bCs/>
                <w:sz w:val="24"/>
                <w:szCs w:val="24"/>
              </w:rPr>
              <w:t xml:space="preserve">测试/数据库</w:t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440"/>
            </w:pPr>
            <w:r>
              <w:rPr>
                <w:rFonts w:ascii="宋体" w:cs="宋体" w:eastAsia="宋体" w:hAnsi="宋体"/>
                <w:b w:val="false"/>
                <w:bCs w:val="false"/>
                <w:sz w:val="24"/>
                <w:szCs w:val="24"/>
              </w:rPr>
              <w:t xml:space="preserve">孙七</w:t>
            </w:r>
          </w:p>
        </w:tc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440"/>
            </w:pPr>
            <w:r>
              <w:rPr>
                <w:rFonts w:ascii="宋体" w:cs="宋体" w:eastAsia="宋体" w:hAnsi="宋体"/>
                <w:b w:val="false"/>
                <w:bCs w:val="false"/>
                <w:sz w:val="24"/>
                <w:szCs w:val="24"/>
              </w:rPr>
              <w:t xml:space="preserve">Python/PostgreSQL</w:t>
            </w:r>
          </w:p>
        </w:tc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440"/>
            </w:pPr>
            <w:r>
              <w:rPr>
                <w:rFonts w:ascii="宋体" w:cs="宋体" w:eastAsia="宋体" w:hAnsi="宋体"/>
                <w:b w:val="false"/>
                <w:bCs w:val="false"/>
                <w:sz w:val="24"/>
                <w:szCs w:val="24"/>
              </w:rPr>
              <w:t xml:space="preserve">测试用例设计与执行、数据库管理、性能测试</w:t>
            </w:r>
          </w:p>
        </w:tc>
        <w:tc>
          <w:tcPr>
            <w:tcW w:type="dxa" w:w="24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440"/>
            </w:pPr>
            <w:r>
              <w:rPr>
                <w:rFonts w:ascii="宋体" w:cs="宋体" w:eastAsia="宋体" w:hAnsi="宋体"/>
                <w:b w:val="false"/>
                <w:bCs w:val="false"/>
                <w:sz w:val="24"/>
                <w:szCs w:val="24"/>
              </w:rPr>
              <w:t xml:space="preserve">测试报告、数据库设计文档</w:t>
            </w:r>
          </w:p>
        </w:tc>
      </w:tr>
    </w:tbl>
    <w:p>
      <w:pPr>
        <w:pStyle w:val="Heading1"/>
        <w:spacing w:after="150" w:before="300" w:line="44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6 方案分析与总结</w:t>
      </w:r>
    </w:p>
    <w:p>
      <w:pPr>
        <w:pStyle w:val="Heading2"/>
        <w:spacing w:after="120" w:before="240" w:line="44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6.1 方案在社会、健康、安全、法律等方面的影响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社会影响方面：本系统通过降低漫画翻译的技术门槛，促进了全球漫画文化的交流与传播，有助于不同文化背景的读者接触和理解多元文化内容。同时，系统为汉化组和出版社提供了高效的翻译工具，有助于提升行业整体的翻译质量和工作效率。健康影响方面：系统采用Web端架构，用户应合理控制屏幕使用时间，移动端的夜间模式和有声明读功能有助于减少视觉疲劳。安全影响方面：系统从架构层面考虑了数据安全（全链路加密）、访问控制（JWT+权限矩阵）和内容安全（敏感内容检测），确保用户数据不被泄露或滥用。</w:t>
      </w:r>
    </w:p>
    <w:p>
      <w:pPr>
        <w:pStyle w:val="Heading2"/>
        <w:spacing w:after="120" w:before="240" w:line="44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6.2 应承担的相应责任</w:t>
      </w:r>
    </w:p>
    <w:p>
      <w:pPr>
        <w:spacing w:line="440"/>
        <w:ind w:firstLine="480"/>
      </w:pPr>
      <w:r>
        <w:rPr>
          <w:rFonts w:ascii="宋体" w:cs="宋体" w:eastAsia="宋体" w:hAnsi="宋体"/>
          <w:b w:val="false"/>
          <w:bCs w:val="false"/>
          <w:sz w:val="24"/>
          <w:szCs w:val="24"/>
        </w:rPr>
        <w:t xml:space="preserve">作为技术工具的提供方，团队应在以下方面承担相应责任：一是版权责任，在用户协议中明确版权归属用户，平台不承担用户上传内容的版权审核义务，但须建立有效的版权投诉处理机制（DMCA响应）；二是数据安全责任，严格遵守《个人信息保护法》和《数据安全法》，保护用户个人信息不被泄露，为用户提供数据导出和删除的自主权；三是内容安全责任，建立敏感内容检测机制，防止平台被用于传播违规内容；四是服务质量责任，保证系统可用性和翻译质量的持续优化，及时响应用户反馈和问题报告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300"/>
      <w:outlineLvl w:val="0"/>
    </w:pPr>
    <w:rPr>
      <w:rFonts w:ascii="宋体" w:cs="宋体" w:eastAsia="宋体" w:hAnsi="宋体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宋体" w:cs="宋体" w:eastAsia="宋体" w:hAnsi="宋体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宋体" w:cs="宋体" w:eastAsia="宋体" w:hAnsi="宋体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2026-06-30T00:31:31.272Z</dcterms:created>
  <dcterms:modified xsi:type="dcterms:W3CDTF">2026-06-30T00:31:31.272Z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