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40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line="440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36"/>
          <w:szCs w:val="36"/>
        </w:rPr>
        <w:t xml:space="preserve">专业综合课程设计</w:t>
      </w:r>
    </w:p>
    <w:p>
      <w:pPr>
        <w:spacing w:after="400"/>
        <w:jc w:val="center"/>
      </w:pPr>
      <w:r>
        <w:rPr>
          <w:rFonts w:ascii="宋体" w:cs="宋体" w:eastAsia="宋体" w:hAnsi="宋体"/>
          <w:sz w:val="28"/>
          <w:szCs w:val="28"/>
        </w:rPr>
      </w:r>
    </w:p>
    <w:p>
      <w:pPr>
        <w:spacing w:line="440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line="44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组长：张三  2021001  软件工程  212001    组员：李四  王五  赵六  孙七</w:t>
      </w:r>
    </w:p>
    <w:p>
      <w:pPr>
        <w:spacing w:line="44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课题：漫画多语言智能翻译与图像合成系统    2025-2026 第二学期</w:t>
      </w:r>
    </w:p>
    <w:p>
      <w:r>
        <w:br w:type="page"/>
      </w:r>
    </w:p>
    <w:p>
      <w:pPr>
        <w:pStyle w:val="Heading1"/>
        <w:spacing w:after="150" w:before="300" w:line="44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1 文档介绍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1.1 文档目的与范围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文档是「漫画多语言智能翻译与图像合成系统」的系统设计说明书，旨在详细描述系统的架构设计、模块划分、接口规范、数据库设计和用户界面方案。文档面向项目团队成员、指导教师和后续维护开发人员，作为编码实现的技术依据和项目评审的重要参考。文档覆盖了从整体架构到具体模块的完整设计方案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1.2 读者对象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本文档的主要读者包括：项目开发团队成员（用于指导编码实现）、指导教师（用于评审设计方案）、系统维护人员（用于理解系统架构）和后续扩展开发人员（用于了解技术决策背景）。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1.3 参考文档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本文档的参考依据包括：(1) 漫画多语言智能翻译与图像合成系统 PRD v3.0（2026-06-25），提供了完整的功能需求和非功能需求定义；(2) 系统架构设计说明书 v1.0（2025-07-11），定义了技术选型和宏观架构；(3) 数据库设计文档，定义了数据模型和表结构；(4) API接口规范文档，定义了各微服务的接口契约。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1.4 术语与缩写解释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426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术语/缩写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全称</w:t>
            </w:r>
          </w:p>
        </w:tc>
        <w:tc>
          <w:tcPr>
            <w:tcW w:type="dxa" w:w="5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解释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OCR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Optical Character Recognition</w:t>
            </w:r>
          </w:p>
        </w:tc>
        <w:tc>
          <w:tcPr>
            <w:tcW w:type="dxa" w:w="5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光学字符识别，从图像中提取文字的技术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PWA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Progressive Web Application</w:t>
            </w:r>
          </w:p>
        </w:tc>
        <w:tc>
          <w:tcPr>
            <w:tcW w:type="dxa" w:w="5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渐进式Web应用，支持离线使用和推送通知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JWT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JSON Web Token</w:t>
            </w:r>
          </w:p>
        </w:tc>
        <w:tc>
          <w:tcPr>
            <w:tcW w:type="dxa" w:w="5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JSON Web令牌，用于无状态用户认证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REST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Representational State Transfer</w:t>
            </w:r>
          </w:p>
        </w:tc>
        <w:tc>
          <w:tcPr>
            <w:tcW w:type="dxa" w:w="5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表述性状态转移，Web API架构风格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应用程序编程接口网关</w:t>
            </w:r>
          </w:p>
        </w:tc>
        <w:tc>
          <w:tcPr>
            <w:tcW w:type="dxa" w:w="5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统一入口服务，负责鉴权、路由和限流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Celery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5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Python分布式异步任务队列框架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MinIO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5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高性能、S3兼容的对象存储服务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CBZ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Comic Book Zip</w:t>
            </w:r>
          </w:p>
        </w:tc>
        <w:tc>
          <w:tcPr>
            <w:tcW w:type="dxa" w:w="5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漫画打包格式，本质为ZIP压缩包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JSON Binary</w:t>
            </w:r>
          </w:p>
        </w:tc>
        <w:tc>
          <w:tcPr>
            <w:tcW w:type="dxa" w:w="5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PostgreSQL中的二进制JSON数据类型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FastAPI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5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Python高性能异步Web框架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SSR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Server Side Rendering</w:t>
            </w:r>
          </w:p>
        </w:tc>
        <w:tc>
          <w:tcPr>
            <w:tcW w:type="dxa" w:w="5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服务端渲染，提升首屏加载速度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SSIM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Structural Similarity Index</w:t>
            </w:r>
          </w:p>
        </w:tc>
        <w:tc>
          <w:tcPr>
            <w:tcW w:type="dxa" w:w="5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结构相似性指数，衡量图像质量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BFF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Backend for Frontend</w:t>
            </w:r>
          </w:p>
        </w:tc>
        <w:tc>
          <w:tcPr>
            <w:tcW w:type="dxa" w:w="5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为前端定制的后端聚合层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CORS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Cross-Origin Resource Sharing</w:t>
            </w:r>
          </w:p>
        </w:tc>
        <w:tc>
          <w:tcPr>
            <w:tcW w:type="dxa" w:w="5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跨域资源共享安全策略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Bcrypt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5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密码哈希加密算法</w:t>
            </w:r>
          </w:p>
        </w:tc>
      </w:tr>
    </w:tbl>
    <w:p>
      <w:pPr>
        <w:pStyle w:val="Heading1"/>
        <w:spacing w:after="150" w:before="300" w:line="44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2 系统概述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系统是一套基于B/S架构的Web端漫画多语言智能翻译平台，采用微服务架构设计，通过云端GPU算力为漫画爱好者、外语学习者、汉化组和出版社提供专业级的漫画翻译与图像合成服务。系统覆盖漫画翻译的完整处理管线：从图像导入（支持JPG/PNG/WebP/CBZ/ZIP/RAR/7Z/PDF等多格式）、文字区域检测（五种文字类型、特殊排版适配）、多语言OCR识别（中日英韩）、双引擎智能翻译（基础引擎+多模态语境引擎）、分级背景修复（文字擦除/全气泡擦除）、AI自适应排版渲染，到多格式成品导出（JPG/PNG/WebP/CBZ/PDF）和在线双语阅读。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同时提供PC端专业编辑工作台（三栏布局+Canvas编辑+快捷键操作）和移动端阅读器（触控手势+PWA离线+底部Tab导航），通过JWT认证和云端同步实现跨设备无缝体验。未来将扩展API开放平台、轻量级团队协作、有声剧场和动态漫画等创新功能。</w:t>
      </w:r>
    </w:p>
    <w:p>
      <w:pPr>
        <w:pStyle w:val="Heading1"/>
        <w:spacing w:after="150" w:before="300" w:line="44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3 设计约束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3.1 需求约束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(1) 标准与规范约束：前端需兼容Chrome/Edge/Safari/Firefox最新两个正式版本；API设计需遵循RESTful风格和OpenAPI 3.0规范；数据库需满足ACID事务要求；无障碍设计需达到WCAG 2.1 AA级别（远期目标）。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(2) 软件环境约束：系统基于B/S架构，需部署在Linux服务器环境（当前开发环境为WSL2 Ubuntu）；Python版本需≥3.8且兼容`from __future__ import annotations`；Node.js版本需≥18；Go版本需≥1.21。前端通过Nginx反向代理+CDN分发，后端微服务通过Go API Gateway统一接入。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(3) 接口协议约束：前后端通信采用HTTPS+JSON；服务间同步调用采用RESTful HTTP，异步任务通过Celery+Redis消息队列；认证采用JWT双Token机制（Access Token 2h + Refresh Token 7d）；文件上传支持multipart/form-data协议。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(4) 用户界面约束：PC端最低分辨率1366×768，支持2K/4K高分屏自适应；移动端最低支持iOS 14+/Android 10+系统浏览器；触控元素尺寸≥44×44px，按钮间距≥8px；支持暗色模式和夜间模式。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(5) 性能约束：PC端操作响应≤100ms；移动端操作响应≤150ms；单页基础全流程≤40秒；单页OCR≤3秒；单句翻译≤2秒；批量任务支持单次最多200页。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(6) 安全约束：全站HTTPS传输；密码bcrypt哈希存储；上传文件白名单校验；API Key哈希存储；敏感操作二次验证。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3.2 隐含约束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(1) 用户技能假设：假设用户具备基本的计算机和浏览器操作能力，简易模式面向零基础用户，专业编辑模式面向有一定图像处理经验的用户。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(2) 网络环境假设：系统核心AI处理链路依赖云端GPU算力，假设用户在翻译处理时具备稳定的互联网连接。离线功能仅覆盖已缓存内容的阅读浏览，不支持离线AI处理。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(3) 开发环境依赖：当前开发环境为Windows+WSL2混合架构，其中PostgreSQL/Redis/MinIO/Python微服务均在WSL2中运行，前端和Go网关在Windows侧运行。该环境配置对于新开发人员存在一定的学习成本。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(4) GPU资源假设：假设开发阶段可使用单张NVIDIA T4 16GB GPU进行模型推理，生产环境需根据用户量弹性扩展GPU节点。模型推理延迟是系统性能的主要瓶颈。</w:t>
      </w:r>
    </w:p>
    <w:p>
      <w:pPr>
        <w:pStyle w:val="Heading1"/>
        <w:spacing w:after="150" w:before="300" w:line="44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4 开发、测试与运行环境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826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类别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标准配置</w:t>
            </w:r>
          </w:p>
        </w:tc>
        <w:tc>
          <w:tcPr>
            <w:tcW w:type="dxa" w:w="2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最低配置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开发环境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Windows 11 + WSL2 Ubuntu 22.04, Node.js 18+, Python 3.8+, Go 1.21+, Docker Desktop, VS Code</w:t>
            </w:r>
          </w:p>
        </w:tc>
        <w:tc>
          <w:tcPr>
            <w:tcW w:type="dxa" w:w="2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Windows 10 + WSL2, Node.js 16+, Python 3.8+, VS Code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测试环境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同开发环境, 额外: Selenium/Playwright浏览器自动化, pytest测试框架, JMeter/Locust压力测试, Xenu链接检测</w:t>
            </w:r>
          </w:p>
        </w:tc>
        <w:tc>
          <w:tcPr>
            <w:tcW w:type="dxa" w:w="2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同开发环境, pytest + 手动测试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运行环境(服务端)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Ubuntu 22.04, 8核CPU/32GB RAM, NVIDIA A10 24GB GPU, 500GB SSD, 千兆网络</w:t>
            </w:r>
          </w:p>
        </w:tc>
        <w:tc>
          <w:tcPr>
            <w:tcW w:type="dxa" w:w="2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Ubuntu 22.04, 4核CPU/16GB RAM, NVIDIA T4 16GB GPU, 200GB SSD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运行环境(客户端)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Chrome 110+/Edge 110+/Safari 16+/Firefox 110+, 1920×1080, 8GB RAM</w:t>
            </w:r>
          </w:p>
        </w:tc>
        <w:tc>
          <w:tcPr>
            <w:tcW w:type="dxa" w:w="2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Chrome 100+, 1366×768, 4GB RAM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移动端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iOS 16+/Android 12+系统浏览器, 微信/QQ内置浏览器</w:t>
            </w:r>
          </w:p>
        </w:tc>
        <w:tc>
          <w:tcPr>
            <w:tcW w:type="dxa" w:w="2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iOS 14+/Android 10+系统浏览器</w:t>
            </w:r>
          </w:p>
        </w:tc>
      </w:tr>
    </w:tbl>
    <w:p>
      <w:pPr>
        <w:pStyle w:val="Heading1"/>
        <w:spacing w:after="150" w:before="300" w:line="44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5 功能模块设计概要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5.1 第0层设计描述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系统采用六层架构设计，自顶向下依次为：表现层（Presentation Layer）——PC端和移动端Web前端，基于Next.js 14 App Router实现响应式设计和SSR优化；接入层（Gateway Layer）——Nginx反向代理（SSL终止+静态资源）和Go(Gin) API Gateway（JWT鉴权+路由分发+限流熔断）；业务服务层（Service Layer）——7个Python FastAPI微服务，各自封装独立的业务子域；AI模型服务层（Model Inference Layer）——GPU微服务集群，提供文字检测、OCR识别、翻译、修复等AI能力；异步任务层（Async Task Layer）——Celery+Redis，负责批量处理、导出队列和通知推送；数据存储层（Data Layer）——PostgreSQL（主数据库）、Redis（缓存/会话）、MinIO（对象存储）。层间通过明确的接口契约进行通信，上层依赖下层，下层不感知上层。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5.2 第1层设计描述</w:t>
      </w:r>
    </w:p>
    <w:p>
      <w:pPr>
        <w:pStyle w:val="Heading3"/>
        <w:spacing w:after="80" w:before="180" w:line="44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5.2.1 系统结构描述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核心模块分为8大功能域：用户域（注册/登录/设置/付费）、内容域（作品/章节/页面管理+文件导入）、处理域（检测→OCR→翻译→修复→渲染管线）、导出域（格式转换+打包下载）、阅读域（双语阅读器+生词本+学习辅助）、协作域（页面锁定+评论标注+变更日志）、平台域（API开放+Key管理+用量统计）、运维域（通知推送+回收站+管理后台）。各功能域通过对应的微服务实现，服务间通过REST API和消息队列进行解耦通信。</w:t>
      </w:r>
    </w:p>
    <w:p>
      <w:pPr>
        <w:pStyle w:val="Heading3"/>
        <w:spacing w:after="80" w:before="180" w:line="44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5.2.2 业务流程说明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核心翻译管线的业务流程如下：用户上传漫画文件（支持多格式）→Project Service解析文件并生成缩略图→Image Service进行预处理（倾斜校正/黑边裁剪）→调用检测模型定位文字区域→用户可选手动调整选区→调用OCR模型识别文字→Translation Service查询翻译记忆缓存→缓存命中则直接返回，未命中则调用翻译引擎（基础引擎/多模态引擎）→翻译结果保存至缓存→Image Service进行背景修复（分类型擦除）→AI排版引擎计算最优排版参数→文字回填渲染→Export Service按选定的格式和参数导出成品→通知用户任务完成。整个管线中，用户可在任何步骤暂停并手动调整结果。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5.3 模块分解描述</w:t>
      </w:r>
    </w:p>
    <w:p>
      <w:pPr>
        <w:pStyle w:val="Heading3"/>
        <w:spacing w:after="80" w:before="180" w:line="44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5.3.1 用户服务模块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User Service (FastAPI, 端口8001) 负责用户生命周期管理。提供注册（邮箱/手机号）、登录（JWT签发）、Token刷新、个人信息管理、偏好设置管理、付费权益查询等功能。模块包含以下核心类：UserModel（用户数据模型，含user_id/email/phone/password_hash/nickname/avatar_url/plan_type/settings等字段）、AuthController（认证控制器，处理注册/登录/Token刷新逻辑）、UserController（用户信息管理控制器）、PlanController（付费权益控制器）。数据库表：users, user_sessions。</w:t>
      </w:r>
    </w:p>
    <w:p>
      <w:pPr>
        <w:pStyle w:val="Heading3"/>
        <w:spacing w:after="80" w:before="180" w:line="44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5.3.2 项目服务模块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Project Service (FastAPI, 端口8002) 负责作品-章节-页面的三级内容管理。提供作品的CRUD操作、章节排序、页面上传解析（支持JPG/PNG/WebP/CBZ/ZIP/RAR/7Z/PDF）、缩略图生成、文件预处理、回收站管理、样式预设管理等功能。核心类：ProjectModel, ChapterModel, PageModel, StylePresetModel。上传文件通过MinIO对象存储持久化，临时文件7天自动清理。数据库表：projects, chapters, pages, style_presets。</w:t>
      </w:r>
    </w:p>
    <w:p>
      <w:pPr>
        <w:pStyle w:val="Heading3"/>
        <w:spacing w:after="80" w:before="180" w:line="44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5.3.3 图像处理服务模块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Image Service (FastAPI, 端口8004) 是系统的核心处理服务，负责文字区域检测、OCR识别、背景修复擦除和文字回填渲染四大处理环节。该服务通过HTTP调用底层AI模型服务（Detector/OCR/Inpainter服务），并将处理结果回写至Project Service的页面数据中。核心类：DetectionController（调用检测模型，管理选区数据）、OCRController（调用识别模型，输出字符级置信度）、InpaintController（调用修复模型，分背景类型处理）、RenderController（调用排版引擎，生成最终图像）。数据库表：text_regions。</w:t>
      </w:r>
    </w:p>
    <w:p>
      <w:pPr>
        <w:pStyle w:val="Heading3"/>
        <w:spacing w:after="80" w:before="180" w:line="44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5.3.4 翻译服务模块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Translation Service (FastAPI, 端口8003) 负责翻译引擎调度和翻译记忆管理。支持双引擎架构：BasicTranslator（基于自部署Qwen2.5-7B-Instruct，处理日常对话翻译）和MultimodalTranslator（基于Qwen2-VL或GPT-4V API，处理需要语境理解的复杂翻译）。TranslationCache负责翻译记忆的存储和检索（基于语义向量的相似度匹配）。TermManager负责用户个人术语库的管理和CSV导入导出。数据库表：term_entries, translation_cache。</w:t>
      </w:r>
    </w:p>
    <w:p>
      <w:pPr>
        <w:pStyle w:val="Heading3"/>
        <w:spacing w:after="80" w:before="180" w:line="44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5.3.5 导出服务模块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Export Service (FastAPI, 端口8005) 负责将处理完成的漫画页面合成为最终导出文件。支持JPG/PNG/WebP单页导出（可调分辨率和质量）、CBZ漫画包批量导出、PDF单行本生成、双语对照模式（左右分屏/上下对照/气泡内双语叠加）和条漫长图拼接。批量导出通过Celery异步任务在后台执行，用户可查看进度、暂停或取消任务。数据库表：export_tasks。</w:t>
      </w:r>
    </w:p>
    <w:p>
      <w:pPr>
        <w:pStyle w:val="Heading3"/>
        <w:spacing w:after="80" w:before="180" w:line="44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5.3.6 阅读器服务模块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Reader Service (FastAPI, 端口8006) 为前端双语阅读器提供数据接口。提供页面读取、气泡语言切换、阅读进度保存、单词查询、生词本管理等API。阅读进度通过reading_progress表持久化，支持跨设备同步。生词本管理支持分类、复习和Anki格式导出。数据库表：vocabularies, reading_progress。</w:t>
      </w:r>
    </w:p>
    <w:p>
      <w:pPr>
        <w:pStyle w:val="Heading3"/>
        <w:spacing w:after="80" w:before="180" w:line="44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5.3.7 通知服务模块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Notification Service (FastAPI, 端口8007) 负责系统消息的推送管理。支持站内通知（消息中心）和邮件通知两种渠道。在导出任务完成、批量处理完成、系统维护等场景下自动生成通知。用户可在设置中配置各类型通知的开关。数据库表：notifications。</w:t>
      </w:r>
    </w:p>
    <w:p>
      <w:pPr>
        <w:pStyle w:val="Heading1"/>
        <w:spacing w:after="150" w:before="300" w:line="44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6 用户界面设计概述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6.1 用户界面设计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采用三栏布局作为PC端主要编辑界面：左侧缩略图列表（可折叠），中间大画布编辑区（Canvas渲染图像+选区标注），右侧属性面板（根据当前操作上下文动态切换：文字区域属性/翻译编辑/样式调整/导出设置）。顶部导航栏包含Logo、当前作品名称、简易/专业模式切换按钮和用户头像菜单。底部状态栏显示当前页面信息、处理进度和画布缩放控制。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移动端采用底部Tab导航结构：首页Tab展示最近项目和快速翻译入口；作品Tab管理作品和章节；阅读Tab展示最近阅读和双语阅读器；我的Tab管理个人设置。移动端页面简化了编辑功能，核心操作通过触控手势完成（双指缩放、滑动翻页、长按切换语言等），复杂编辑操作引导用户至PC端处理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6.2 用户界面文档</w:t>
      </w:r>
    </w:p>
    <w:p>
      <w:pPr>
        <w:pStyle w:val="Heading3"/>
        <w:spacing w:after="80" w:before="180" w:line="44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6.2.1 项目编辑工作台主界面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26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7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界面标识号</w:t>
            </w:r>
          </w:p>
        </w:tc>
        <w:tc>
          <w:tcPr>
            <w:tcW w:type="dxa" w:w="7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VC001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界面名称</w:t>
            </w:r>
          </w:p>
        </w:tc>
        <w:tc>
          <w:tcPr>
            <w:tcW w:type="dxa" w:w="7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项目编辑工作台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对应用例标识号</w:t>
            </w:r>
          </w:p>
        </w:tc>
        <w:tc>
          <w:tcPr>
            <w:tcW w:type="dxa" w:w="7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UC002, UC003, UC004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简要说明</w:t>
            </w:r>
          </w:p>
        </w:tc>
        <w:tc>
          <w:tcPr>
            <w:tcW w:type="dxa" w:w="7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用户在此界面上传漫画文件、查看处理进度、调整文字选区和编辑翻译结果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使用者</w:t>
            </w:r>
          </w:p>
        </w:tc>
        <w:tc>
          <w:tcPr>
            <w:tcW w:type="dxa" w:w="7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登录用户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完成后转向界面</w:t>
            </w:r>
          </w:p>
        </w:tc>
        <w:tc>
          <w:tcPr>
            <w:tcW w:type="dxa" w:w="7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导出页面(VC006)或阅读器页面(VC007)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数据说明</w:t>
            </w:r>
          </w:p>
        </w:tc>
        <w:tc>
          <w:tcPr>
            <w:tcW w:type="dxa" w:w="7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页面列表数据（图片URL、状态、序号）；文字区域数据（坐标、类型、置信度、原文/译文）；样式配置数据（字体、大小、颜色等）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按钮说明</w:t>
            </w:r>
          </w:p>
        </w:tc>
        <w:tc>
          <w:tcPr>
            <w:tcW w:type="dxa" w:w="7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上传按钮-触发文件上传；一键翻译-启动全流程自动处理；导出按钮-跳转导出设置；模式切换-简单/专业模式切换</w:t>
            </w:r>
          </w:p>
        </w:tc>
      </w:tr>
    </w:tbl>
    <w:p>
      <w:pPr>
        <w:pStyle w:val="Heading3"/>
        <w:spacing w:after="80" w:before="180" w:line="44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6.2.2 导出设置界面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26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7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界面标识号</w:t>
            </w:r>
          </w:p>
        </w:tc>
        <w:tc>
          <w:tcPr>
            <w:tcW w:type="dxa" w:w="7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VC006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界面名称</w:t>
            </w:r>
          </w:p>
        </w:tc>
        <w:tc>
          <w:tcPr>
            <w:tcW w:type="dxa" w:w="7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导出设置面板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对应用例标识号</w:t>
            </w:r>
          </w:p>
        </w:tc>
        <w:tc>
          <w:tcPr>
            <w:tcW w:type="dxa" w:w="7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UC005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简要说明</w:t>
            </w:r>
          </w:p>
        </w:tc>
        <w:tc>
          <w:tcPr>
            <w:tcW w:type="dxa" w:w="7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用户选择导出格式、分辨率、质量和双语模式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使用者</w:t>
            </w:r>
          </w:p>
        </w:tc>
        <w:tc>
          <w:tcPr>
            <w:tcW w:type="dxa" w:w="7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登录用户、作品所有者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完成后转向界面</w:t>
            </w:r>
          </w:p>
        </w:tc>
        <w:tc>
          <w:tcPr>
            <w:tcW w:type="dxa" w:w="7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导出进度页面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数据说明</w:t>
            </w:r>
          </w:p>
        </w:tc>
        <w:tc>
          <w:tcPr>
            <w:tcW w:type="dxa" w:w="7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格式选择（JPG/PNG/WebP/CBZ/PDF）、分辨率（原始/1080P/2K/4K）、压缩质量（1-100%）、双语模式（左右/上下/气泡内）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按钮说明</w:t>
            </w:r>
          </w:p>
        </w:tc>
        <w:tc>
          <w:tcPr>
            <w:tcW w:type="dxa" w:w="7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导出当前页-单页导出；批量导出-选中的页面批量导出；取消-返回编辑界面</w:t>
            </w:r>
          </w:p>
        </w:tc>
      </w:tr>
    </w:tbl>
    <w:p>
      <w:pPr>
        <w:pStyle w:val="Heading1"/>
        <w:spacing w:after="150" w:before="300" w:line="44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7 数据库设计概述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7.1 概念模型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的核心实体关系如下：User（用户）作为顶层实体，一个用户可拥有多个Project（作品）、多个TermEntry（术语条目）、多个StylePreset（样式预设）、多个Vocabulary（生词条）和多个ExportTask（导出任务）。Project作为内容组织核心，包含多个Chapter（章节），Chapter包含多个Page（页面）。Page是处理的基本单位，包含多个TextRegion（文字区域）。OperationHistory（操作历史）关联User和Page，记录每次编辑操作的前后状态快照，用于实现撤销/重做功能。TranslationCache（翻译记忆缓存）关联Project，存储原文-译文对应关系及命中统计。UserSession（用户会话）记录用户的登录会话和Refresh Token。ReadingProgress（阅读进度）关联User和Page，持久化用户的阅读位置和进度。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7.2 数据库表设计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以下列出系统核心数据库表的结构定义：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826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表名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关键字段</w:t>
            </w:r>
          </w:p>
        </w:tc>
        <w:tc>
          <w:tcPr>
            <w:tcW w:type="dxa" w:w="3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users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user_id(UUID PK), email, phone, password_hash, nickname, avatar_url, plan_type, settings(JSONB)</w:t>
            </w:r>
          </w:p>
        </w:tc>
        <w:tc>
          <w:tcPr>
            <w:tcW w:type="dxa" w:w="3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用户基本信息表，支持邮箱/手机号登录，JSONB存储偏好设置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projects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project_id(UUID PK), user_id(FK), name, source_lang, cover_url, is_favorite, status</w:t>
            </w:r>
          </w:p>
        </w:tc>
        <w:tc>
          <w:tcPr>
            <w:tcW w:type="dxa" w:w="3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作品表，绑定源语言，支持收藏和回收站状态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chapters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chapter_id(UUID PK), project_id(FK), name, sort_order</w:t>
            </w:r>
          </w:p>
        </w:tc>
        <w:tc>
          <w:tcPr>
            <w:tcW w:type="dxa" w:w="3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章节表，通过sort_order实现排序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pages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page_id(UUID PK), chapter_id(FK), original_url, processed_url, thumbnail_url, sort_order, status, ocr_result(JSONB), translation_result(JSONB)</w:t>
            </w:r>
          </w:p>
        </w:tc>
        <w:tc>
          <w:tcPr>
            <w:tcW w:type="dxa" w:w="3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页面表，存储原始图和处理后图片的URL，JSONB存储OCR和翻译结果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text_regions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region_id(UUID PK), page_id(FK), type, boundary(JSONB), original_text, translated_text, confidence, style_config(JSONB)</w:t>
            </w:r>
          </w:p>
        </w:tc>
        <w:tc>
          <w:tcPr>
            <w:tcW w:type="dxa" w:w="3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文字区域表，JSONB存储边界坐标和样式配置，confidence记录OCR置信度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term_entries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term_id(UUID PK), user_id(FK), project_id(FK), source_text, target_text, scope</w:t>
            </w:r>
          </w:p>
        </w:tc>
        <w:tc>
          <w:tcPr>
            <w:tcW w:type="dxa" w:w="3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术语条目表，支持账号级别和作品级别两种作用域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style_presets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preset_id(UUID PK), user_id(FK), name, category, style_config(JSONB), scope</w:t>
            </w:r>
          </w:p>
        </w:tc>
        <w:tc>
          <w:tcPr>
            <w:tcW w:type="dxa" w:w="3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样式预设表，支持系统内置、账号级和作品级三种作用域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operation_histories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history_id(UUID PK), user_id(FK), page_id(FK), operation_type, before_state(JSONB), after_state(JSONB)</w:t>
            </w:r>
          </w:p>
        </w:tc>
        <w:tc>
          <w:tcPr>
            <w:tcW w:type="dxa" w:w="3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操作历史表，记录每次编辑的前后状态快照，支持20步撤销/重做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export_tasks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task_id(UUID PK), user_id(FK), project_id(FK), format, quality, status, progress, result_url</w:t>
            </w:r>
          </w:p>
        </w:tc>
        <w:tc>
          <w:tcPr>
            <w:tcW w:type="dxa" w:w="3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导出任务表，记录批量导出任务的状态和进度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translation_cache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cache_id(UUID PK), project_id(FK), source_text, translated_text, similarity_hash, hit_count</w:t>
            </w:r>
          </w:p>
        </w:tc>
        <w:tc>
          <w:tcPr>
            <w:tcW w:type="dxa" w:w="3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翻译记忆缓存表，基于相似度哈希匹配重复/相似句子</w:t>
            </w:r>
          </w:p>
        </w:tc>
      </w:tr>
    </w:tbl>
    <w:p>
      <w:pPr>
        <w:pStyle w:val="Heading1"/>
        <w:spacing w:after="150" w:before="300" w:line="44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8 综合考虑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8.1 稳定性和可扩展性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微服务架构从设计层面保障了系统的稳定性和可扩展性。各服务独立部署、独立扩缩容，单个服务故障不会导致全系统不可用。Go API Gateway实现了熔断器模式（失败率&gt;50%自动熔断）和重试机制（指数退避：100ms→1s→10s），防止级联故障。AI模型服务采用插件式接口设计，新增翻译引擎或检测模型只需实现标准API契约即可接入，无需修改业务代码。数据库层面通过读写分离和GIN索引优化保证高并发下的稳定性，JSONB字段支持灵活的数据结构扩展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8.2 性能分析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系统性能瓶颈主要在GPU模型推理环节。单页全流程耗时分解：文字检测（约5秒）+ OCR识别（约3秒/区域×平均5区域）+ 基础翻译（约2秒/句×5）+ 背景修复（约10秒）+ 文字渲染（约2秒）≈ 40秒。通过以下优化策略可进一步降低耗时：翻译记忆缓存命中时翻译环节降至&lt;10ms；批处理合并请求减少模型加载卸载开销；模型量化（INT8/INT4）降低显存和推理时间；端侧轻量检测模型（未来Phase 2）将检测环节从3秒（云端）降至200ms（浏览器端）。数据库层面，通过GIN索引、连接池和查询缓存保证列表页查询≤200ms。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8.3 复用和移植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前端组件库（Canvas选区编辑、样式调整面板、阅读器组件等）设计为通用组件，可在其他图像编辑项目中复用。Python共享模块（models/tasks/utils）在7个微服务间复用，减少代码重复。MinIO对象存储兼容S3协议，支持无缝迁移至阿里云OSS或AWS S3。Docker Compose编排文件可在任何支持Docker的Linux环境下直接使用，降低部署门槛。API接口遵循OpenAPI 3.0标准，便于第三方工具集成。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8.4 防错与出错处理</w:t>
      </w:r>
    </w:p>
    <w:p>
      <w:pPr>
        <w:spacing w:line="44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系统从多个层面保障错误处理能力：前端层面，所有用户输入进行客户端校验（格式、长度、类型），文件上传前校验扩展名和大小，Canvas操作异常时降级为简单表单模式；网关层面，Go API Gateway进行请求参数校验和限流保护，超量请求返回429状态码；服务层面，每个微服务实现全局异常处理器，AI处理失败自动重试1次，批处理部分失败不阻塞其余任务；数据层面，数据库操作采用事务保证一致性，JSONB字段在读写时进行schema校验。所有错误均以统一格式返回（code+message+request_id），便于问题追踪和定位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宋体" w:cs="宋体" w:eastAsia="宋体" w:hAnsi="宋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宋体" w:cs="宋体" w:eastAsia="宋体" w:hAnsi="宋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宋体" w:cs="宋体" w:eastAsia="宋体" w:hAnsi="宋体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2026-06-30T00:33:19.607Z</dcterms:created>
  <dcterms:modified xsi:type="dcterms:W3CDTF">2026-06-30T00:33:19.608Z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