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7F10" w14:textId="40D750D0" w:rsidR="00F20695" w:rsidRPr="00252DC6" w:rsidRDefault="00052A86" w:rsidP="00425D30">
      <w:pPr>
        <w:pStyle w:val="Titre"/>
        <w:pBdr>
          <w:bottom w:val="single" w:sz="8" w:space="4" w:color="72C5CD"/>
        </w:pBdr>
      </w:pPr>
      <w:fldSimple w:instr=" TITLE   \* MERGEFORMAT ">
        <w:r w:rsidR="004745B3">
          <w:t>WanaClose</w:t>
        </w:r>
      </w:fldSimple>
    </w:p>
    <w:p w14:paraId="4C828498" w14:textId="77777777" w:rsidR="00F20695" w:rsidRPr="00252DC6" w:rsidRDefault="00F20695" w:rsidP="00D81CBC">
      <w:pPr>
        <w:pStyle w:val="Sous-titre"/>
      </w:pPr>
      <w:bookmarkStart w:id="0" w:name="_Toc191709612"/>
      <w:r w:rsidRPr="00252DC6">
        <w:t xml:space="preserve">Table des </w:t>
      </w:r>
      <w:r w:rsidRPr="00D81CBC">
        <w:t>matières</w:t>
      </w:r>
    </w:p>
    <w:p w14:paraId="3469BAA8" w14:textId="60D4C69A" w:rsidR="00CB0BD3" w:rsidRDefault="00357D86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r>
        <w:fldChar w:fldCharType="begin"/>
      </w:r>
      <w:r w:rsidR="00F20695">
        <w:instrText xml:space="preserve"> TOC \o "1-2" \h \z \u </w:instrText>
      </w:r>
      <w:r>
        <w:fldChar w:fldCharType="separate"/>
      </w:r>
      <w:hyperlink w:anchor="_Toc123288591" w:history="1">
        <w:r w:rsidR="00CB0BD3" w:rsidRPr="00341D10">
          <w:rPr>
            <w:rStyle w:val="Lienhypertexte"/>
            <w:noProof/>
          </w:rPr>
          <w:t>1.</w:t>
        </w:r>
        <w:r w:rsidR="00CB0BD3"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="00CB0BD3" w:rsidRPr="00341D10">
          <w:rPr>
            <w:rStyle w:val="Lienhypertexte"/>
            <w:noProof/>
          </w:rPr>
          <w:t>Souches de N°</w:t>
        </w:r>
        <w:r w:rsidR="00CB0BD3">
          <w:rPr>
            <w:noProof/>
            <w:webHidden/>
          </w:rPr>
          <w:tab/>
        </w:r>
        <w:r w:rsidR="00CB0BD3">
          <w:rPr>
            <w:noProof/>
            <w:webHidden/>
          </w:rPr>
          <w:fldChar w:fldCharType="begin"/>
        </w:r>
        <w:r w:rsidR="00CB0BD3">
          <w:rPr>
            <w:noProof/>
            <w:webHidden/>
          </w:rPr>
          <w:instrText xml:space="preserve"> PAGEREF _Toc123288591 \h </w:instrText>
        </w:r>
        <w:r w:rsidR="00CB0BD3">
          <w:rPr>
            <w:noProof/>
            <w:webHidden/>
          </w:rPr>
        </w:r>
        <w:r w:rsidR="00CB0BD3">
          <w:rPr>
            <w:noProof/>
            <w:webHidden/>
          </w:rPr>
          <w:fldChar w:fldCharType="separate"/>
        </w:r>
        <w:r w:rsidR="00CB0BD3">
          <w:rPr>
            <w:noProof/>
            <w:webHidden/>
          </w:rPr>
          <w:t>2</w:t>
        </w:r>
        <w:r w:rsidR="00CB0BD3">
          <w:rPr>
            <w:noProof/>
            <w:webHidden/>
          </w:rPr>
          <w:fldChar w:fldCharType="end"/>
        </w:r>
      </w:hyperlink>
    </w:p>
    <w:p w14:paraId="572A87B6" w14:textId="7B5020E2" w:rsidR="00CB0BD3" w:rsidRDefault="00CB0BD3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3288592" w:history="1">
        <w:r w:rsidRPr="00341D10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341D10">
          <w:rPr>
            <w:rStyle w:val="Lienhypertexte"/>
            <w:noProof/>
          </w:rPr>
          <w:t>Factures non parvenues (réceptions non facturées)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_Toc123288592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A5324D" w14:textId="79C9B801" w:rsidR="00CB0BD3" w:rsidRDefault="00CB0BD3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3288593" w:history="1">
        <w:r w:rsidRPr="00341D10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341D10">
          <w:rPr>
            <w:rStyle w:val="Lienhypertexte"/>
            <w:noProof/>
          </w:rPr>
          <w:t>Charges et produits constatés d'avance (CCA / PCA)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_Toc123288593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2597C1" w14:textId="7D877E00" w:rsidR="00F20695" w:rsidRDefault="00357D86" w:rsidP="00D81CBC">
      <w:pPr>
        <w:outlineLvl w:val="1"/>
      </w:pPr>
      <w:r>
        <w:fldChar w:fldCharType="end"/>
      </w:r>
    </w:p>
    <w:p w14:paraId="2B3BAD78" w14:textId="77777777" w:rsidR="00977AE2" w:rsidRDefault="00977AE2" w:rsidP="00977AE2">
      <w:pPr>
        <w:pStyle w:val="Titre4"/>
      </w:pPr>
      <w:r>
        <w:t>Contexte</w:t>
      </w:r>
      <w:bookmarkEnd w:id="0"/>
    </w:p>
    <w:p w14:paraId="2B7A8CB7" w14:textId="5FB1AB12" w:rsidR="008B6729" w:rsidRDefault="003551B4" w:rsidP="008B6729">
      <w:r>
        <w:t>Certaines opérations doivent être renouvelées à chaque arrêté comptable (ou Cut-off)</w:t>
      </w:r>
      <w:r w:rsidR="00835E14">
        <w:t>, qu'il s'agisse d'une fin d'exercice ou d'une situation intermédiaire.</w:t>
      </w:r>
    </w:p>
    <w:p w14:paraId="3DFCB9FD" w14:textId="57C665D4" w:rsidR="00835E14" w:rsidRDefault="003408D5" w:rsidP="008B6729">
      <w:r>
        <w:t xml:space="preserve">Les fonctions ci-après viennent compléter </w:t>
      </w:r>
      <w:r w:rsidR="00835E14">
        <w:t xml:space="preserve">les fonctions standards </w:t>
      </w:r>
      <w:r w:rsidR="004F4E29">
        <w:t>proposées</w:t>
      </w:r>
      <w:r w:rsidR="00835E14">
        <w:t xml:space="preserve"> à</w:t>
      </w:r>
      <w:r>
        <w:t xml:space="preserve"> c</w:t>
      </w:r>
      <w:r w:rsidR="004F4E29">
        <w:t>et effet.</w:t>
      </w:r>
    </w:p>
    <w:p w14:paraId="2B0E6F00" w14:textId="77777777" w:rsidR="009676AB" w:rsidRDefault="009676AB">
      <w:pPr>
        <w:spacing w:after="200"/>
        <w:rPr>
          <w:rFonts w:ascii="Cambria" w:eastAsia="Times New Roman" w:hAnsi="Cambria" w:cs="Times New Roman"/>
          <w:b/>
          <w:bCs/>
          <w:color w:val="72C5CD"/>
          <w:sz w:val="28"/>
          <w:szCs w:val="28"/>
          <w:lang w:eastAsia="fr-FR"/>
        </w:rPr>
      </w:pPr>
      <w:r>
        <w:br w:type="page"/>
      </w:r>
    </w:p>
    <w:p w14:paraId="04C36D86" w14:textId="028107A1" w:rsidR="00976232" w:rsidRDefault="00481364" w:rsidP="00481364">
      <w:pPr>
        <w:pStyle w:val="Titre1"/>
      </w:pPr>
      <w:bookmarkStart w:id="1" w:name="_Toc123288591"/>
      <w:r>
        <w:lastRenderedPageBreak/>
        <w:t>Souches de N°</w:t>
      </w:r>
      <w:bookmarkEnd w:id="1"/>
    </w:p>
    <w:p w14:paraId="112789CA" w14:textId="713D5B2B" w:rsidR="00481364" w:rsidRDefault="00481364" w:rsidP="00481364">
      <w:pPr>
        <w:rPr>
          <w:lang w:eastAsia="fr-FR"/>
        </w:rPr>
      </w:pPr>
      <w:r>
        <w:rPr>
          <w:lang w:eastAsia="fr-FR"/>
        </w:rPr>
        <w:t>L</w:t>
      </w:r>
      <w:r w:rsidR="0080029D">
        <w:rPr>
          <w:lang w:eastAsia="fr-FR"/>
        </w:rPr>
        <w:t>orsque les N° sont attribués</w:t>
      </w:r>
      <w:r w:rsidR="00C34631">
        <w:rPr>
          <w:lang w:eastAsia="fr-FR"/>
        </w:rPr>
        <w:t xml:space="preserve"> à l'aide d'une souche de N° 'datée' (dont </w:t>
      </w:r>
      <w:r w:rsidR="00AE566F">
        <w:rPr>
          <w:lang w:eastAsia="fr-FR"/>
        </w:rPr>
        <w:t>la "Date début" d</w:t>
      </w:r>
      <w:r w:rsidR="00C34631">
        <w:rPr>
          <w:lang w:eastAsia="fr-FR"/>
        </w:rPr>
        <w:t>es "Ligne souche de N°"</w:t>
      </w:r>
      <w:r w:rsidR="00AE566F">
        <w:rPr>
          <w:lang w:eastAsia="fr-FR"/>
        </w:rPr>
        <w:t xml:space="preserve"> est renseignée), il faut, à chaque</w:t>
      </w:r>
      <w:r w:rsidR="0054360A">
        <w:rPr>
          <w:lang w:eastAsia="fr-FR"/>
        </w:rPr>
        <w:t xml:space="preserve"> changement de date (généralement par exercice) définir une nouvelle ligne.</w:t>
      </w:r>
    </w:p>
    <w:p w14:paraId="59DF62B3" w14:textId="48AE7113" w:rsidR="004F4E29" w:rsidRDefault="005D0847" w:rsidP="00481364">
      <w:pPr>
        <w:rPr>
          <w:lang w:eastAsia="fr-FR"/>
        </w:rPr>
      </w:pPr>
      <w:r>
        <w:rPr>
          <w:lang w:eastAsia="fr-FR"/>
        </w:rPr>
        <w:t xml:space="preserve">La fonction ci-après </w:t>
      </w:r>
      <w:r w:rsidR="00E56F1B">
        <w:rPr>
          <w:lang w:eastAsia="fr-FR"/>
        </w:rPr>
        <w:t>facilitera c</w:t>
      </w:r>
      <w:r w:rsidR="004F4E29">
        <w:rPr>
          <w:lang w:eastAsia="fr-FR"/>
        </w:rPr>
        <w:t>ette opération</w:t>
      </w:r>
      <w:r>
        <w:rPr>
          <w:lang w:eastAsia="fr-FR"/>
        </w:rPr>
        <w:t xml:space="preserve"> fastidieuse</w:t>
      </w:r>
      <w:r w:rsidR="00E56F1B">
        <w:rPr>
          <w:lang w:eastAsia="fr-FR"/>
        </w:rPr>
        <w:t>.</w:t>
      </w:r>
    </w:p>
    <w:p w14:paraId="4856A090" w14:textId="0FCF70AA" w:rsidR="00286D8B" w:rsidRDefault="007144C2" w:rsidP="00481364">
      <w:pPr>
        <w:rPr>
          <w:lang w:eastAsia="fr-FR"/>
        </w:rPr>
      </w:pPr>
      <w:r w:rsidRPr="007144C2">
        <w:rPr>
          <w:lang w:eastAsia="fr-FR"/>
        </w:rPr>
        <w:drawing>
          <wp:inline distT="0" distB="0" distL="0" distR="0" wp14:anchorId="1ABE0AB6" wp14:editId="7463BCAE">
            <wp:extent cx="6479540" cy="2677795"/>
            <wp:effectExtent l="0" t="0" r="0" b="8255"/>
            <wp:docPr id="7" name="Image 7" descr="Une image contenant texte, capture d’écran, intérieur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intérieur, por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D884" w14:textId="4E7F9D19" w:rsidR="00B561EB" w:rsidRDefault="00937E5E" w:rsidP="00481364">
      <w:pPr>
        <w:rPr>
          <w:lang w:eastAsia="fr-FR"/>
        </w:rPr>
      </w:pPr>
      <w:r>
        <w:rPr>
          <w:lang w:eastAsia="fr-FR"/>
        </w:rPr>
        <w:t>Pour celles-ci, u</w:t>
      </w:r>
      <w:r w:rsidR="009B0B5E">
        <w:rPr>
          <w:lang w:eastAsia="fr-FR"/>
        </w:rPr>
        <w:t xml:space="preserve">ne </w:t>
      </w:r>
      <w:r w:rsidR="00080076">
        <w:rPr>
          <w:lang w:eastAsia="fr-FR"/>
        </w:rPr>
        <w:t>"Ligne</w:t>
      </w:r>
      <w:r w:rsidR="009B0B5E">
        <w:rPr>
          <w:lang w:eastAsia="fr-FR"/>
        </w:rPr>
        <w:t xml:space="preserve"> souche </w:t>
      </w:r>
      <w:r w:rsidR="00080076">
        <w:rPr>
          <w:lang w:eastAsia="fr-FR"/>
        </w:rPr>
        <w:t xml:space="preserve">de N°" </w:t>
      </w:r>
      <w:r w:rsidR="009B0B5E">
        <w:rPr>
          <w:lang w:eastAsia="fr-FR"/>
        </w:rPr>
        <w:t>initiale est définie sans "Date début" et</w:t>
      </w:r>
      <w:r w:rsidR="00080076">
        <w:rPr>
          <w:lang w:eastAsia="fr-FR"/>
        </w:rPr>
        <w:t xml:space="preserve"> permet de définir </w:t>
      </w:r>
      <w:r w:rsidR="00EC6E53">
        <w:rPr>
          <w:lang w:eastAsia="fr-FR"/>
        </w:rPr>
        <w:t>une</w:t>
      </w:r>
      <w:r w:rsidR="00080076">
        <w:rPr>
          <w:lang w:eastAsia="fr-FR"/>
        </w:rPr>
        <w:t xml:space="preserve"> partie variable par </w:t>
      </w:r>
      <w:r w:rsidR="00EC6E53">
        <w:rPr>
          <w:lang w:eastAsia="fr-FR"/>
        </w:rPr>
        <w:t>'%1</w:t>
      </w:r>
      <w:r w:rsidR="00A81EB0">
        <w:rPr>
          <w:lang w:eastAsia="fr-FR"/>
        </w:rPr>
        <w:t>%</w:t>
      </w:r>
      <w:r w:rsidR="00EC6E53">
        <w:rPr>
          <w:lang w:eastAsia="fr-FR"/>
        </w:rPr>
        <w:t>' et/ou '%2</w:t>
      </w:r>
      <w:r w:rsidR="00A81EB0">
        <w:rPr>
          <w:lang w:eastAsia="fr-FR"/>
        </w:rPr>
        <w:t>%</w:t>
      </w:r>
      <w:r w:rsidR="00EC6E53">
        <w:rPr>
          <w:lang w:eastAsia="fr-FR"/>
        </w:rPr>
        <w:t xml:space="preserve">' (ex : </w:t>
      </w:r>
      <w:r w:rsidR="00A81EB0">
        <w:rPr>
          <w:lang w:eastAsia="fr-FR"/>
        </w:rPr>
        <w:t>FV%1%00001).</w:t>
      </w:r>
    </w:p>
    <w:p w14:paraId="22F791A4" w14:textId="35CFA672" w:rsidR="00A81EB0" w:rsidRDefault="00A81EB0" w:rsidP="00481364">
      <w:pPr>
        <w:rPr>
          <w:lang w:eastAsia="fr-FR"/>
        </w:rPr>
      </w:pPr>
      <w:r>
        <w:rPr>
          <w:lang w:eastAsia="fr-FR"/>
        </w:rPr>
        <w:t>L'ac</w:t>
      </w:r>
      <w:r w:rsidR="00B113C7">
        <w:rPr>
          <w:lang w:eastAsia="fr-FR"/>
        </w:rPr>
        <w:t>tion "Définir souche de N° suivante"</w:t>
      </w:r>
      <w:r w:rsidR="007F6C8A">
        <w:rPr>
          <w:lang w:eastAsia="fr-FR"/>
        </w:rPr>
        <w:t xml:space="preserve"> </w:t>
      </w:r>
      <w:r w:rsidR="003A6F4D">
        <w:rPr>
          <w:lang w:eastAsia="fr-FR"/>
        </w:rPr>
        <w:t xml:space="preserve">permet alors de remplacer ces parties variables par les </w:t>
      </w:r>
      <w:r w:rsidR="00EB0A30">
        <w:rPr>
          <w:lang w:eastAsia="fr-FR"/>
        </w:rPr>
        <w:t>éléments souhaités pour toutes les souches ainsi définies</w:t>
      </w:r>
      <w:r w:rsidR="009676AB">
        <w:rPr>
          <w:lang w:eastAsia="fr-FR"/>
        </w:rPr>
        <w:t xml:space="preserve"> (ex : FV2300001 au 01/01/2023)</w:t>
      </w:r>
      <w:r w:rsidR="00937E5E">
        <w:rPr>
          <w:lang w:eastAsia="fr-FR"/>
        </w:rPr>
        <w:t xml:space="preserve"> :</w:t>
      </w:r>
    </w:p>
    <w:p w14:paraId="14EC4028" w14:textId="3583ED94" w:rsidR="00A81EB0" w:rsidRDefault="00A81EB0" w:rsidP="00481364">
      <w:pPr>
        <w:rPr>
          <w:lang w:eastAsia="fr-FR"/>
        </w:rPr>
      </w:pPr>
      <w:r w:rsidRPr="00A81EB0">
        <w:rPr>
          <w:lang w:eastAsia="fr-FR"/>
        </w:rPr>
        <w:drawing>
          <wp:inline distT="0" distB="0" distL="0" distR="0" wp14:anchorId="213E0914" wp14:editId="015AC4C9">
            <wp:extent cx="2162755" cy="1506753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51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D81B" w14:textId="77777777" w:rsidR="00005864" w:rsidRDefault="00937E5E">
      <w:pPr>
        <w:spacing w:after="200"/>
      </w:pPr>
      <w:r>
        <w:t xml:space="preserve">De plus, </w:t>
      </w:r>
      <w:r w:rsidR="002A0273">
        <w:t>une "Ligne souche de N°" est créée pour la période suivante, mais</w:t>
      </w:r>
      <w:r w:rsidR="00EA7CC3">
        <w:t xml:space="preserve"> sans "N° début"</w:t>
      </w:r>
      <w:r w:rsidR="00005864">
        <w:t xml:space="preserve"> :</w:t>
      </w:r>
      <w:r w:rsidR="00005864" w:rsidRPr="00005864">
        <w:drawing>
          <wp:inline distT="0" distB="0" distL="0" distR="0" wp14:anchorId="0F9971D5" wp14:editId="0CB0AACF">
            <wp:extent cx="3638737" cy="1054154"/>
            <wp:effectExtent l="0" t="0" r="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3DD1" w14:textId="416B9D8C" w:rsidR="00005864" w:rsidRPr="00E56F1B" w:rsidRDefault="00AE6AD3">
      <w:pPr>
        <w:spacing w:after="200"/>
      </w:pPr>
      <w:r>
        <w:t xml:space="preserve">Cette dernière évitera </w:t>
      </w:r>
      <w:r w:rsidR="007329D9">
        <w:t xml:space="preserve">ainsi </w:t>
      </w:r>
      <w:r>
        <w:t>de poursuivre l'attribu</w:t>
      </w:r>
      <w:r w:rsidR="007329D9">
        <w:t>tion basée sur la souche au 01/01/2023</w:t>
      </w:r>
      <w:r w:rsidR="00CE535B">
        <w:t>, appelant par là à "Définir Ligne souche de N° suivante"</w:t>
      </w:r>
      <w:r w:rsidR="00CB0BD3">
        <w:t xml:space="preserve"> pour la prochaine période. </w:t>
      </w:r>
      <w:r w:rsidR="00937E5E">
        <w:br w:type="page"/>
      </w:r>
    </w:p>
    <w:p w14:paraId="13AACE6F" w14:textId="7A312593" w:rsidR="004745B3" w:rsidRDefault="004745B3" w:rsidP="004745B3">
      <w:pPr>
        <w:pStyle w:val="Titre1"/>
      </w:pPr>
      <w:bookmarkStart w:id="2" w:name="_Toc123288592"/>
      <w:r>
        <w:lastRenderedPageBreak/>
        <w:t>Factures non parvenues</w:t>
      </w:r>
      <w:r w:rsidR="00C1097D">
        <w:t xml:space="preserve"> (réceptions non facturées)</w:t>
      </w:r>
      <w:bookmarkEnd w:id="2"/>
    </w:p>
    <w:p w14:paraId="1D82FBEE" w14:textId="77777777" w:rsidR="00E3130E" w:rsidRDefault="00B67A82" w:rsidP="00E3130E">
      <w:pPr>
        <w:rPr>
          <w:lang w:eastAsia="fr-FR"/>
        </w:rPr>
      </w:pPr>
      <w:r>
        <w:rPr>
          <w:lang w:eastAsia="fr-FR"/>
        </w:rPr>
        <w:t>La valorisation des stocks et la comptabilisation</w:t>
      </w:r>
      <w:r w:rsidR="001F3DC7">
        <w:rPr>
          <w:lang w:eastAsia="fr-FR"/>
        </w:rPr>
        <w:t xml:space="preserve"> par la fonction "Valider coûts ajustés" </w:t>
      </w:r>
      <w:r w:rsidR="00B74723">
        <w:rPr>
          <w:lang w:eastAsia="fr-FR"/>
        </w:rPr>
        <w:t xml:space="preserve">relèvent des fonctions standards (voir en particulier quelques articles à ce sujet sur </w:t>
      </w:r>
      <w:hyperlink r:id="rId11" w:history="1">
        <w:r w:rsidR="00B74723" w:rsidRPr="00D7434C">
          <w:rPr>
            <w:rStyle w:val="Lienhypertexte"/>
            <w:lang w:eastAsia="fr-FR"/>
          </w:rPr>
          <w:t>www.wanamics.fr</w:t>
        </w:r>
      </w:hyperlink>
      <w:r w:rsidR="00B74723">
        <w:rPr>
          <w:lang w:eastAsia="fr-FR"/>
        </w:rPr>
        <w:t>)</w:t>
      </w:r>
      <w:r w:rsidR="00E3130E">
        <w:rPr>
          <w:lang w:eastAsia="fr-FR"/>
        </w:rPr>
        <w:t xml:space="preserve"> selon la méthode de</w:t>
      </w:r>
      <w:r w:rsidR="00C0672B">
        <w:rPr>
          <w:lang w:eastAsia="fr-FR"/>
        </w:rPr>
        <w:t xml:space="preserve"> l'inventaire permanent</w:t>
      </w:r>
      <w:r w:rsidR="00E3130E">
        <w:rPr>
          <w:lang w:eastAsia="fr-FR"/>
        </w:rPr>
        <w:t>.</w:t>
      </w:r>
    </w:p>
    <w:p w14:paraId="728F828E" w14:textId="5BE4B0CC" w:rsidR="00AD5FB0" w:rsidRDefault="00DE45BD" w:rsidP="00E3130E">
      <w:pPr>
        <w:rPr>
          <w:lang w:eastAsia="fr-FR"/>
        </w:rPr>
      </w:pPr>
      <w:r>
        <w:rPr>
          <w:lang w:eastAsia="fr-FR"/>
        </w:rPr>
        <w:t>La</w:t>
      </w:r>
      <w:r w:rsidR="00FD56C8">
        <w:rPr>
          <w:lang w:eastAsia="fr-FR"/>
        </w:rPr>
        <w:t xml:space="preserve"> méthode préconisée consiste à ne pas valoriser les réceptions non facturées (coûts prévus</w:t>
      </w:r>
      <w:r w:rsidR="00AD5FB0">
        <w:rPr>
          <w:lang w:eastAsia="fr-FR"/>
        </w:rPr>
        <w:t>), qui n'ont donc pas lieu d'en être déduites.</w:t>
      </w:r>
    </w:p>
    <w:p w14:paraId="6F5F6576" w14:textId="0B327BC4" w:rsidR="00AD5FB0" w:rsidRDefault="00AD5FB0" w:rsidP="00E3130E">
      <w:pPr>
        <w:rPr>
          <w:lang w:eastAsia="fr-FR"/>
        </w:rPr>
      </w:pPr>
      <w:r>
        <w:rPr>
          <w:lang w:eastAsia="fr-FR"/>
        </w:rPr>
        <w:t>En fin d'exercice, il convient cependant d'en tenir compte conformément aux normes comptables françaises</w:t>
      </w:r>
      <w:r w:rsidR="00AF3870">
        <w:rPr>
          <w:lang w:eastAsia="fr-FR"/>
        </w:rPr>
        <w:t xml:space="preserve"> (impact 408).</w:t>
      </w:r>
    </w:p>
    <w:p w14:paraId="2AC2BAC9" w14:textId="1EB7E2DA" w:rsidR="00AF3870" w:rsidRDefault="00AF3870" w:rsidP="00E3130E">
      <w:pPr>
        <w:rPr>
          <w:lang w:eastAsia="fr-FR"/>
        </w:rPr>
      </w:pPr>
      <w:r>
        <w:rPr>
          <w:lang w:eastAsia="fr-FR"/>
        </w:rPr>
        <w:t xml:space="preserve">De plus, </w:t>
      </w:r>
      <w:r w:rsidR="006B5DB2">
        <w:rPr>
          <w:lang w:eastAsia="fr-FR"/>
        </w:rPr>
        <w:t>il faut tenir compte des achats hors articles (lignes de "Type" 'Compte général'</w:t>
      </w:r>
      <w:r w:rsidR="00432AD1">
        <w:rPr>
          <w:lang w:eastAsia="fr-FR"/>
        </w:rPr>
        <w:t xml:space="preserve"> ou 'Ressource", voire 'Immobilisation').</w:t>
      </w:r>
    </w:p>
    <w:p w14:paraId="0F8690BA" w14:textId="4BC1DB50" w:rsidR="00432AD1" w:rsidRDefault="00432AD1" w:rsidP="00E3130E">
      <w:pPr>
        <w:rPr>
          <w:lang w:eastAsia="fr-FR"/>
        </w:rPr>
      </w:pPr>
      <w:r>
        <w:rPr>
          <w:lang w:eastAsia="fr-FR"/>
        </w:rPr>
        <w:t>Une "Feuille abonnement" est utilisée à cet effet et permettra, lors de la validation de reprendre cette provision au premier jour de la période suivante</w:t>
      </w:r>
      <w:r w:rsidR="00CE153D">
        <w:rPr>
          <w:lang w:eastAsia="fr-FR"/>
        </w:rPr>
        <w:t>.</w:t>
      </w:r>
    </w:p>
    <w:p w14:paraId="67076C32" w14:textId="075E0226" w:rsidR="005D7AF0" w:rsidRDefault="005D7AF0" w:rsidP="00E3130E">
      <w:pPr>
        <w:rPr>
          <w:lang w:eastAsia="fr-FR"/>
        </w:rPr>
      </w:pPr>
      <w:r w:rsidRPr="002D4EEE">
        <w:drawing>
          <wp:inline distT="0" distB="0" distL="0" distR="0" wp14:anchorId="3C851C49" wp14:editId="51CE3F72">
            <wp:extent cx="2635857" cy="1240076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175" cy="12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99B6" w14:textId="6284522D" w:rsidR="00A82330" w:rsidRDefault="00CE153D">
      <w:pPr>
        <w:spacing w:after="200"/>
      </w:pPr>
      <w:r>
        <w:t>Outre les factures non par</w:t>
      </w:r>
      <w:r w:rsidR="00A93615">
        <w:t>venues</w:t>
      </w:r>
      <w:r w:rsidR="00603374">
        <w:t xml:space="preserve"> (FNP)</w:t>
      </w:r>
      <w:r w:rsidR="00A93615">
        <w:t>, il est tenu compte des avoirs à recevoir (</w:t>
      </w:r>
      <w:r w:rsidR="00603374">
        <w:t xml:space="preserve">AàR ou </w:t>
      </w:r>
      <w:r w:rsidR="00A93615">
        <w:t>retours fournisseurs</w:t>
      </w:r>
      <w:r w:rsidR="00A82330">
        <w:t xml:space="preserve"> non 'avoirés').</w:t>
      </w:r>
    </w:p>
    <w:p w14:paraId="6014AE41" w14:textId="10925450" w:rsidR="005D7AF0" w:rsidRDefault="005D7AF0">
      <w:pPr>
        <w:spacing w:after="200"/>
      </w:pPr>
      <w:r>
        <w:t xml:space="preserve">Une fonction similaire s'applique aux ventes </w:t>
      </w:r>
      <w:r w:rsidR="0065670F">
        <w:t xml:space="preserve">pour les </w:t>
      </w:r>
      <w:r>
        <w:t>f</w:t>
      </w:r>
      <w:r>
        <w:t xml:space="preserve">actures à établir </w:t>
      </w:r>
      <w:r w:rsidR="0065670F">
        <w:t>(</w:t>
      </w:r>
      <w:r w:rsidR="00B747B6">
        <w:t>Fà</w:t>
      </w:r>
      <w:r w:rsidR="00603374">
        <w:t xml:space="preserve">E </w:t>
      </w:r>
      <w:r w:rsidR="0065670F">
        <w:t xml:space="preserve">ou </w:t>
      </w:r>
      <w:r>
        <w:t>expéditions non facturées</w:t>
      </w:r>
      <w:r w:rsidR="0065670F">
        <w:t>), et les a</w:t>
      </w:r>
      <w:r>
        <w:t>voirs à établir (</w:t>
      </w:r>
      <w:r w:rsidR="00603374">
        <w:t xml:space="preserve">AàE ou </w:t>
      </w:r>
      <w:r>
        <w:t>retours clients)</w:t>
      </w:r>
      <w:r w:rsidR="0065670F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3574A" w14:paraId="3A95F697" w14:textId="77777777" w:rsidTr="00E3574A">
        <w:tc>
          <w:tcPr>
            <w:tcW w:w="5097" w:type="dxa"/>
          </w:tcPr>
          <w:p w14:paraId="7A1215DF" w14:textId="16994BF3" w:rsidR="00E3574A" w:rsidRDefault="00E3574A">
            <w:pPr>
              <w:spacing w:after="200"/>
            </w:pPr>
            <w:r w:rsidRPr="004237CD">
              <w:drawing>
                <wp:inline distT="0" distB="0" distL="0" distR="0" wp14:anchorId="12035ABC" wp14:editId="5195FC51">
                  <wp:extent cx="2286000" cy="3581938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288" cy="360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14:paraId="22DE05EC" w14:textId="6D2DB48F" w:rsidR="00E3574A" w:rsidRDefault="00E3574A">
            <w:pPr>
              <w:spacing w:after="200"/>
            </w:pPr>
            <w:r w:rsidRPr="00E3574A">
              <w:drawing>
                <wp:inline distT="0" distB="0" distL="0" distR="0" wp14:anchorId="0D74CB69" wp14:editId="54AC3F8E">
                  <wp:extent cx="2293951" cy="3608826"/>
                  <wp:effectExtent l="0" t="0" r="0" b="0"/>
                  <wp:docPr id="14" name="Image 14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 descr="Une image contenant texte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656" cy="361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EA355" w14:textId="795FD303" w:rsidR="00A62076" w:rsidRPr="005B1983" w:rsidRDefault="0065670F" w:rsidP="00F7041F">
      <w:pPr>
        <w:spacing w:after="200"/>
        <w:rPr>
          <w:rFonts w:ascii="Cambria" w:hAnsi="Cambria"/>
          <w:b/>
          <w:bCs/>
          <w:color w:val="72C5CD"/>
          <w:sz w:val="28"/>
          <w:szCs w:val="28"/>
          <w:lang w:eastAsia="fr-FR"/>
        </w:rPr>
      </w:pPr>
      <w:r>
        <w:t xml:space="preserve">Attention : </w:t>
      </w:r>
      <w:r w:rsidR="00050DE8">
        <w:t>les lignes ainsi proposées ne doivent pas être validées plusieurs fois à la même date et pour la même sélection. En revanche il est possible de procéder en plusieurs sélections distinctes et validations successives, par exemple pour dissocier les</w:t>
      </w:r>
      <w:r w:rsidR="00F7041F">
        <w:t xml:space="preserve"> transactions intragroupe.</w:t>
      </w:r>
      <w:r w:rsidR="00A62076">
        <w:br w:type="page"/>
      </w:r>
    </w:p>
    <w:p w14:paraId="6CC556CF" w14:textId="70AB4B8F" w:rsidR="00C1097D" w:rsidRDefault="00C1097D" w:rsidP="00C1097D">
      <w:pPr>
        <w:pStyle w:val="Titre1"/>
      </w:pPr>
      <w:bookmarkStart w:id="3" w:name="_Toc123288593"/>
      <w:r>
        <w:lastRenderedPageBreak/>
        <w:t>Charges et produits constatés d'avance (CCA / PCA)</w:t>
      </w:r>
      <w:bookmarkEnd w:id="3"/>
    </w:p>
    <w:p w14:paraId="558737F6" w14:textId="6D6D161A" w:rsidR="00772DFC" w:rsidRDefault="00772DFC" w:rsidP="00B02D93">
      <w:pPr>
        <w:pStyle w:val="Titre4"/>
        <w:rPr>
          <w:lang w:eastAsia="fr-FR"/>
        </w:rPr>
      </w:pPr>
      <w:r>
        <w:rPr>
          <w:lang w:eastAsia="fr-FR"/>
        </w:rPr>
        <w:t>Co</w:t>
      </w:r>
      <w:r w:rsidR="00F8108F">
        <w:rPr>
          <w:lang w:eastAsia="fr-FR"/>
        </w:rPr>
        <w:t>n</w:t>
      </w:r>
      <w:r>
        <w:rPr>
          <w:lang w:eastAsia="fr-FR"/>
        </w:rPr>
        <w:t>texte</w:t>
      </w:r>
    </w:p>
    <w:p w14:paraId="4AE636EB" w14:textId="6FCAE384" w:rsidR="00C1097D" w:rsidRDefault="00C9450C" w:rsidP="00C1097D">
      <w:pPr>
        <w:rPr>
          <w:lang w:eastAsia="fr-FR"/>
        </w:rPr>
      </w:pPr>
      <w:r>
        <w:rPr>
          <w:lang w:eastAsia="fr-FR"/>
        </w:rPr>
        <w:t>La</w:t>
      </w:r>
      <w:r w:rsidR="00CA251C">
        <w:rPr>
          <w:lang w:eastAsia="fr-FR"/>
        </w:rPr>
        <w:t xml:space="preserve"> fonction standard </w:t>
      </w:r>
      <w:r w:rsidR="00EC060B">
        <w:rPr>
          <w:lang w:eastAsia="fr-FR"/>
        </w:rPr>
        <w:t>d'</w:t>
      </w:r>
      <w:r w:rsidR="00CA251C">
        <w:rPr>
          <w:lang w:eastAsia="fr-FR"/>
        </w:rPr>
        <w:t xml:space="preserve">échelonnement permet de répartir une écriture </w:t>
      </w:r>
      <w:r w:rsidR="00ED6BFF">
        <w:rPr>
          <w:lang w:eastAsia="fr-FR"/>
        </w:rPr>
        <w:t>dans la durée</w:t>
      </w:r>
      <w:r w:rsidR="00BD52D0">
        <w:rPr>
          <w:lang w:eastAsia="fr-FR"/>
        </w:rPr>
        <w:t xml:space="preserve"> dès la validation d'une écriture.</w:t>
      </w:r>
    </w:p>
    <w:p w14:paraId="0EAB7A84" w14:textId="77777777" w:rsidR="00727B1A" w:rsidRDefault="00870DDE" w:rsidP="00C1097D">
      <w:pPr>
        <w:rPr>
          <w:lang w:eastAsia="fr-FR"/>
        </w:rPr>
      </w:pPr>
      <w:r>
        <w:rPr>
          <w:lang w:eastAsia="fr-FR"/>
        </w:rPr>
        <w:t>Elle</w:t>
      </w:r>
      <w:r w:rsidR="00022AD8">
        <w:rPr>
          <w:lang w:eastAsia="fr-FR"/>
        </w:rPr>
        <w:t xml:space="preserve"> </w:t>
      </w:r>
      <w:r w:rsidR="00D86E5E">
        <w:rPr>
          <w:lang w:eastAsia="fr-FR"/>
        </w:rPr>
        <w:t>s'applique aux documents d'achats et de vente ainsi qu'à la feuille de saisie</w:t>
      </w:r>
      <w:r w:rsidR="00727B1A">
        <w:rPr>
          <w:lang w:eastAsia="fr-FR"/>
        </w:rPr>
        <w:t>.</w:t>
      </w:r>
    </w:p>
    <w:p w14:paraId="18B863B7" w14:textId="64F8B8F8" w:rsidR="00EE36E4" w:rsidRDefault="00727B1A" w:rsidP="00C1097D">
      <w:pPr>
        <w:rPr>
          <w:lang w:eastAsia="fr-FR"/>
        </w:rPr>
      </w:pPr>
      <w:r>
        <w:rPr>
          <w:lang w:eastAsia="fr-FR"/>
        </w:rPr>
        <w:t xml:space="preserve">La répartition dans la durée </w:t>
      </w:r>
      <w:r w:rsidR="00022AD8">
        <w:rPr>
          <w:lang w:eastAsia="fr-FR"/>
        </w:rPr>
        <w:t xml:space="preserve">se base sur la "Date comptabilisation" de l'écriture initiale </w:t>
      </w:r>
      <w:r w:rsidR="00EC060B">
        <w:rPr>
          <w:lang w:eastAsia="fr-FR"/>
        </w:rPr>
        <w:t>et sur un "Code échelonnement"</w:t>
      </w:r>
      <w:r>
        <w:rPr>
          <w:lang w:eastAsia="fr-FR"/>
        </w:rPr>
        <w:t xml:space="preserve"> (</w:t>
      </w:r>
      <w:r w:rsidR="001255C0">
        <w:rPr>
          <w:lang w:eastAsia="fr-FR"/>
        </w:rPr>
        <w:t xml:space="preserve">hérité </w:t>
      </w:r>
      <w:r w:rsidR="00EE36E4">
        <w:rPr>
          <w:lang w:eastAsia="fr-FR"/>
        </w:rPr>
        <w:t>de l'article ou du compte général</w:t>
      </w:r>
      <w:r>
        <w:rPr>
          <w:lang w:eastAsia="fr-FR"/>
        </w:rPr>
        <w:t xml:space="preserve"> et </w:t>
      </w:r>
      <w:r w:rsidR="00EE36E4">
        <w:rPr>
          <w:lang w:eastAsia="fr-FR"/>
        </w:rPr>
        <w:t>modifiable</w:t>
      </w:r>
      <w:r>
        <w:rPr>
          <w:lang w:eastAsia="fr-FR"/>
        </w:rPr>
        <w:t>)</w:t>
      </w:r>
      <w:r w:rsidR="00EE36E4">
        <w:rPr>
          <w:lang w:eastAsia="fr-FR"/>
        </w:rPr>
        <w:t>.</w:t>
      </w:r>
    </w:p>
    <w:p w14:paraId="713E73A0" w14:textId="77777777" w:rsidR="00BD5508" w:rsidRDefault="00BD5508" w:rsidP="00C1097D">
      <w:pPr>
        <w:rPr>
          <w:lang w:eastAsia="fr-FR"/>
        </w:rPr>
      </w:pPr>
      <w:r>
        <w:rPr>
          <w:lang w:eastAsia="fr-FR"/>
        </w:rPr>
        <w:t>Elle présente quelques contraintes :</w:t>
      </w:r>
    </w:p>
    <w:p w14:paraId="542487B6" w14:textId="246BDFC8" w:rsidR="00EE36E4" w:rsidRDefault="00BD5508" w:rsidP="00BD5508">
      <w:pPr>
        <w:pStyle w:val="PuceP"/>
        <w:rPr>
          <w:lang w:eastAsia="fr-FR"/>
        </w:rPr>
      </w:pPr>
      <w:r>
        <w:rPr>
          <w:lang w:eastAsia="fr-FR"/>
        </w:rPr>
        <w:t>I</w:t>
      </w:r>
      <w:r w:rsidR="00317BE8">
        <w:rPr>
          <w:lang w:eastAsia="fr-FR"/>
        </w:rPr>
        <w:t xml:space="preserve">l n'est pas possible de </w:t>
      </w:r>
      <w:r w:rsidR="00E87B21">
        <w:rPr>
          <w:lang w:eastAsia="fr-FR"/>
        </w:rPr>
        <w:t xml:space="preserve">préciser une </w:t>
      </w:r>
      <w:r w:rsidR="00317BE8">
        <w:rPr>
          <w:lang w:eastAsia="fr-FR"/>
        </w:rPr>
        <w:t>date de début</w:t>
      </w:r>
      <w:r w:rsidR="00E87B21">
        <w:rPr>
          <w:lang w:eastAsia="fr-FR"/>
        </w:rPr>
        <w:t xml:space="preserve"> différente</w:t>
      </w:r>
      <w:r w:rsidR="002801DC">
        <w:rPr>
          <w:lang w:eastAsia="fr-FR"/>
        </w:rPr>
        <w:t xml:space="preserve"> de la "Date comptabilisation".</w:t>
      </w:r>
    </w:p>
    <w:p w14:paraId="7EB310EA" w14:textId="74CFD54C" w:rsidR="00BD5508" w:rsidRDefault="00EE0F71" w:rsidP="00BD5508">
      <w:pPr>
        <w:pStyle w:val="PuceP"/>
        <w:rPr>
          <w:lang w:eastAsia="fr-FR"/>
        </w:rPr>
      </w:pPr>
      <w:r>
        <w:rPr>
          <w:lang w:eastAsia="fr-FR"/>
        </w:rPr>
        <w:t>Les périodes comptables doivent être définies sur la durée</w:t>
      </w:r>
      <w:r w:rsidR="00C81E2E">
        <w:rPr>
          <w:lang w:eastAsia="fr-FR"/>
        </w:rPr>
        <w:t xml:space="preserve"> de la répartition</w:t>
      </w:r>
      <w:r w:rsidR="00C565FD">
        <w:rPr>
          <w:lang w:eastAsia="fr-FR"/>
        </w:rPr>
        <w:t>.</w:t>
      </w:r>
    </w:p>
    <w:p w14:paraId="2B7B51C3" w14:textId="77777777" w:rsidR="003F0692" w:rsidRDefault="00DA690B" w:rsidP="00BD5508">
      <w:pPr>
        <w:pStyle w:val="PuceP"/>
        <w:rPr>
          <w:lang w:eastAsia="fr-FR"/>
        </w:rPr>
      </w:pPr>
      <w:r>
        <w:rPr>
          <w:lang w:eastAsia="fr-FR"/>
        </w:rPr>
        <w:t>Il n'est pas</w:t>
      </w:r>
      <w:r w:rsidR="003F0692">
        <w:rPr>
          <w:lang w:eastAsia="fr-FR"/>
        </w:rPr>
        <w:t xml:space="preserve"> possible de déroger aux codes échelonnements configurés (date de début, nombre de périodes).</w:t>
      </w:r>
    </w:p>
    <w:p w14:paraId="55C6875D" w14:textId="0CB6E222" w:rsidR="003F0692" w:rsidRDefault="00C1282B" w:rsidP="003F0692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Les fonctions décrites ci-après proposent</w:t>
      </w:r>
      <w:r w:rsidR="00F4119D">
        <w:rPr>
          <w:lang w:eastAsia="fr-FR"/>
        </w:rPr>
        <w:t xml:space="preserve"> une solution plus souple, et peu impactante.</w:t>
      </w:r>
    </w:p>
    <w:p w14:paraId="40A6CAD7" w14:textId="5D49B5A8" w:rsidR="00772DFC" w:rsidRDefault="00772DFC" w:rsidP="00772DFC">
      <w:pPr>
        <w:pStyle w:val="Titre4"/>
        <w:rPr>
          <w:lang w:eastAsia="fr-FR"/>
        </w:rPr>
      </w:pPr>
      <w:r>
        <w:rPr>
          <w:lang w:eastAsia="fr-FR"/>
        </w:rPr>
        <w:t>Feuille de saisie</w:t>
      </w:r>
    </w:p>
    <w:p w14:paraId="5F0DE6BA" w14:textId="6249B4B7" w:rsidR="00F4119D" w:rsidRDefault="00341D5C" w:rsidP="003F0692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Les colonnes "Date début" et "Date fin" sont ajoutées </w:t>
      </w:r>
      <w:r w:rsidR="00214ED2">
        <w:rPr>
          <w:lang w:eastAsia="fr-FR"/>
        </w:rPr>
        <w:t xml:space="preserve">aux </w:t>
      </w:r>
      <w:r>
        <w:rPr>
          <w:lang w:eastAsia="fr-FR"/>
        </w:rPr>
        <w:t>feuille</w:t>
      </w:r>
      <w:r w:rsidR="00214ED2">
        <w:rPr>
          <w:lang w:eastAsia="fr-FR"/>
        </w:rPr>
        <w:t>s</w:t>
      </w:r>
      <w:r>
        <w:rPr>
          <w:lang w:eastAsia="fr-FR"/>
        </w:rPr>
        <w:t xml:space="preserve"> de saisie</w:t>
      </w:r>
      <w:r w:rsidR="00214ED2">
        <w:rPr>
          <w:lang w:eastAsia="fr-FR"/>
        </w:rPr>
        <w:t xml:space="preserve"> Achats et Ventes</w:t>
      </w:r>
      <w:r w:rsidR="00303CFE">
        <w:rPr>
          <w:lang w:eastAsia="fr-FR"/>
        </w:rPr>
        <w:t xml:space="preserve"> :</w:t>
      </w:r>
    </w:p>
    <w:p w14:paraId="1898353F" w14:textId="69B19E53" w:rsidR="00255191" w:rsidRDefault="00AD225D" w:rsidP="003F0692">
      <w:pPr>
        <w:pStyle w:val="PuceP"/>
        <w:numPr>
          <w:ilvl w:val="0"/>
          <w:numId w:val="0"/>
        </w:numPr>
        <w:rPr>
          <w:lang w:eastAsia="fr-FR"/>
        </w:rPr>
      </w:pPr>
      <w:r w:rsidRPr="00AD225D">
        <w:rPr>
          <w:noProof/>
          <w:lang w:eastAsia="fr-FR"/>
        </w:rPr>
        <w:drawing>
          <wp:inline distT="0" distB="0" distL="0" distR="0" wp14:anchorId="5E13D621" wp14:editId="56C265E2">
            <wp:extent cx="6479540" cy="14693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68F4" w14:textId="4633C142" w:rsidR="00C57519" w:rsidRDefault="00C57519" w:rsidP="00C57519">
      <w:pPr>
        <w:pStyle w:val="Titre4"/>
        <w:rPr>
          <w:lang w:eastAsia="fr-FR"/>
        </w:rPr>
      </w:pPr>
      <w:r>
        <w:rPr>
          <w:lang w:eastAsia="fr-FR"/>
        </w:rPr>
        <w:t>Remarques</w:t>
      </w:r>
    </w:p>
    <w:p w14:paraId="6C2CB3F4" w14:textId="7EBF8173" w:rsidR="004A4ECF" w:rsidRDefault="004A4ECF" w:rsidP="004A4ECF">
      <w:pPr>
        <w:pStyle w:val="PuceP"/>
        <w:rPr>
          <w:lang w:eastAsia="fr-FR"/>
        </w:rPr>
      </w:pPr>
      <w:r>
        <w:rPr>
          <w:lang w:eastAsia="fr-FR"/>
        </w:rPr>
        <w:t>La "Date début" et la "Date fin" sont indissociables.</w:t>
      </w:r>
    </w:p>
    <w:p w14:paraId="4A89E65B" w14:textId="13D604C1" w:rsidR="00C57519" w:rsidRDefault="00C57519" w:rsidP="004A4ECF">
      <w:pPr>
        <w:pStyle w:val="PuceP"/>
        <w:rPr>
          <w:lang w:eastAsia="fr-FR"/>
        </w:rPr>
      </w:pPr>
      <w:r>
        <w:rPr>
          <w:lang w:eastAsia="fr-FR"/>
        </w:rPr>
        <w:t>La date de fin doit bien sûr être postérieure ou égale à la date de début.</w:t>
      </w:r>
    </w:p>
    <w:p w14:paraId="74FA6CFB" w14:textId="3613436A" w:rsidR="00C57519" w:rsidRDefault="00426171" w:rsidP="00EC6255">
      <w:pPr>
        <w:pStyle w:val="PuceP"/>
        <w:rPr>
          <w:lang w:eastAsia="fr-FR"/>
        </w:rPr>
      </w:pPr>
      <w:r>
        <w:rPr>
          <w:lang w:eastAsia="fr-FR"/>
        </w:rPr>
        <w:t>En revanche, elles peuvent être antérieures à la "Date comptabilisation" (comptabilisation tardive ou facture à terme échu).</w:t>
      </w:r>
    </w:p>
    <w:p w14:paraId="1C0E12AD" w14:textId="4AB225D7" w:rsidR="00B615DB" w:rsidRDefault="00E2594E" w:rsidP="00EC6255">
      <w:pPr>
        <w:pStyle w:val="PuceP"/>
        <w:rPr>
          <w:lang w:eastAsia="fr-FR"/>
        </w:rPr>
      </w:pPr>
      <w:r>
        <w:rPr>
          <w:lang w:eastAsia="fr-FR"/>
        </w:rPr>
        <w:t xml:space="preserve">Elles ne </w:t>
      </w:r>
      <w:r w:rsidR="00764B40">
        <w:rPr>
          <w:lang w:eastAsia="fr-FR"/>
        </w:rPr>
        <w:t>sont prise en compte</w:t>
      </w:r>
      <w:r>
        <w:rPr>
          <w:lang w:eastAsia="fr-FR"/>
        </w:rPr>
        <w:t xml:space="preserve"> que pour des lignes de "Type compta TVA" (ou "Type compta. TVA contrep</w:t>
      </w:r>
      <w:r w:rsidR="00764B40">
        <w:rPr>
          <w:lang w:eastAsia="fr-FR"/>
        </w:rPr>
        <w:t>artie") 'Achat' ou 'Vente'.</w:t>
      </w:r>
    </w:p>
    <w:p w14:paraId="779FBF47" w14:textId="5B9DB1D8" w:rsidR="001D76D2" w:rsidRDefault="006B13D3" w:rsidP="0046716D">
      <w:pPr>
        <w:pStyle w:val="PuceP"/>
        <w:rPr>
          <w:lang w:eastAsia="fr-FR"/>
        </w:rPr>
      </w:pPr>
      <w:r>
        <w:rPr>
          <w:lang w:eastAsia="fr-FR"/>
        </w:rPr>
        <w:t xml:space="preserve">Si le compte </w:t>
      </w:r>
      <w:r w:rsidR="00D51B3A">
        <w:rPr>
          <w:lang w:eastAsia="fr-FR"/>
        </w:rPr>
        <w:t>est configuré avec</w:t>
      </w:r>
      <w:r>
        <w:rPr>
          <w:lang w:eastAsia="fr-FR"/>
        </w:rPr>
        <w:t xml:space="preserve"> un </w:t>
      </w:r>
      <w:r w:rsidR="006329B2">
        <w:rPr>
          <w:lang w:eastAsia="fr-FR"/>
        </w:rPr>
        <w:t>"</w:t>
      </w:r>
      <w:r w:rsidR="00BB581B">
        <w:t>Modèle échelonnement par défaut</w:t>
      </w:r>
      <w:r w:rsidR="006329B2">
        <w:rPr>
          <w:lang w:eastAsia="fr-FR"/>
        </w:rPr>
        <w:t xml:space="preserve">" </w:t>
      </w:r>
      <w:r w:rsidR="009427B3">
        <w:rPr>
          <w:lang w:eastAsia="fr-FR"/>
        </w:rPr>
        <w:t>dont le "Nombre de périodes" n'est pas défini</w:t>
      </w:r>
      <w:r>
        <w:rPr>
          <w:lang w:eastAsia="fr-FR"/>
        </w:rPr>
        <w:t>, l</w:t>
      </w:r>
      <w:r>
        <w:rPr>
          <w:lang w:eastAsia="fr-FR"/>
        </w:rPr>
        <w:t>es "Date début" et "Date fin" sont obligatoire</w:t>
      </w:r>
      <w:r w:rsidR="00D51B3A">
        <w:rPr>
          <w:lang w:eastAsia="fr-FR"/>
        </w:rPr>
        <w:t>s</w:t>
      </w:r>
      <w:r>
        <w:rPr>
          <w:lang w:eastAsia="fr-FR"/>
        </w:rPr>
        <w:t>.</w:t>
      </w:r>
      <w:r w:rsidR="009A7F36">
        <w:rPr>
          <w:lang w:eastAsia="fr-FR"/>
        </w:rPr>
        <w:br/>
        <w:t>A l'inverse, l</w:t>
      </w:r>
      <w:r w:rsidR="00557EFD">
        <w:rPr>
          <w:lang w:eastAsia="fr-FR"/>
        </w:rPr>
        <w:t>es "Date début" et "Date fin" sont incompatibles avec un autre</w:t>
      </w:r>
      <w:r w:rsidR="009A7F36">
        <w:rPr>
          <w:lang w:eastAsia="fr-FR"/>
        </w:rPr>
        <w:t xml:space="preserve"> </w:t>
      </w:r>
      <w:r w:rsidR="009A7F36">
        <w:rPr>
          <w:lang w:eastAsia="fr-FR"/>
        </w:rPr>
        <w:t>"</w:t>
      </w:r>
      <w:r w:rsidR="009A7F36">
        <w:t>Modèle échelonnement par défaut</w:t>
      </w:r>
      <w:r w:rsidR="009A7F36">
        <w:rPr>
          <w:lang w:eastAsia="fr-FR"/>
        </w:rPr>
        <w:t>"</w:t>
      </w:r>
      <w:r w:rsidR="009A7F36">
        <w:rPr>
          <w:lang w:eastAsia="fr-FR"/>
        </w:rPr>
        <w:t>.</w:t>
      </w:r>
    </w:p>
    <w:p w14:paraId="74E83E6D" w14:textId="21440B49" w:rsidR="008D78EA" w:rsidRDefault="008D78EA" w:rsidP="008D78EA">
      <w:pPr>
        <w:pStyle w:val="Titre4"/>
        <w:rPr>
          <w:lang w:eastAsia="fr-FR"/>
        </w:rPr>
      </w:pPr>
      <w:r>
        <w:rPr>
          <w:lang w:eastAsia="fr-FR"/>
        </w:rPr>
        <w:t>Ecritures comptables</w:t>
      </w:r>
    </w:p>
    <w:p w14:paraId="0721DEAE" w14:textId="205C4001" w:rsidR="005861CD" w:rsidRDefault="005861CD" w:rsidP="005861CD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La consultation des écritures comptables, est complétée des colonnes "Date début" et "Date fin" (à ajouter par </w:t>
      </w:r>
      <w:r w:rsidR="00F8108F">
        <w:rPr>
          <w:lang w:eastAsia="fr-FR"/>
        </w:rPr>
        <w:t>"Personnaliser"</w:t>
      </w:r>
      <w:r w:rsidR="00DA5F24">
        <w:rPr>
          <w:lang w:eastAsia="fr-FR"/>
        </w:rPr>
        <w:t>, pas de filtre ou de tri sur ces colonnes</w:t>
      </w:r>
      <w:r w:rsidR="00F8108F">
        <w:rPr>
          <w:lang w:eastAsia="fr-FR"/>
        </w:rPr>
        <w:t>) :</w:t>
      </w:r>
    </w:p>
    <w:p w14:paraId="708529E5" w14:textId="77777777" w:rsidR="00AE3133" w:rsidRDefault="00845659" w:rsidP="00AE3133">
      <w:pPr>
        <w:rPr>
          <w:lang w:eastAsia="fr-FR"/>
        </w:rPr>
      </w:pPr>
      <w:r w:rsidRPr="00845659">
        <w:rPr>
          <w:lang w:eastAsia="fr-FR"/>
        </w:rPr>
        <w:drawing>
          <wp:inline distT="0" distB="0" distL="0" distR="0" wp14:anchorId="7AAC25E9" wp14:editId="51CB510D">
            <wp:extent cx="6038243" cy="1080540"/>
            <wp:effectExtent l="0" t="0" r="635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5094" cy="10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133" w:rsidRPr="00AE3133">
        <w:rPr>
          <w:lang w:eastAsia="fr-FR"/>
        </w:rPr>
        <w:t xml:space="preserve"> </w:t>
      </w:r>
    </w:p>
    <w:p w14:paraId="3DAA4391" w14:textId="683C016D" w:rsidR="00AE3133" w:rsidRDefault="00AE3133" w:rsidP="00AE3133">
      <w:pPr>
        <w:rPr>
          <w:lang w:eastAsia="fr-FR"/>
        </w:rPr>
      </w:pPr>
      <w:r>
        <w:rPr>
          <w:lang w:eastAsia="fr-FR"/>
        </w:rPr>
        <w:t>Les "Date début" et "</w:t>
      </w:r>
      <w:r w:rsidRPr="00996844">
        <w:t>Date fin" peuvent y être modifiées et sero</w:t>
      </w:r>
      <w:r>
        <w:rPr>
          <w:lang w:eastAsia="fr-FR"/>
        </w:rPr>
        <w:t>nt prises en compte lors du prochain calcul des CCA/PCA</w:t>
      </w:r>
      <w:r w:rsidR="0014180A">
        <w:rPr>
          <w:lang w:eastAsia="fr-FR"/>
        </w:rPr>
        <w:t xml:space="preserve"> (le "Type compta</w:t>
      </w:r>
      <w:r w:rsidR="00D76CEC">
        <w:rPr>
          <w:lang w:eastAsia="fr-FR"/>
        </w:rPr>
        <w:t>. TVA</w:t>
      </w:r>
      <w:r w:rsidR="0014180A">
        <w:rPr>
          <w:lang w:eastAsia="fr-FR"/>
        </w:rPr>
        <w:t>" de l'écriture doit être 'Achat' ou 'Vente').</w:t>
      </w:r>
    </w:p>
    <w:p w14:paraId="053E1BDC" w14:textId="155F2C10" w:rsidR="00B02D93" w:rsidRDefault="00B02D93" w:rsidP="00B02D93">
      <w:pPr>
        <w:pStyle w:val="Titre4"/>
        <w:rPr>
          <w:lang w:eastAsia="fr-FR"/>
        </w:rPr>
      </w:pPr>
      <w:r>
        <w:rPr>
          <w:lang w:eastAsia="fr-FR"/>
        </w:rPr>
        <w:lastRenderedPageBreak/>
        <w:t>Proposer CCA &amp; PCA</w:t>
      </w:r>
    </w:p>
    <w:p w14:paraId="1F21E756" w14:textId="4A71B367" w:rsidR="00D62714" w:rsidRDefault="00D62714" w:rsidP="003F0692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La feuille comptabilité est complétée d'une action "Proposer CCA &amp; PCA</w:t>
      </w:r>
      <w:r w:rsidR="008D78EA">
        <w:rPr>
          <w:lang w:eastAsia="fr-FR"/>
        </w:rPr>
        <w:t>"</w:t>
      </w:r>
      <w:r w:rsidR="00A62076">
        <w:rPr>
          <w:lang w:eastAsia="fr-FR"/>
        </w:rPr>
        <w:t xml:space="preserve"> :</w:t>
      </w:r>
    </w:p>
    <w:p w14:paraId="57A00388" w14:textId="12F5FAF7" w:rsidR="00A62076" w:rsidRDefault="00A62076" w:rsidP="003F0692">
      <w:pPr>
        <w:pStyle w:val="PuceP"/>
        <w:numPr>
          <w:ilvl w:val="0"/>
          <w:numId w:val="0"/>
        </w:numPr>
        <w:rPr>
          <w:lang w:eastAsia="fr-FR"/>
        </w:rPr>
      </w:pPr>
      <w:r w:rsidRPr="00A62076">
        <w:rPr>
          <w:noProof/>
          <w:lang w:eastAsia="fr-FR"/>
        </w:rPr>
        <w:drawing>
          <wp:inline distT="0" distB="0" distL="0" distR="0" wp14:anchorId="50FC7F4F" wp14:editId="7DED1284">
            <wp:extent cx="2417197" cy="2616624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5616" cy="26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D399" w14:textId="4740B720" w:rsidR="00570B01" w:rsidRDefault="00570B01" w:rsidP="00570B01">
      <w:pPr>
        <w:pStyle w:val="Titre4"/>
        <w:rPr>
          <w:lang w:eastAsia="fr-FR"/>
        </w:rPr>
      </w:pPr>
      <w:r>
        <w:rPr>
          <w:lang w:eastAsia="fr-FR"/>
        </w:rPr>
        <w:t>Remarques</w:t>
      </w:r>
    </w:p>
    <w:p w14:paraId="21D8F997" w14:textId="15F85B5D" w:rsidR="006040BF" w:rsidRPr="006040BF" w:rsidRDefault="0081753E" w:rsidP="0081753E">
      <w:pPr>
        <w:pStyle w:val="PuceP"/>
        <w:rPr>
          <w:rFonts w:ascii="Segoe UI" w:hAnsi="Segoe UI" w:cs="Segoe UI"/>
          <w:color w:val="666666"/>
          <w:sz w:val="18"/>
          <w:szCs w:val="18"/>
          <w:lang w:eastAsia="fr-FR"/>
        </w:rPr>
      </w:pPr>
      <w:r>
        <w:rPr>
          <w:lang w:eastAsia="fr-FR"/>
        </w:rPr>
        <w:t>Pour l</w:t>
      </w:r>
      <w:r w:rsidR="006040BF">
        <w:rPr>
          <w:lang w:eastAsia="fr-FR"/>
        </w:rPr>
        <w:t xml:space="preserve">a feuille de saisie </w:t>
      </w:r>
      <w:r w:rsidR="00644233">
        <w:rPr>
          <w:lang w:eastAsia="fr-FR"/>
        </w:rPr>
        <w:t>utilisée</w:t>
      </w:r>
      <w:r w:rsidR="00407A56">
        <w:rPr>
          <w:lang w:eastAsia="fr-FR"/>
        </w:rPr>
        <w:t>,</w:t>
      </w:r>
      <w:r w:rsidR="00644233">
        <w:rPr>
          <w:lang w:eastAsia="fr-FR"/>
        </w:rPr>
        <w:t xml:space="preserve"> </w:t>
      </w:r>
      <w:r w:rsidRPr="0081753E">
        <w:t>l'</w:t>
      </w:r>
      <w:r w:rsidR="006040BF" w:rsidRPr="0081753E">
        <w:t>option "</w:t>
      </w:r>
      <w:r w:rsidR="006040BF" w:rsidRPr="0081753E">
        <w:rPr>
          <w:lang w:eastAsia="fr-FR"/>
        </w:rPr>
        <w:t>Copier paramètres TVA sur les lignes feuille</w:t>
      </w:r>
      <w:r w:rsidR="006040BF" w:rsidRPr="0081753E">
        <w:t>" ne doit pas être activée</w:t>
      </w:r>
      <w:r w:rsidRPr="0081753E">
        <w:t>.</w:t>
      </w:r>
    </w:p>
    <w:p w14:paraId="18BE1959" w14:textId="3370100D" w:rsidR="00570B01" w:rsidRDefault="0081753E" w:rsidP="0081753E">
      <w:pPr>
        <w:pStyle w:val="PuceP"/>
        <w:rPr>
          <w:lang w:eastAsia="fr-FR"/>
        </w:rPr>
      </w:pPr>
      <w:r>
        <w:rPr>
          <w:lang w:eastAsia="fr-FR"/>
        </w:rPr>
        <w:t>La "Date comptabilisation" doit coïncider avec la fin d'une période comptable.</w:t>
      </w:r>
    </w:p>
    <w:p w14:paraId="2D50ADC3" w14:textId="206D9735" w:rsidR="001A4E06" w:rsidRDefault="001A4E06" w:rsidP="003F0692">
      <w:pPr>
        <w:pStyle w:val="PuceP"/>
        <w:numPr>
          <w:ilvl w:val="0"/>
          <w:numId w:val="0"/>
        </w:numPr>
        <w:rPr>
          <w:lang w:eastAsia="fr-FR"/>
        </w:rPr>
      </w:pPr>
      <w:r w:rsidRPr="001A4E06">
        <w:rPr>
          <w:noProof/>
          <w:lang w:eastAsia="fr-FR"/>
        </w:rPr>
        <w:drawing>
          <wp:inline distT="0" distB="0" distL="0" distR="0" wp14:anchorId="274E874D" wp14:editId="4723CBA2">
            <wp:extent cx="6479540" cy="1941830"/>
            <wp:effectExtent l="0" t="0" r="0" b="127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1211" w14:textId="77777777" w:rsidR="00DB6E4F" w:rsidRDefault="00DB6E4F" w:rsidP="00DB6E4F">
      <w:pPr>
        <w:pStyle w:val="Titre4"/>
        <w:rPr>
          <w:lang w:eastAsia="fr-FR"/>
        </w:rPr>
      </w:pPr>
      <w:r>
        <w:rPr>
          <w:lang w:eastAsia="fr-FR"/>
        </w:rPr>
        <w:t>Détail de la répartition</w:t>
      </w:r>
    </w:p>
    <w:p w14:paraId="750FD584" w14:textId="3F8CD454" w:rsidR="005A1577" w:rsidRDefault="005A1577" w:rsidP="005A1577">
      <w:pPr>
        <w:rPr>
          <w:lang w:eastAsia="fr-FR"/>
        </w:rPr>
      </w:pPr>
      <w:r>
        <w:rPr>
          <w:lang w:eastAsia="fr-FR"/>
        </w:rPr>
        <w:t xml:space="preserve">Depuis </w:t>
      </w:r>
      <w:r w:rsidR="009704B5">
        <w:rPr>
          <w:lang w:eastAsia="fr-FR"/>
        </w:rPr>
        <w:t>une ligne de la feuille de saisie, ou depuis la consultation des écritures comptables, l</w:t>
      </w:r>
      <w:r w:rsidR="003D227E">
        <w:rPr>
          <w:lang w:eastAsia="fr-FR"/>
        </w:rPr>
        <w:t>'action "Ecritures CCA &amp; PCA" permet d'afficher les écritures liées (celle d'origine ainsi que les écritures de CCA &amp; PCA déjà comptabilisées).</w:t>
      </w:r>
      <w:r>
        <w:rPr>
          <w:lang w:eastAsia="fr-FR"/>
        </w:rPr>
        <w:t xml:space="preserve"> Cette action </w:t>
      </w:r>
      <w:r>
        <w:rPr>
          <w:lang w:eastAsia="fr-FR"/>
        </w:rPr>
        <w:t xml:space="preserve">est </w:t>
      </w:r>
      <w:r>
        <w:rPr>
          <w:lang w:eastAsia="fr-FR"/>
        </w:rPr>
        <w:t>inactive (</w:t>
      </w:r>
      <w:r>
        <w:rPr>
          <w:lang w:eastAsia="fr-FR"/>
        </w:rPr>
        <w:t>grisée</w:t>
      </w:r>
      <w:r>
        <w:rPr>
          <w:lang w:eastAsia="fr-FR"/>
        </w:rPr>
        <w:t>)</w:t>
      </w:r>
      <w:r>
        <w:rPr>
          <w:lang w:eastAsia="fr-FR"/>
        </w:rPr>
        <w:t xml:space="preserve"> s'il ne s'agit pas d'une écriture de PCA/CCA.</w:t>
      </w:r>
    </w:p>
    <w:p w14:paraId="33CB0B17" w14:textId="77777777" w:rsidR="00DB6E4F" w:rsidRDefault="00DB6E4F" w:rsidP="00DB6E4F">
      <w:pPr>
        <w:rPr>
          <w:lang w:eastAsia="fr-FR"/>
        </w:rPr>
      </w:pPr>
      <w:r w:rsidRPr="00AA48C8">
        <w:rPr>
          <w:noProof/>
          <w:lang w:eastAsia="fr-FR"/>
        </w:rPr>
        <w:drawing>
          <wp:inline distT="0" distB="0" distL="0" distR="0" wp14:anchorId="1FE9E4D3" wp14:editId="6AFC2FB7">
            <wp:extent cx="4559300" cy="1583157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6232" cy="15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C94E" w14:textId="12375353" w:rsidR="00F8108F" w:rsidRDefault="00DB6E4F" w:rsidP="0094125A">
      <w:pPr>
        <w:rPr>
          <w:lang w:eastAsia="fr-FR"/>
        </w:rPr>
      </w:pPr>
      <w:r>
        <w:rPr>
          <w:lang w:eastAsia="fr-FR"/>
        </w:rPr>
        <w:t>Les "Date début" et "</w:t>
      </w:r>
      <w:r w:rsidRPr="00996844">
        <w:t>Date fin" peuvent être modifiées</w:t>
      </w:r>
      <w:r w:rsidR="00AE3133">
        <w:t xml:space="preserve"> sur la ligne d'origine</w:t>
      </w:r>
      <w:r w:rsidRPr="00996844">
        <w:t xml:space="preserve"> et sero</w:t>
      </w:r>
      <w:r>
        <w:rPr>
          <w:lang w:eastAsia="fr-FR"/>
        </w:rPr>
        <w:t>nt prises en compte lors du prochain calcul des CCA/PCA.</w:t>
      </w:r>
    </w:p>
    <w:p w14:paraId="4A449991" w14:textId="77777777" w:rsidR="007F5F9F" w:rsidRDefault="007F5F9F">
      <w:pPr>
        <w:spacing w:after="200"/>
        <w:rPr>
          <w:rFonts w:ascii="Cambria" w:eastAsia="Times New Roman" w:hAnsi="Cambria" w:cs="Times New Roman"/>
          <w:b/>
          <w:bCs/>
          <w:i/>
          <w:iCs/>
          <w:color w:val="72C5CD"/>
          <w:szCs w:val="20"/>
          <w:lang w:eastAsia="fr-FR"/>
        </w:rPr>
      </w:pPr>
      <w:r>
        <w:rPr>
          <w:lang w:eastAsia="fr-FR"/>
        </w:rPr>
        <w:br w:type="page"/>
      </w:r>
    </w:p>
    <w:p w14:paraId="578E3B9C" w14:textId="0638C0AE" w:rsidR="00E149E3" w:rsidRDefault="00E149E3" w:rsidP="00E149E3">
      <w:pPr>
        <w:pStyle w:val="Titre4"/>
        <w:rPr>
          <w:lang w:eastAsia="fr-FR"/>
        </w:rPr>
      </w:pPr>
      <w:r>
        <w:rPr>
          <w:lang w:eastAsia="fr-FR"/>
        </w:rPr>
        <w:lastRenderedPageBreak/>
        <w:t>Exemples</w:t>
      </w:r>
    </w:p>
    <w:p w14:paraId="2A4CBB6E" w14:textId="6FC675C2" w:rsidR="00942133" w:rsidRDefault="00942133" w:rsidP="00C1097D">
      <w:pPr>
        <w:rPr>
          <w:lang w:eastAsia="fr-FR"/>
        </w:rPr>
      </w:pPr>
      <w:r>
        <w:rPr>
          <w:lang w:eastAsia="fr-FR"/>
        </w:rPr>
        <w:t>Voici quelques exemples</w:t>
      </w:r>
      <w:r w:rsidR="00F1566B">
        <w:rPr>
          <w:lang w:eastAsia="fr-FR"/>
        </w:rPr>
        <w:t xml:space="preserve"> </w:t>
      </w:r>
      <w:r w:rsidR="00AC1AC3">
        <w:rPr>
          <w:lang w:eastAsia="fr-FR"/>
        </w:rPr>
        <w:t xml:space="preserve">de comptabilisation des charges constatées d'avance pour </w:t>
      </w:r>
      <w:r w:rsidR="00F1566B">
        <w:rPr>
          <w:lang w:eastAsia="fr-FR"/>
        </w:rPr>
        <w:t>de</w:t>
      </w:r>
      <w:r w:rsidR="00AC1AC3">
        <w:rPr>
          <w:lang w:eastAsia="fr-FR"/>
        </w:rPr>
        <w:t>s</w:t>
      </w:r>
      <w:r w:rsidR="00F1566B">
        <w:rPr>
          <w:lang w:eastAsia="fr-FR"/>
        </w:rPr>
        <w:t xml:space="preserve"> factures de même montant (300€) sur la même durée (3 mois) comptabilisées à la même date (21/04) mais</w:t>
      </w:r>
      <w:r w:rsidR="00AC1AC3">
        <w:rPr>
          <w:lang w:eastAsia="fr-FR"/>
        </w:rPr>
        <w:t xml:space="preserve"> avec des dates de début/fin différentes :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134"/>
        <w:gridCol w:w="1496"/>
        <w:gridCol w:w="980"/>
        <w:gridCol w:w="980"/>
        <w:gridCol w:w="980"/>
        <w:gridCol w:w="980"/>
        <w:gridCol w:w="980"/>
        <w:gridCol w:w="980"/>
      </w:tblGrid>
      <w:tr w:rsidR="007A51C7" w:rsidRPr="00942133" w14:paraId="342A91E3" w14:textId="77777777" w:rsidTr="007A51C7">
        <w:tc>
          <w:tcPr>
            <w:tcW w:w="704" w:type="dxa"/>
          </w:tcPr>
          <w:p w14:paraId="7BD0565A" w14:textId="416D6173" w:rsidR="007A51C7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Cas</w:t>
            </w:r>
          </w:p>
        </w:tc>
        <w:tc>
          <w:tcPr>
            <w:tcW w:w="4590" w:type="dxa"/>
            <w:gridSpan w:val="4"/>
            <w:shd w:val="clear" w:color="auto" w:fill="auto"/>
            <w:vAlign w:val="bottom"/>
          </w:tcPr>
          <w:p w14:paraId="7369AFE2" w14:textId="71FFC25D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Ecriture origine</w:t>
            </w:r>
          </w:p>
        </w:tc>
        <w:tc>
          <w:tcPr>
            <w:tcW w:w="3920" w:type="dxa"/>
            <w:gridSpan w:val="4"/>
            <w:shd w:val="clear" w:color="auto" w:fill="auto"/>
            <w:vAlign w:val="bottom"/>
          </w:tcPr>
          <w:p w14:paraId="6B5C3D57" w14:textId="7A4B153E" w:rsidR="007A51C7" w:rsidRPr="00942133" w:rsidRDefault="007A51C7" w:rsidP="002C3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CCA au</w:t>
            </w:r>
          </w:p>
        </w:tc>
      </w:tr>
      <w:tr w:rsidR="007A51C7" w:rsidRPr="00942133" w14:paraId="0C220D9A" w14:textId="77777777" w:rsidTr="007A51C7">
        <w:trPr>
          <w:trHeight w:val="560"/>
        </w:trPr>
        <w:tc>
          <w:tcPr>
            <w:tcW w:w="704" w:type="dxa"/>
          </w:tcPr>
          <w:p w14:paraId="2F3607AB" w14:textId="77777777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61A0F44B" w14:textId="59C32A2E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 compta</w:t>
            </w:r>
          </w:p>
        </w:tc>
        <w:tc>
          <w:tcPr>
            <w:tcW w:w="1496" w:type="dxa"/>
            <w:shd w:val="clear" w:color="auto" w:fill="auto"/>
            <w:vAlign w:val="bottom"/>
            <w:hideMark/>
          </w:tcPr>
          <w:p w14:paraId="76C8D5C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Montant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11BD5EA1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 début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28E3F060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 fin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4B895AF5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30/04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6F7338CD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31/05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3256FB79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30/06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4DFA131E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31/07</w:t>
            </w:r>
          </w:p>
        </w:tc>
      </w:tr>
      <w:tr w:rsidR="007A51C7" w:rsidRPr="00942133" w14:paraId="001536CF" w14:textId="77777777" w:rsidTr="007A51C7">
        <w:trPr>
          <w:trHeight w:val="290"/>
        </w:trPr>
        <w:tc>
          <w:tcPr>
            <w:tcW w:w="704" w:type="dxa"/>
          </w:tcPr>
          <w:p w14:paraId="6B7368DD" w14:textId="7F2165F5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707183" w14:textId="59841B7D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 w:rsidR="00AF23A0"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1BF7AA5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9D0CD6E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A65C55B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30/06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D513070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-200,00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BC269C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321F40E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89C9E92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0,00</w:t>
            </w:r>
          </w:p>
        </w:tc>
      </w:tr>
      <w:tr w:rsidR="007A51C7" w:rsidRPr="00942133" w14:paraId="6EC748B1" w14:textId="77777777" w:rsidTr="007A51C7">
        <w:trPr>
          <w:trHeight w:val="290"/>
        </w:trPr>
        <w:tc>
          <w:tcPr>
            <w:tcW w:w="704" w:type="dxa"/>
          </w:tcPr>
          <w:p w14:paraId="6C3CC5C8" w14:textId="3F5158B2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E44AE9" w14:textId="078248DC" w:rsidR="007A51C7" w:rsidRPr="00942133" w:rsidRDefault="00AF23A0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91AB0D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FE7083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15/04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F2F0DC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14/07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B2F9FD9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-250,00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D140F8A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5A4F473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442DF61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50,00</w:t>
            </w:r>
          </w:p>
        </w:tc>
      </w:tr>
      <w:tr w:rsidR="007A51C7" w:rsidRPr="00942133" w14:paraId="080EDCE8" w14:textId="77777777" w:rsidTr="007A51C7">
        <w:trPr>
          <w:trHeight w:val="290"/>
        </w:trPr>
        <w:tc>
          <w:tcPr>
            <w:tcW w:w="704" w:type="dxa"/>
          </w:tcPr>
          <w:p w14:paraId="787A5DB0" w14:textId="2EC485B3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3C9BC5" w14:textId="0F315A19" w:rsidR="007A51C7" w:rsidRPr="00942133" w:rsidRDefault="00AF23A0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630BCF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6CD4471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BC76330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31/07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3514DC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-300,00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E6E0F78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F543660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CB6DB29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</w:tr>
      <w:tr w:rsidR="007A51C7" w:rsidRPr="00942133" w14:paraId="52D662FA" w14:textId="77777777" w:rsidTr="007A51C7">
        <w:trPr>
          <w:trHeight w:val="290"/>
        </w:trPr>
        <w:tc>
          <w:tcPr>
            <w:tcW w:w="704" w:type="dxa"/>
          </w:tcPr>
          <w:p w14:paraId="3ED6BBB6" w14:textId="4449E01F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3D5A64" w14:textId="67F6888E" w:rsidR="007A51C7" w:rsidRPr="00942133" w:rsidRDefault="00AF23A0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5C18B50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D0A65DD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2F2950B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31/03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4CA4F5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A611C4D" w14:textId="77777777" w:rsidR="007A51C7" w:rsidRPr="00942133" w:rsidRDefault="007A51C7" w:rsidP="00942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A8792E2" w14:textId="77777777" w:rsidR="007A51C7" w:rsidRPr="00942133" w:rsidRDefault="007A51C7" w:rsidP="00942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E1ACAEF" w14:textId="77777777" w:rsidR="007A51C7" w:rsidRPr="00942133" w:rsidRDefault="007A51C7" w:rsidP="00942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A51C7" w:rsidRPr="00942133" w14:paraId="27963F00" w14:textId="77777777" w:rsidTr="007A51C7">
        <w:trPr>
          <w:trHeight w:val="290"/>
        </w:trPr>
        <w:tc>
          <w:tcPr>
            <w:tcW w:w="704" w:type="dxa"/>
          </w:tcPr>
          <w:p w14:paraId="34E9C849" w14:textId="6127D2A9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B3D3A17" w14:textId="1CCB68CC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 w:rsidR="00AF23A0"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6EA63AA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8FE4C64" w14:textId="57E7888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EC59E26" w14:textId="294DC69E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510188" w14:textId="1AD624B7" w:rsidR="007A51C7" w:rsidRPr="00942133" w:rsidRDefault="007A51C7" w:rsidP="003F7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4B47D32" w14:textId="0B63FF97" w:rsidR="007A51C7" w:rsidRPr="00942133" w:rsidRDefault="007A51C7" w:rsidP="00723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93C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33C93F" w14:textId="77777777" w:rsidR="007A51C7" w:rsidRPr="00942133" w:rsidRDefault="007A51C7" w:rsidP="003F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CBC46CE" w14:textId="77777777" w:rsidR="007A51C7" w:rsidRPr="00942133" w:rsidRDefault="007A51C7" w:rsidP="003F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50153FA6" w14:textId="77777777" w:rsidR="007F5F9F" w:rsidRDefault="007F5F9F" w:rsidP="007F5F9F">
      <w:pPr>
        <w:pStyle w:val="Titre4"/>
        <w:rPr>
          <w:lang w:eastAsia="fr-FR"/>
        </w:rPr>
      </w:pPr>
    </w:p>
    <w:p w14:paraId="480CA443" w14:textId="42E46C22" w:rsidR="007F5F9F" w:rsidRDefault="007F5F9F" w:rsidP="007F5F9F">
      <w:pPr>
        <w:pStyle w:val="Titre4"/>
        <w:rPr>
          <w:lang w:eastAsia="fr-FR"/>
        </w:rPr>
      </w:pPr>
      <w:r>
        <w:rPr>
          <w:lang w:eastAsia="fr-FR"/>
        </w:rPr>
        <w:t>Remarques</w:t>
      </w:r>
    </w:p>
    <w:p w14:paraId="28067688" w14:textId="77777777" w:rsidR="007F5F9F" w:rsidRDefault="007F5F9F" w:rsidP="007F5F9F">
      <w:pPr>
        <w:pStyle w:val="PuceP"/>
        <w:rPr>
          <w:lang w:eastAsia="fr-FR"/>
        </w:rPr>
      </w:pPr>
      <w:r>
        <w:rPr>
          <w:lang w:eastAsia="fr-FR"/>
        </w:rPr>
        <w:t>Le montant proposé est calculé par différence entre le montant total des CCA/PCA à la date sélectionnée et le montant des CCA/PCA antérieures déjà validées pour la même écriture d'origine. Si le traitement est relancé à la même date, aucune variation n'est constatée et les écritures ne sont donc plus proposées.</w:t>
      </w:r>
    </w:p>
    <w:p w14:paraId="1AFE113B" w14:textId="77777777" w:rsidR="007F5F9F" w:rsidRDefault="007F5F9F" w:rsidP="007F5F9F">
      <w:pPr>
        <w:pStyle w:val="PuceP"/>
        <w:rPr>
          <w:lang w:eastAsia="fr-FR"/>
        </w:rPr>
      </w:pPr>
      <w:r>
        <w:rPr>
          <w:lang w:eastAsia="fr-FR"/>
        </w:rPr>
        <w:t>Si la "Date comptabilisation" est postérieure ou égale à la "Date fin", le montant proposé correspond donc au solde des PCA/CCA.</w:t>
      </w:r>
    </w:p>
    <w:p w14:paraId="1FE7C566" w14:textId="5274F06B" w:rsidR="007F5F9F" w:rsidRDefault="007F5F9F" w:rsidP="007F5F9F">
      <w:pPr>
        <w:pStyle w:val="PuceP"/>
        <w:rPr>
          <w:lang w:eastAsia="fr-FR"/>
        </w:rPr>
      </w:pPr>
      <w:r>
        <w:rPr>
          <w:lang w:eastAsia="fr-FR"/>
        </w:rPr>
        <w:t xml:space="preserve">Si </w:t>
      </w:r>
      <w:r w:rsidR="009B1176" w:rsidRPr="001D685D">
        <w:rPr>
          <w:lang w:eastAsia="fr-FR"/>
        </w:rPr>
        <w:t xml:space="preserve">l'écriture d'origine </w:t>
      </w:r>
      <w:r w:rsidR="006108A6">
        <w:rPr>
          <w:lang w:eastAsia="fr-FR"/>
        </w:rPr>
        <w:t>a été</w:t>
      </w:r>
      <w:r w:rsidR="009B1176" w:rsidRPr="001D685D">
        <w:rPr>
          <w:lang w:eastAsia="fr-FR"/>
        </w:rPr>
        <w:t xml:space="preserve"> comptabilisée à une date</w:t>
      </w:r>
      <w:r w:rsidR="00DF26E2" w:rsidRPr="001D685D">
        <w:rPr>
          <w:lang w:eastAsia="fr-FR"/>
        </w:rPr>
        <w:t xml:space="preserve"> po</w:t>
      </w:r>
      <w:r w:rsidR="00DF26E2">
        <w:rPr>
          <w:lang w:eastAsia="fr-FR"/>
        </w:rPr>
        <w:t>stérieure à la "Date fin"</w:t>
      </w:r>
      <w:r w:rsidR="009C0314">
        <w:rPr>
          <w:lang w:eastAsia="fr-FR"/>
        </w:rPr>
        <w:t xml:space="preserve"> (ex : facturation à terme échu)</w:t>
      </w:r>
      <w:r w:rsidR="001D685D">
        <w:rPr>
          <w:lang w:eastAsia="fr-FR"/>
        </w:rPr>
        <w:t>, elle n'est pas prise en compte.</w:t>
      </w:r>
    </w:p>
    <w:p w14:paraId="12FE1980" w14:textId="61AE2380" w:rsidR="00994379" w:rsidRDefault="00994379" w:rsidP="007F5F9F">
      <w:pPr>
        <w:pStyle w:val="PuceP"/>
        <w:rPr>
          <w:lang w:eastAsia="fr-FR"/>
        </w:rPr>
      </w:pPr>
      <w:r>
        <w:rPr>
          <w:lang w:eastAsia="fr-FR"/>
        </w:rPr>
        <w:t>Si la date de début ne coïncide pas avec un début de mois, la première période est calculée au prorata temporis.</w:t>
      </w:r>
    </w:p>
    <w:p w14:paraId="7094D5F7" w14:textId="5C837FFF" w:rsidR="00994379" w:rsidRDefault="00994379" w:rsidP="007F5F9F">
      <w:pPr>
        <w:pStyle w:val="PuceP"/>
        <w:rPr>
          <w:lang w:eastAsia="fr-FR"/>
        </w:rPr>
      </w:pPr>
      <w:r>
        <w:rPr>
          <w:lang w:eastAsia="fr-FR"/>
        </w:rPr>
        <w:t>Les</w:t>
      </w:r>
      <w:r w:rsidR="00C84FF9">
        <w:rPr>
          <w:lang w:eastAsia="fr-FR"/>
        </w:rPr>
        <w:t xml:space="preserve"> </w:t>
      </w:r>
      <w:r w:rsidR="00795970">
        <w:rPr>
          <w:lang w:eastAsia="fr-FR"/>
        </w:rPr>
        <w:t>mois suivants sont de même montant (</w:t>
      </w:r>
      <w:r w:rsidR="00FA005E">
        <w:rPr>
          <w:lang w:eastAsia="fr-FR"/>
        </w:rPr>
        <w:t>quel que soit leur nombre de jours).</w:t>
      </w:r>
    </w:p>
    <w:p w14:paraId="363D49CE" w14:textId="56ED067D" w:rsidR="00FA005E" w:rsidRDefault="00FA005E" w:rsidP="007F5F9F">
      <w:pPr>
        <w:pStyle w:val="PuceP"/>
        <w:rPr>
          <w:lang w:eastAsia="fr-FR"/>
        </w:rPr>
      </w:pPr>
      <w:r>
        <w:rPr>
          <w:lang w:eastAsia="fr-FR"/>
        </w:rPr>
        <w:t>Le dernier mois solde les CCA/PCA antérieurs</w:t>
      </w:r>
      <w:r w:rsidR="00550B85">
        <w:rPr>
          <w:lang w:eastAsia="fr-FR"/>
        </w:rPr>
        <w:t xml:space="preserve"> et reprend donc l'arrondi le cas échéant.</w:t>
      </w:r>
    </w:p>
    <w:p w14:paraId="13713E6B" w14:textId="30A05C35" w:rsidR="00FD4576" w:rsidRDefault="00FD4576" w:rsidP="007F5F9F">
      <w:pPr>
        <w:pStyle w:val="PuceP"/>
        <w:rPr>
          <w:lang w:eastAsia="fr-FR"/>
        </w:rPr>
      </w:pPr>
      <w:r>
        <w:rPr>
          <w:lang w:eastAsia="fr-FR"/>
        </w:rPr>
        <w:t>Les imputations comptables et analytiques sont celles de l'écriture d'origine.</w:t>
      </w:r>
    </w:p>
    <w:p w14:paraId="3AEA1806" w14:textId="57A047CF" w:rsidR="0093027D" w:rsidRDefault="0093027D" w:rsidP="007F5F9F">
      <w:pPr>
        <w:pStyle w:val="PuceP"/>
        <w:rPr>
          <w:lang w:eastAsia="fr-FR"/>
        </w:rPr>
      </w:pPr>
      <w:r>
        <w:rPr>
          <w:lang w:eastAsia="fr-FR"/>
        </w:rPr>
        <w:t xml:space="preserve">L'écriture de contrepartie (au compte de </w:t>
      </w:r>
      <w:r w:rsidR="00AD33CB">
        <w:rPr>
          <w:lang w:eastAsia="fr-FR"/>
        </w:rPr>
        <w:t xml:space="preserve">CCA/PCA) est centralisée et </w:t>
      </w:r>
      <w:r w:rsidR="00F047E0">
        <w:rPr>
          <w:lang w:eastAsia="fr-FR"/>
        </w:rPr>
        <w:t>ne reprend donc pas les imputations analytiques.</w:t>
      </w:r>
    </w:p>
    <w:p w14:paraId="3AEFB5BA" w14:textId="2065D19C" w:rsidR="000E6E14" w:rsidRDefault="000E6E14" w:rsidP="007F5F9F">
      <w:pPr>
        <w:pStyle w:val="PuceP"/>
        <w:rPr>
          <w:lang w:eastAsia="fr-FR"/>
        </w:rPr>
      </w:pPr>
      <w:r>
        <w:rPr>
          <w:lang w:eastAsia="fr-FR"/>
        </w:rPr>
        <w:t xml:space="preserve">Cependant, si </w:t>
      </w:r>
      <w:r w:rsidRPr="00F61526">
        <w:rPr>
          <w:lang w:eastAsia="fr-FR"/>
        </w:rPr>
        <w:t xml:space="preserve">l'écriture d'origine </w:t>
      </w:r>
      <w:r w:rsidR="00FC2844" w:rsidRPr="00F61526">
        <w:rPr>
          <w:lang w:eastAsia="fr-FR"/>
        </w:rPr>
        <w:t xml:space="preserve">concerne un partenaire inter-société, </w:t>
      </w:r>
      <w:r w:rsidR="000E2891" w:rsidRPr="00F61526">
        <w:rPr>
          <w:lang w:eastAsia="fr-FR"/>
        </w:rPr>
        <w:t>la contre</w:t>
      </w:r>
      <w:r w:rsidR="000E2891">
        <w:rPr>
          <w:lang w:eastAsia="fr-FR"/>
        </w:rPr>
        <w:t>partie est validée ligne à ligne</w:t>
      </w:r>
      <w:r w:rsidR="00504F1E">
        <w:rPr>
          <w:lang w:eastAsia="fr-FR"/>
        </w:rPr>
        <w:t xml:space="preserve"> (via la colonne "N° compte contrepartie)</w:t>
      </w:r>
      <w:r w:rsidR="005B4E8A">
        <w:rPr>
          <w:lang w:eastAsia="fr-FR"/>
        </w:rPr>
        <w:t xml:space="preserve"> et rattachée à celui-ci ("Code partenaire IC").</w:t>
      </w:r>
    </w:p>
    <w:p w14:paraId="7016A27B" w14:textId="1B2112F9" w:rsidR="005258F0" w:rsidRDefault="005258F0" w:rsidP="009632B3">
      <w:pPr>
        <w:pStyle w:val="Titre4"/>
        <w:rPr>
          <w:lang w:eastAsia="fr-FR"/>
        </w:rPr>
      </w:pPr>
      <w:r>
        <w:rPr>
          <w:lang w:eastAsia="fr-FR"/>
        </w:rPr>
        <w:t>Fonctions connexes</w:t>
      </w:r>
    </w:p>
    <w:tbl>
      <w:tblPr>
        <w:tblW w:w="0" w:type="auto"/>
        <w:tblBorders>
          <w:top w:val="single" w:sz="12" w:space="0" w:color="4BACC6" w:themeColor="accent5"/>
          <w:bottom w:val="single" w:sz="12" w:space="0" w:color="4BACC6" w:themeColor="accent5"/>
          <w:insideH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3250"/>
        <w:gridCol w:w="6954"/>
      </w:tblGrid>
      <w:tr w:rsidR="005258F0" w:rsidRPr="00F63835" w14:paraId="43863910" w14:textId="77777777" w:rsidTr="004E1DCB">
        <w:tc>
          <w:tcPr>
            <w:tcW w:w="3250" w:type="dxa"/>
          </w:tcPr>
          <w:p w14:paraId="6BDE7BE7" w14:textId="1C295E88" w:rsidR="005258F0" w:rsidRPr="00F63835" w:rsidRDefault="005258F0" w:rsidP="004E1DCB">
            <w:r w:rsidRPr="00C85C8A">
              <w:t>Extourne</w:t>
            </w:r>
            <w:r w:rsidR="008F3C98" w:rsidRPr="00C85C8A">
              <w:t xml:space="preserve"> écriture</w:t>
            </w:r>
            <w:r w:rsidR="008F3C98">
              <w:t xml:space="preserve"> origine</w:t>
            </w:r>
          </w:p>
        </w:tc>
        <w:tc>
          <w:tcPr>
            <w:tcW w:w="6954" w:type="dxa"/>
          </w:tcPr>
          <w:p w14:paraId="514447E0" w14:textId="22AB83F9" w:rsidR="00FA320B" w:rsidRPr="00F63835" w:rsidRDefault="00A0531C" w:rsidP="004E1DCB">
            <w:r>
              <w:t>L'extourne reprend également les CCA/PCA correspondantes</w:t>
            </w:r>
            <w:r w:rsidR="00FA320B">
              <w:t xml:space="preserve"> tout en restant liée à l'écriture d'origine.</w:t>
            </w:r>
          </w:p>
        </w:tc>
      </w:tr>
      <w:tr w:rsidR="008F3C98" w:rsidRPr="00F63835" w14:paraId="42DD94B4" w14:textId="77777777" w:rsidTr="004E1DCB">
        <w:tc>
          <w:tcPr>
            <w:tcW w:w="3250" w:type="dxa"/>
          </w:tcPr>
          <w:p w14:paraId="48763F79" w14:textId="4E657765" w:rsidR="008F3C98" w:rsidRDefault="008F3C98" w:rsidP="004E1DCB">
            <w:r>
              <w:t>Extourne écriture CCA/PCA</w:t>
            </w:r>
          </w:p>
        </w:tc>
        <w:tc>
          <w:tcPr>
            <w:tcW w:w="6954" w:type="dxa"/>
          </w:tcPr>
          <w:p w14:paraId="7B6DEB02" w14:textId="24EE2781" w:rsidR="008F3C98" w:rsidRPr="00F63835" w:rsidRDefault="00C85C8A" w:rsidP="004E1DCB">
            <w:r>
              <w:t>Décrémente le montant de CCA/PCA qui sera donc de nouveau proposé lors du prochain calcul.</w:t>
            </w:r>
          </w:p>
        </w:tc>
      </w:tr>
      <w:tr w:rsidR="005258F0" w:rsidRPr="00F63835" w14:paraId="42D02A61" w14:textId="77777777" w:rsidTr="004E1DCB">
        <w:tc>
          <w:tcPr>
            <w:tcW w:w="3250" w:type="dxa"/>
          </w:tcPr>
          <w:p w14:paraId="0F47E8BE" w14:textId="3C5B73F2" w:rsidR="005258F0" w:rsidRPr="00F63835" w:rsidRDefault="00D144CD" w:rsidP="004E1DCB">
            <w:r>
              <w:t>Facture achat/vente</w:t>
            </w:r>
            <w:r w:rsidR="00D06541">
              <w:t xml:space="preserve">, copier document, </w:t>
            </w:r>
            <w:r w:rsidR="003D2E34">
              <w:t>corriger/annuler, archiver</w:t>
            </w:r>
            <w:r w:rsidR="0064512A">
              <w:t>/restaurer</w:t>
            </w:r>
          </w:p>
        </w:tc>
        <w:tc>
          <w:tcPr>
            <w:tcW w:w="6954" w:type="dxa"/>
          </w:tcPr>
          <w:p w14:paraId="58C928CC" w14:textId="77777777" w:rsidR="005258F0" w:rsidRDefault="00AB4468" w:rsidP="004E1DCB">
            <w:r>
              <w:t>Non implémenté à ce jour.</w:t>
            </w:r>
          </w:p>
          <w:p w14:paraId="54B870E7" w14:textId="1CA1032A" w:rsidR="009D05EF" w:rsidRPr="00F63835" w:rsidRDefault="009D05EF" w:rsidP="004E1DCB">
            <w:r>
              <w:t xml:space="preserve">A envisager sur base de la nouvelle méthode de validation (via </w:t>
            </w:r>
            <w:r w:rsidR="00D455D2">
              <w:t>table 49 "</w:t>
            </w:r>
            <w:r>
              <w:t>Invoice</w:t>
            </w:r>
            <w:r w:rsidR="00D455D2">
              <w:t xml:space="preserve"> Posting Buffer" et non table 49 "Inv</w:t>
            </w:r>
            <w:r w:rsidR="00211264">
              <w:t>oice Post. Buffer") pour rupture sur date début/fin.</w:t>
            </w:r>
          </w:p>
        </w:tc>
      </w:tr>
    </w:tbl>
    <w:p w14:paraId="5EE199C5" w14:textId="77777777" w:rsidR="005258F0" w:rsidRPr="005258F0" w:rsidRDefault="005258F0" w:rsidP="005258F0">
      <w:pPr>
        <w:rPr>
          <w:lang w:eastAsia="fr-FR"/>
        </w:rPr>
      </w:pPr>
    </w:p>
    <w:p w14:paraId="2F9DBA89" w14:textId="36442A46" w:rsidR="00C1097D" w:rsidRDefault="00981858" w:rsidP="009632B3">
      <w:pPr>
        <w:pStyle w:val="Titre4"/>
        <w:rPr>
          <w:lang w:eastAsia="fr-FR"/>
        </w:rPr>
      </w:pPr>
      <w:r>
        <w:rPr>
          <w:lang w:eastAsia="fr-FR"/>
        </w:rPr>
        <w:t>Impact sur le m</w:t>
      </w:r>
      <w:r w:rsidR="009632B3">
        <w:rPr>
          <w:lang w:eastAsia="fr-FR"/>
        </w:rPr>
        <w:t>odèle de données</w:t>
      </w:r>
    </w:p>
    <w:p w14:paraId="5ABDF448" w14:textId="0F172195" w:rsidR="009632B3" w:rsidRDefault="009632B3" w:rsidP="009632B3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Lors de la validation, les dates de début/fin sont enregistrées dans une table distincte</w:t>
      </w:r>
      <w:r w:rsidR="000E2A04">
        <w:rPr>
          <w:lang w:eastAsia="fr-FR"/>
        </w:rPr>
        <w:t>,</w:t>
      </w:r>
      <w:r>
        <w:rPr>
          <w:lang w:eastAsia="fr-FR"/>
        </w:rPr>
        <w:t xml:space="preserve"> mais liées à l'écriture comptable concernée</w:t>
      </w:r>
      <w:r w:rsidR="00EE7186">
        <w:rPr>
          <w:lang w:eastAsia="fr-FR"/>
        </w:rPr>
        <w:t xml:space="preserve"> (par le "N° séquence</w:t>
      </w:r>
      <w:r w:rsidR="00CF61CB">
        <w:rPr>
          <w:lang w:eastAsia="fr-FR"/>
        </w:rPr>
        <w:t xml:space="preserve"> </w:t>
      </w:r>
      <w:r w:rsidR="00EE7186">
        <w:rPr>
          <w:lang w:eastAsia="fr-FR"/>
        </w:rPr>
        <w:t>écriture comptable").</w:t>
      </w:r>
    </w:p>
    <w:p w14:paraId="431D4942" w14:textId="19974326" w:rsidR="00381CFB" w:rsidRDefault="00E02CE4" w:rsidP="00E02CE4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La validation des </w:t>
      </w:r>
      <w:r w:rsidR="002D0192">
        <w:rPr>
          <w:lang w:eastAsia="fr-FR"/>
        </w:rPr>
        <w:t xml:space="preserve">lignes de </w:t>
      </w:r>
      <w:r>
        <w:rPr>
          <w:lang w:eastAsia="fr-FR"/>
        </w:rPr>
        <w:t>CCA &amp; PCA enregistre dans cette même table les écritures ainsi liées.</w:t>
      </w:r>
    </w:p>
    <w:p w14:paraId="1F249D94" w14:textId="550EDC83" w:rsidR="009632B3" w:rsidRPr="00C1097D" w:rsidRDefault="00B23215" w:rsidP="00390919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lastRenderedPageBreak/>
        <w:t>Une extension de la table</w:t>
      </w:r>
      <w:r w:rsidR="00981858">
        <w:rPr>
          <w:lang w:eastAsia="fr-FR"/>
        </w:rPr>
        <w:t xml:space="preserve"> </w:t>
      </w:r>
      <w:r>
        <w:rPr>
          <w:lang w:eastAsia="fr-FR"/>
        </w:rPr>
        <w:t xml:space="preserve">des écritures </w:t>
      </w:r>
      <w:r w:rsidR="00981858">
        <w:rPr>
          <w:lang w:eastAsia="fr-FR"/>
        </w:rPr>
        <w:t>comptables</w:t>
      </w:r>
      <w:r>
        <w:rPr>
          <w:lang w:eastAsia="fr-FR"/>
        </w:rPr>
        <w:t xml:space="preserve"> aurait pénalis</w:t>
      </w:r>
      <w:r w:rsidR="00981858">
        <w:rPr>
          <w:lang w:eastAsia="fr-FR"/>
        </w:rPr>
        <w:t>é</w:t>
      </w:r>
      <w:r>
        <w:rPr>
          <w:lang w:eastAsia="fr-FR"/>
        </w:rPr>
        <w:t xml:space="preserve"> toutes les autres requêtes sur cette</w:t>
      </w:r>
      <w:r w:rsidR="00981858">
        <w:rPr>
          <w:lang w:eastAsia="fr-FR"/>
        </w:rPr>
        <w:t xml:space="preserve"> dernière (du fait d'une jointure sauf à </w:t>
      </w:r>
      <w:r w:rsidR="002D0192">
        <w:rPr>
          <w:lang w:eastAsia="fr-FR"/>
        </w:rPr>
        <w:t>utiliser</w:t>
      </w:r>
      <w:r w:rsidR="00C41F90">
        <w:rPr>
          <w:lang w:eastAsia="fr-FR"/>
        </w:rPr>
        <w:t xml:space="preserve"> explicitement </w:t>
      </w:r>
      <w:r w:rsidR="002D0192">
        <w:rPr>
          <w:lang w:eastAsia="fr-FR"/>
        </w:rPr>
        <w:t>l'instruction</w:t>
      </w:r>
      <w:r w:rsidR="00C41F90">
        <w:rPr>
          <w:lang w:eastAsia="fr-FR"/>
        </w:rPr>
        <w:t xml:space="preserve"> </w:t>
      </w:r>
      <w:r w:rsidR="00562007">
        <w:rPr>
          <w:lang w:eastAsia="fr-FR"/>
        </w:rPr>
        <w:t>SetLoadFields</w:t>
      </w:r>
      <w:r w:rsidR="0086335E">
        <w:rPr>
          <w:lang w:eastAsia="fr-FR"/>
        </w:rPr>
        <w:t>)</w:t>
      </w:r>
      <w:r w:rsidR="007B7915">
        <w:rPr>
          <w:lang w:eastAsia="fr-FR"/>
        </w:rPr>
        <w:t xml:space="preserve">, et une clé supplémentaire aurait été nécessaire </w:t>
      </w:r>
      <w:r w:rsidR="00E149E3">
        <w:rPr>
          <w:lang w:eastAsia="fr-FR"/>
        </w:rPr>
        <w:t>pour optimiser le traitement "Proposer CCA &amp; PCA"</w:t>
      </w:r>
      <w:r w:rsidR="00D62FD0">
        <w:rPr>
          <w:lang w:eastAsia="fr-FR"/>
        </w:rPr>
        <w:t>.</w:t>
      </w:r>
    </w:p>
    <w:sectPr w:rsidR="009632B3" w:rsidRPr="00C1097D" w:rsidSect="00D81CBC">
      <w:headerReference w:type="even" r:id="rId20"/>
      <w:headerReference w:type="default" r:id="rId21"/>
      <w:headerReference w:type="first" r:id="rId22"/>
      <w:footerReference w:type="first" r:id="rId23"/>
      <w:pgSz w:w="11906" w:h="16838" w:code="9"/>
      <w:pgMar w:top="851" w:right="567" w:bottom="567" w:left="851" w:header="340" w:footer="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151F" w14:textId="77777777" w:rsidR="00034793" w:rsidRDefault="00034793" w:rsidP="007C0E57">
      <w:pPr>
        <w:spacing w:after="0" w:line="240" w:lineRule="auto"/>
      </w:pPr>
      <w:r>
        <w:separator/>
      </w:r>
    </w:p>
  </w:endnote>
  <w:endnote w:type="continuationSeparator" w:id="0">
    <w:p w14:paraId="2F7BCA21" w14:textId="77777777" w:rsidR="00034793" w:rsidRDefault="00034793" w:rsidP="007C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1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4252"/>
      <w:gridCol w:w="2552"/>
      <w:gridCol w:w="2054"/>
    </w:tblGrid>
    <w:tr w:rsidR="00757703" w14:paraId="41CAC633" w14:textId="77777777" w:rsidTr="006E49DE">
      <w:trPr>
        <w:cantSplit/>
        <w:trHeight w:val="454"/>
      </w:trPr>
      <w:tc>
        <w:tcPr>
          <w:tcW w:w="1560" w:type="dxa"/>
          <w:shd w:val="clear" w:color="auto" w:fill="auto"/>
          <w:vAlign w:val="center"/>
        </w:tcPr>
        <w:p w14:paraId="2A5D9DF3" w14:textId="77777777" w:rsidR="00757703" w:rsidRPr="000821D4" w:rsidRDefault="008C0017" w:rsidP="00991A9A">
          <w:r>
            <w:t>Document</w:t>
          </w:r>
        </w:p>
      </w:tc>
      <w:tc>
        <w:tcPr>
          <w:tcW w:w="4252" w:type="dxa"/>
          <w:shd w:val="clear" w:color="auto" w:fill="auto"/>
          <w:vAlign w:val="center"/>
        </w:tcPr>
        <w:p w14:paraId="64812CF8" w14:textId="77777777" w:rsidR="00757703" w:rsidRDefault="00533104" w:rsidP="00991A9A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D62ED0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2552" w:type="dxa"/>
          <w:shd w:val="clear" w:color="auto" w:fill="auto"/>
          <w:vAlign w:val="center"/>
        </w:tcPr>
        <w:p w14:paraId="4AA7210D" w14:textId="77777777" w:rsidR="00757703" w:rsidRPr="000821D4" w:rsidRDefault="008C0017" w:rsidP="00991A9A">
          <w:r w:rsidRPr="000821D4">
            <w:t xml:space="preserve">Date </w:t>
          </w:r>
          <w:r>
            <w:t>d'enregistrement</w:t>
          </w:r>
        </w:p>
      </w:tc>
      <w:tc>
        <w:tcPr>
          <w:tcW w:w="2054" w:type="dxa"/>
          <w:shd w:val="clear" w:color="auto" w:fill="auto"/>
          <w:vAlign w:val="center"/>
        </w:tcPr>
        <w:p w14:paraId="08ABCC56" w14:textId="4EAB1211" w:rsidR="00757703" w:rsidRDefault="00357D86" w:rsidP="00991A9A">
          <w:r>
            <w:fldChar w:fldCharType="begin"/>
          </w:r>
          <w:r w:rsidR="008C0017">
            <w:instrText xml:space="preserve"> SAVEDATE  \@ "d MMMM yyyy"  \* MERGEFORMAT </w:instrText>
          </w:r>
          <w:r>
            <w:fldChar w:fldCharType="separate"/>
          </w:r>
          <w:r w:rsidR="00286D8B">
            <w:rPr>
              <w:noProof/>
            </w:rPr>
            <w:t>30 décembre 2022</w:t>
          </w:r>
          <w:r>
            <w:fldChar w:fldCharType="end"/>
          </w:r>
        </w:p>
      </w:tc>
    </w:tr>
    <w:tr w:rsidR="00757703" w14:paraId="5A2E7D06" w14:textId="77777777" w:rsidTr="006E49DE">
      <w:trPr>
        <w:cantSplit/>
        <w:trHeight w:val="454"/>
      </w:trPr>
      <w:tc>
        <w:tcPr>
          <w:tcW w:w="1560" w:type="dxa"/>
          <w:shd w:val="clear" w:color="auto" w:fill="auto"/>
          <w:vAlign w:val="center"/>
        </w:tcPr>
        <w:p w14:paraId="1B226CE5" w14:textId="77777777" w:rsidR="00757703" w:rsidRPr="000821D4" w:rsidRDefault="008C0017" w:rsidP="00991A9A">
          <w:r>
            <w:t xml:space="preserve">Catégorie </w:t>
          </w:r>
        </w:p>
      </w:tc>
      <w:tc>
        <w:tcPr>
          <w:tcW w:w="4252" w:type="dxa"/>
          <w:shd w:val="clear" w:color="auto" w:fill="auto"/>
          <w:vAlign w:val="center"/>
        </w:tcPr>
        <w:p w14:paraId="12B842EB" w14:textId="77777777" w:rsidR="00757703" w:rsidRDefault="00D76CEC" w:rsidP="00991A9A">
          <w:r>
            <w:fldChar w:fldCharType="begin"/>
          </w:r>
          <w:r>
            <w:instrText xml:space="preserve"> DOCPROPERTY  Category  \* MERGEFORMAT </w:instrText>
          </w:r>
          <w:r>
            <w:fldChar w:fldCharType="separate"/>
          </w:r>
          <w:r w:rsidR="00D62ED0">
            <w:t>&lt;Catégorie&gt;</w:t>
          </w:r>
          <w:r>
            <w:fldChar w:fldCharType="end"/>
          </w:r>
        </w:p>
      </w:tc>
      <w:tc>
        <w:tcPr>
          <w:tcW w:w="2552" w:type="dxa"/>
          <w:shd w:val="clear" w:color="auto" w:fill="auto"/>
          <w:vAlign w:val="center"/>
        </w:tcPr>
        <w:p w14:paraId="41EBEDEA" w14:textId="77777777" w:rsidR="00757703" w:rsidRPr="000821D4" w:rsidRDefault="008C0017" w:rsidP="00991A9A">
          <w:r>
            <w:t>Projet</w:t>
          </w:r>
        </w:p>
      </w:tc>
      <w:tc>
        <w:tcPr>
          <w:tcW w:w="2054" w:type="dxa"/>
          <w:shd w:val="clear" w:color="auto" w:fill="auto"/>
          <w:vAlign w:val="center"/>
        </w:tcPr>
        <w:p w14:paraId="1312FADC" w14:textId="77777777" w:rsidR="00757703" w:rsidRDefault="00D76CEC" w:rsidP="006E49DE"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D62ED0">
            <w:t>&lt;Objet&gt;</w:t>
          </w:r>
          <w:r>
            <w:fldChar w:fldCharType="end"/>
          </w:r>
        </w:p>
      </w:tc>
    </w:tr>
  </w:tbl>
  <w:p w14:paraId="447F2460" w14:textId="77777777" w:rsidR="00757703" w:rsidRDefault="00D76C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65B3" w14:textId="77777777" w:rsidR="00034793" w:rsidRDefault="00034793" w:rsidP="007C0E57">
      <w:pPr>
        <w:spacing w:after="0" w:line="240" w:lineRule="auto"/>
      </w:pPr>
      <w:r>
        <w:separator/>
      </w:r>
    </w:p>
  </w:footnote>
  <w:footnote w:type="continuationSeparator" w:id="0">
    <w:p w14:paraId="490AE579" w14:textId="77777777" w:rsidR="00034793" w:rsidRDefault="00034793" w:rsidP="007C0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FAF1" w14:textId="77777777" w:rsidR="00757703" w:rsidRPr="00CF3CAC" w:rsidRDefault="00D62ED0" w:rsidP="00CF3CAC">
    <w:pPr>
      <w:pStyle w:val="En-tte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3588420" wp14:editId="35D1A60E">
              <wp:simplePos x="0" y="0"/>
              <wp:positionH relativeFrom="page">
                <wp:posOffset>1270</wp:posOffset>
              </wp:positionH>
              <wp:positionV relativeFrom="page">
                <wp:posOffset>157480</wp:posOffset>
              </wp:positionV>
              <wp:extent cx="537210" cy="281305"/>
              <wp:effectExtent l="1270" t="0" r="444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2813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3D4FD" w14:textId="77777777" w:rsidR="00757703" w:rsidRPr="00E24B4B" w:rsidRDefault="00357D86" w:rsidP="00006845">
                          <w:pPr>
                            <w:spacing w:before="12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 w:rsidR="008C001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C0017" w:rsidRPr="00B818E5">
                            <w:rPr>
                              <w:noProof/>
                              <w:color w:val="FFFFFF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884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.1pt;margin-top:12.4pt;width:42.3pt;height:22.15pt;z-index:25166131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" o:allowincell="f" fillcolor="#4f81bd" stroked="f">
              <v:textbox inset=",0,,0">
                <w:txbxContent>
                  <w:p w14:paraId="5E53D4FD" w14:textId="77777777" w:rsidR="00757703" w:rsidRPr="00E24B4B" w:rsidRDefault="00357D86" w:rsidP="00006845">
                    <w:pPr>
                      <w:spacing w:before="120"/>
                      <w:jc w:val="center"/>
                      <w:rPr>
                        <w:color w:val="FFFFFF"/>
                      </w:rPr>
                    </w:pPr>
                    <w:r>
                      <w:fldChar w:fldCharType="begin"/>
                    </w:r>
                    <w:r w:rsidR="008C0017">
                      <w:instrText xml:space="preserve"> PAGE   \* MERGEFORMAT </w:instrText>
                    </w:r>
                    <w:r>
                      <w:fldChar w:fldCharType="separate"/>
                    </w:r>
                    <w:r w:rsidR="008C0017" w:rsidRPr="00B818E5">
                      <w:rPr>
                        <w:noProof/>
                        <w:color w:val="FFFFFF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57D86">
      <w:fldChar w:fldCharType="begin"/>
    </w:r>
    <w:r w:rsidR="006340F2">
      <w:instrText xml:space="preserve"> TITLE   \* MERGEFORMAT </w:instrText>
    </w:r>
    <w:r w:rsidR="00357D86">
      <w:fldChar w:fldCharType="separate"/>
    </w:r>
    <w:r>
      <w:t>&lt;Titre&gt;</w:t>
    </w:r>
    <w:r w:rsidR="00357D86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503943"/>
      <w:docPartObj>
        <w:docPartGallery w:val="Page Numbers (Top of Page)"/>
        <w:docPartUnique/>
      </w:docPartObj>
    </w:sdtPr>
    <w:sdtEndPr/>
    <w:sdtContent>
      <w:p w14:paraId="7DF5E59F" w14:textId="6ADF83FE" w:rsidR="00757703" w:rsidRDefault="00D76CEC" w:rsidP="00D81CBC">
        <w:pPr>
          <w:pStyle w:val="En-tte"/>
          <w:tabs>
            <w:tab w:val="clear" w:pos="10206"/>
            <w:tab w:val="right" w:pos="10204"/>
          </w:tabs>
        </w:pPr>
        <w:sdt>
          <w:sdtPr>
            <w:alias w:val="Titre "/>
            <w:tag w:val=""/>
            <w:id w:val="182173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4745B3">
              <w:t>WanaClose</w:t>
            </w:r>
          </w:sdtContent>
        </w:sdt>
        <w:r w:rsidR="00D44DEC">
          <w:tab/>
        </w:r>
        <w:r w:rsidR="00D44DEC">
          <w:tab/>
        </w:r>
        <w:r w:rsidR="00D81CBC">
          <w:fldChar w:fldCharType="begin"/>
        </w:r>
        <w:r w:rsidR="00D81CBC">
          <w:instrText>PAGE   \* MERGEFORMAT</w:instrText>
        </w:r>
        <w:r w:rsidR="00D81CBC">
          <w:fldChar w:fldCharType="separate"/>
        </w:r>
        <w:r w:rsidR="00D81CBC">
          <w:t>1</w:t>
        </w:r>
        <w:r w:rsidR="00D81CBC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2D6E" w14:textId="77777777" w:rsidR="00D81CBC" w:rsidRDefault="00D81CBC" w:rsidP="00D81CBC">
    <w:pPr>
      <w:pStyle w:val="En-tte"/>
      <w:jc w:val="center"/>
    </w:pPr>
    <w:r>
      <w:rPr>
        <w:noProof/>
        <w:szCs w:val="18"/>
      </w:rPr>
      <w:drawing>
        <wp:inline distT="0" distB="0" distL="0" distR="0" wp14:anchorId="46DC262D" wp14:editId="06B163F1">
          <wp:extent cx="607326" cy="584067"/>
          <wp:effectExtent l="0" t="0" r="0" b="0"/>
          <wp:docPr id="203" name="Image 203" descr="Une image contenant dessi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dessin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594" cy="594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28A7FB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19FE"/>
    <w:multiLevelType w:val="hybridMultilevel"/>
    <w:tmpl w:val="392EF3A2"/>
    <w:lvl w:ilvl="0" w:tplc="3E7A487A">
      <w:start w:val="1"/>
      <w:numFmt w:val="bullet"/>
      <w:pStyle w:val="Pu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54A6C"/>
    <w:multiLevelType w:val="singleLevel"/>
    <w:tmpl w:val="E00476A2"/>
    <w:lvl w:ilvl="0">
      <w:start w:val="1"/>
      <w:numFmt w:val="bullet"/>
      <w:pStyle w:val="Puce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65D43C9"/>
    <w:multiLevelType w:val="hybridMultilevel"/>
    <w:tmpl w:val="A69E77F4"/>
    <w:lvl w:ilvl="0" w:tplc="8F0AE36A">
      <w:start w:val="1"/>
      <w:numFmt w:val="bullet"/>
      <w:pStyle w:val="PuceP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2C5CD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873ED"/>
    <w:multiLevelType w:val="multilevel"/>
    <w:tmpl w:val="D466EAF8"/>
    <w:lvl w:ilvl="0">
      <w:start w:val="1"/>
      <w:numFmt w:val="decimal"/>
      <w:pStyle w:val="Titre1"/>
      <w:lvlText w:val="%1."/>
      <w:lvlJc w:val="left"/>
      <w:pPr>
        <w:tabs>
          <w:tab w:val="num" w:pos="501"/>
        </w:tabs>
        <w:ind w:left="501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4AB2A05"/>
    <w:multiLevelType w:val="hybridMultilevel"/>
    <w:tmpl w:val="7990E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7223"/>
    <w:multiLevelType w:val="hybridMultilevel"/>
    <w:tmpl w:val="F7DAF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B0D4C"/>
    <w:multiLevelType w:val="hybridMultilevel"/>
    <w:tmpl w:val="A21A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336657">
    <w:abstractNumId w:val="4"/>
  </w:num>
  <w:num w:numId="2" w16cid:durableId="1123769379">
    <w:abstractNumId w:val="2"/>
  </w:num>
  <w:num w:numId="3" w16cid:durableId="722561593">
    <w:abstractNumId w:val="3"/>
  </w:num>
  <w:num w:numId="4" w16cid:durableId="745030890">
    <w:abstractNumId w:val="6"/>
  </w:num>
  <w:num w:numId="5" w16cid:durableId="1529176572">
    <w:abstractNumId w:val="7"/>
  </w:num>
  <w:num w:numId="6" w16cid:durableId="399984617">
    <w:abstractNumId w:val="5"/>
  </w:num>
  <w:num w:numId="7" w16cid:durableId="1427069409">
    <w:abstractNumId w:val="1"/>
  </w:num>
  <w:num w:numId="8" w16cid:durableId="1167789195">
    <w:abstractNumId w:val="3"/>
  </w:num>
  <w:num w:numId="9" w16cid:durableId="1296566141">
    <w:abstractNumId w:val="3"/>
  </w:num>
  <w:num w:numId="10" w16cid:durableId="1583366334">
    <w:abstractNumId w:val="3"/>
  </w:num>
  <w:num w:numId="11" w16cid:durableId="371880738">
    <w:abstractNumId w:val="3"/>
  </w:num>
  <w:num w:numId="12" w16cid:durableId="215704663">
    <w:abstractNumId w:val="3"/>
  </w:num>
  <w:num w:numId="13" w16cid:durableId="1372917730">
    <w:abstractNumId w:val="4"/>
  </w:num>
  <w:num w:numId="14" w16cid:durableId="1680036926">
    <w:abstractNumId w:val="4"/>
  </w:num>
  <w:num w:numId="15" w16cid:durableId="125588418">
    <w:abstractNumId w:val="2"/>
  </w:num>
  <w:num w:numId="16" w16cid:durableId="781073222">
    <w:abstractNumId w:val="3"/>
  </w:num>
  <w:num w:numId="17" w16cid:durableId="851408539">
    <w:abstractNumId w:val="1"/>
  </w:num>
  <w:num w:numId="18" w16cid:durableId="10885984">
    <w:abstractNumId w:val="4"/>
  </w:num>
  <w:num w:numId="19" w16cid:durableId="2081559140">
    <w:abstractNumId w:val="4"/>
  </w:num>
  <w:num w:numId="20" w16cid:durableId="334693081">
    <w:abstractNumId w:val="4"/>
  </w:num>
  <w:num w:numId="21" w16cid:durableId="1631009391">
    <w:abstractNumId w:val="4"/>
  </w:num>
  <w:num w:numId="22" w16cid:durableId="1581984513">
    <w:abstractNumId w:val="4"/>
  </w:num>
  <w:num w:numId="23" w16cid:durableId="1615625181">
    <w:abstractNumId w:val="3"/>
  </w:num>
  <w:num w:numId="24" w16cid:durableId="12039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25"/>
    <w:rsid w:val="00005864"/>
    <w:rsid w:val="00022AD8"/>
    <w:rsid w:val="00034793"/>
    <w:rsid w:val="00050DE8"/>
    <w:rsid w:val="000510CD"/>
    <w:rsid w:val="00052A86"/>
    <w:rsid w:val="00075DBB"/>
    <w:rsid w:val="00080076"/>
    <w:rsid w:val="0009115E"/>
    <w:rsid w:val="000E217F"/>
    <w:rsid w:val="000E2891"/>
    <w:rsid w:val="000E2A04"/>
    <w:rsid w:val="000E6E14"/>
    <w:rsid w:val="00105463"/>
    <w:rsid w:val="00106E8F"/>
    <w:rsid w:val="00125415"/>
    <w:rsid w:val="001255C0"/>
    <w:rsid w:val="00132282"/>
    <w:rsid w:val="0014180A"/>
    <w:rsid w:val="00150C7A"/>
    <w:rsid w:val="00154DF0"/>
    <w:rsid w:val="00161E53"/>
    <w:rsid w:val="00162AA5"/>
    <w:rsid w:val="00166927"/>
    <w:rsid w:val="001A4D67"/>
    <w:rsid w:val="001A4E06"/>
    <w:rsid w:val="001A77F8"/>
    <w:rsid w:val="001B7F23"/>
    <w:rsid w:val="001D685D"/>
    <w:rsid w:val="001D76D2"/>
    <w:rsid w:val="001F3DC7"/>
    <w:rsid w:val="001F4481"/>
    <w:rsid w:val="00204D8D"/>
    <w:rsid w:val="00211264"/>
    <w:rsid w:val="00213293"/>
    <w:rsid w:val="00214ED2"/>
    <w:rsid w:val="002265AF"/>
    <w:rsid w:val="00232DB8"/>
    <w:rsid w:val="002509D4"/>
    <w:rsid w:val="00252DC6"/>
    <w:rsid w:val="00255191"/>
    <w:rsid w:val="002622FA"/>
    <w:rsid w:val="00275166"/>
    <w:rsid w:val="002801DC"/>
    <w:rsid w:val="00286D8B"/>
    <w:rsid w:val="002A0273"/>
    <w:rsid w:val="002C3475"/>
    <w:rsid w:val="002D0192"/>
    <w:rsid w:val="002D1842"/>
    <w:rsid w:val="002D4EEE"/>
    <w:rsid w:val="00303CFE"/>
    <w:rsid w:val="00305CAE"/>
    <w:rsid w:val="00307CE1"/>
    <w:rsid w:val="00317BE8"/>
    <w:rsid w:val="0033229A"/>
    <w:rsid w:val="003357EC"/>
    <w:rsid w:val="003408D5"/>
    <w:rsid w:val="00341D5C"/>
    <w:rsid w:val="00345CB0"/>
    <w:rsid w:val="003551B4"/>
    <w:rsid w:val="00355C05"/>
    <w:rsid w:val="00357D86"/>
    <w:rsid w:val="00377943"/>
    <w:rsid w:val="00381CFB"/>
    <w:rsid w:val="00390919"/>
    <w:rsid w:val="00394AFD"/>
    <w:rsid w:val="003A6F4D"/>
    <w:rsid w:val="003D227E"/>
    <w:rsid w:val="003D2E34"/>
    <w:rsid w:val="003D7E57"/>
    <w:rsid w:val="003E051E"/>
    <w:rsid w:val="003F0692"/>
    <w:rsid w:val="00407A56"/>
    <w:rsid w:val="004237CD"/>
    <w:rsid w:val="00425D30"/>
    <w:rsid w:val="00426171"/>
    <w:rsid w:val="00432AD1"/>
    <w:rsid w:val="00435684"/>
    <w:rsid w:val="00436437"/>
    <w:rsid w:val="00455BA8"/>
    <w:rsid w:val="00455E4C"/>
    <w:rsid w:val="004745B3"/>
    <w:rsid w:val="00476892"/>
    <w:rsid w:val="00481364"/>
    <w:rsid w:val="004A4ECF"/>
    <w:rsid w:val="004B3542"/>
    <w:rsid w:val="004C793A"/>
    <w:rsid w:val="004F4E29"/>
    <w:rsid w:val="00504F1E"/>
    <w:rsid w:val="0051058F"/>
    <w:rsid w:val="005258F0"/>
    <w:rsid w:val="00533104"/>
    <w:rsid w:val="00537651"/>
    <w:rsid w:val="0054360A"/>
    <w:rsid w:val="00543E1A"/>
    <w:rsid w:val="00550B85"/>
    <w:rsid w:val="00557EFD"/>
    <w:rsid w:val="00562007"/>
    <w:rsid w:val="00570B01"/>
    <w:rsid w:val="0058319A"/>
    <w:rsid w:val="005861CD"/>
    <w:rsid w:val="005978E6"/>
    <w:rsid w:val="005A0E18"/>
    <w:rsid w:val="005A1577"/>
    <w:rsid w:val="005A17A7"/>
    <w:rsid w:val="005A1D3C"/>
    <w:rsid w:val="005B1983"/>
    <w:rsid w:val="005B2763"/>
    <w:rsid w:val="005B3C9D"/>
    <w:rsid w:val="005B458C"/>
    <w:rsid w:val="005B4E8A"/>
    <w:rsid w:val="005C07CB"/>
    <w:rsid w:val="005D0847"/>
    <w:rsid w:val="005D7AF0"/>
    <w:rsid w:val="005E0FBA"/>
    <w:rsid w:val="005E1009"/>
    <w:rsid w:val="005F748E"/>
    <w:rsid w:val="00601F6D"/>
    <w:rsid w:val="00603374"/>
    <w:rsid w:val="006040BF"/>
    <w:rsid w:val="006108A6"/>
    <w:rsid w:val="006329B2"/>
    <w:rsid w:val="006340F2"/>
    <w:rsid w:val="00637BBD"/>
    <w:rsid w:val="00644233"/>
    <w:rsid w:val="0064512A"/>
    <w:rsid w:val="00653741"/>
    <w:rsid w:val="0065670F"/>
    <w:rsid w:val="00680CA6"/>
    <w:rsid w:val="00693777"/>
    <w:rsid w:val="006B13D3"/>
    <w:rsid w:val="006B3487"/>
    <w:rsid w:val="006B4E4E"/>
    <w:rsid w:val="006B5DB2"/>
    <w:rsid w:val="006C7FF0"/>
    <w:rsid w:val="0070019C"/>
    <w:rsid w:val="007144C2"/>
    <w:rsid w:val="0071589F"/>
    <w:rsid w:val="0072393C"/>
    <w:rsid w:val="00727B1A"/>
    <w:rsid w:val="007329D9"/>
    <w:rsid w:val="0073536A"/>
    <w:rsid w:val="00743E52"/>
    <w:rsid w:val="0074511C"/>
    <w:rsid w:val="00747EA5"/>
    <w:rsid w:val="00764B40"/>
    <w:rsid w:val="00772DFC"/>
    <w:rsid w:val="0077425C"/>
    <w:rsid w:val="00795970"/>
    <w:rsid w:val="007A207A"/>
    <w:rsid w:val="007A51C7"/>
    <w:rsid w:val="007A7226"/>
    <w:rsid w:val="007B7915"/>
    <w:rsid w:val="007C0E57"/>
    <w:rsid w:val="007C22EF"/>
    <w:rsid w:val="007E2ED1"/>
    <w:rsid w:val="007F247B"/>
    <w:rsid w:val="007F5F9F"/>
    <w:rsid w:val="007F6C8A"/>
    <w:rsid w:val="0080029D"/>
    <w:rsid w:val="0081753E"/>
    <w:rsid w:val="008201D0"/>
    <w:rsid w:val="008214C5"/>
    <w:rsid w:val="00835E14"/>
    <w:rsid w:val="00845659"/>
    <w:rsid w:val="0086335E"/>
    <w:rsid w:val="00870DDE"/>
    <w:rsid w:val="00884551"/>
    <w:rsid w:val="00893196"/>
    <w:rsid w:val="008B6729"/>
    <w:rsid w:val="008C0017"/>
    <w:rsid w:val="008C216B"/>
    <w:rsid w:val="008D78EA"/>
    <w:rsid w:val="008F1937"/>
    <w:rsid w:val="008F3BDD"/>
    <w:rsid w:val="008F3C98"/>
    <w:rsid w:val="008F6FB7"/>
    <w:rsid w:val="0093027D"/>
    <w:rsid w:val="00937E5E"/>
    <w:rsid w:val="0094125A"/>
    <w:rsid w:val="00942133"/>
    <w:rsid w:val="009427B3"/>
    <w:rsid w:val="009632B3"/>
    <w:rsid w:val="009676AB"/>
    <w:rsid w:val="009704B5"/>
    <w:rsid w:val="00976232"/>
    <w:rsid w:val="00977AE2"/>
    <w:rsid w:val="00981858"/>
    <w:rsid w:val="0098224C"/>
    <w:rsid w:val="00994379"/>
    <w:rsid w:val="00996844"/>
    <w:rsid w:val="009A7F36"/>
    <w:rsid w:val="009B0B5E"/>
    <w:rsid w:val="009B1176"/>
    <w:rsid w:val="009B12C9"/>
    <w:rsid w:val="009B350C"/>
    <w:rsid w:val="009C0314"/>
    <w:rsid w:val="009C112C"/>
    <w:rsid w:val="009C382C"/>
    <w:rsid w:val="009D05EF"/>
    <w:rsid w:val="009F5FC0"/>
    <w:rsid w:val="00A015AE"/>
    <w:rsid w:val="00A04A3F"/>
    <w:rsid w:val="00A0531C"/>
    <w:rsid w:val="00A06EE8"/>
    <w:rsid w:val="00A160BB"/>
    <w:rsid w:val="00A22AFE"/>
    <w:rsid w:val="00A32325"/>
    <w:rsid w:val="00A42E24"/>
    <w:rsid w:val="00A62076"/>
    <w:rsid w:val="00A81EB0"/>
    <w:rsid w:val="00A82330"/>
    <w:rsid w:val="00A82D01"/>
    <w:rsid w:val="00A93615"/>
    <w:rsid w:val="00AA2368"/>
    <w:rsid w:val="00AA48C8"/>
    <w:rsid w:val="00AA4CDD"/>
    <w:rsid w:val="00AA5138"/>
    <w:rsid w:val="00AB4468"/>
    <w:rsid w:val="00AC1AC3"/>
    <w:rsid w:val="00AD225D"/>
    <w:rsid w:val="00AD33CB"/>
    <w:rsid w:val="00AD5FB0"/>
    <w:rsid w:val="00AE15DD"/>
    <w:rsid w:val="00AE3133"/>
    <w:rsid w:val="00AE566F"/>
    <w:rsid w:val="00AE6AD3"/>
    <w:rsid w:val="00AF23A0"/>
    <w:rsid w:val="00AF3870"/>
    <w:rsid w:val="00B02D93"/>
    <w:rsid w:val="00B1041E"/>
    <w:rsid w:val="00B113C7"/>
    <w:rsid w:val="00B16044"/>
    <w:rsid w:val="00B23215"/>
    <w:rsid w:val="00B23491"/>
    <w:rsid w:val="00B3523B"/>
    <w:rsid w:val="00B561EB"/>
    <w:rsid w:val="00B615DB"/>
    <w:rsid w:val="00B67A82"/>
    <w:rsid w:val="00B739C4"/>
    <w:rsid w:val="00B74723"/>
    <w:rsid w:val="00B747B6"/>
    <w:rsid w:val="00B83DF1"/>
    <w:rsid w:val="00B87C01"/>
    <w:rsid w:val="00BB581B"/>
    <w:rsid w:val="00BB7183"/>
    <w:rsid w:val="00BD52D0"/>
    <w:rsid w:val="00BD5508"/>
    <w:rsid w:val="00BD6502"/>
    <w:rsid w:val="00BE3EEB"/>
    <w:rsid w:val="00BF1CC1"/>
    <w:rsid w:val="00BF7827"/>
    <w:rsid w:val="00C0672B"/>
    <w:rsid w:val="00C1097D"/>
    <w:rsid w:val="00C1282B"/>
    <w:rsid w:val="00C327E2"/>
    <w:rsid w:val="00C34631"/>
    <w:rsid w:val="00C41F90"/>
    <w:rsid w:val="00C42CD0"/>
    <w:rsid w:val="00C565FD"/>
    <w:rsid w:val="00C57519"/>
    <w:rsid w:val="00C60B36"/>
    <w:rsid w:val="00C628E2"/>
    <w:rsid w:val="00C81E2E"/>
    <w:rsid w:val="00C84FF9"/>
    <w:rsid w:val="00C85C8A"/>
    <w:rsid w:val="00C9450C"/>
    <w:rsid w:val="00C948D5"/>
    <w:rsid w:val="00CA251C"/>
    <w:rsid w:val="00CB0BD3"/>
    <w:rsid w:val="00CE153D"/>
    <w:rsid w:val="00CE2627"/>
    <w:rsid w:val="00CE535B"/>
    <w:rsid w:val="00CF13FC"/>
    <w:rsid w:val="00CF61CB"/>
    <w:rsid w:val="00D045CA"/>
    <w:rsid w:val="00D06541"/>
    <w:rsid w:val="00D144CD"/>
    <w:rsid w:val="00D44DEC"/>
    <w:rsid w:val="00D455D2"/>
    <w:rsid w:val="00D51B3A"/>
    <w:rsid w:val="00D570D7"/>
    <w:rsid w:val="00D62714"/>
    <w:rsid w:val="00D62ED0"/>
    <w:rsid w:val="00D62FD0"/>
    <w:rsid w:val="00D76CEC"/>
    <w:rsid w:val="00D81951"/>
    <w:rsid w:val="00D81CBC"/>
    <w:rsid w:val="00D833BB"/>
    <w:rsid w:val="00D86E5E"/>
    <w:rsid w:val="00DA5F24"/>
    <w:rsid w:val="00DA690B"/>
    <w:rsid w:val="00DB1431"/>
    <w:rsid w:val="00DB6E4F"/>
    <w:rsid w:val="00DC1467"/>
    <w:rsid w:val="00DC386B"/>
    <w:rsid w:val="00DD0763"/>
    <w:rsid w:val="00DD7287"/>
    <w:rsid w:val="00DE3EA1"/>
    <w:rsid w:val="00DE45BD"/>
    <w:rsid w:val="00DF1534"/>
    <w:rsid w:val="00DF26E2"/>
    <w:rsid w:val="00E02CE4"/>
    <w:rsid w:val="00E10A16"/>
    <w:rsid w:val="00E149E3"/>
    <w:rsid w:val="00E15AD9"/>
    <w:rsid w:val="00E2594E"/>
    <w:rsid w:val="00E3130E"/>
    <w:rsid w:val="00E3574A"/>
    <w:rsid w:val="00E56F1B"/>
    <w:rsid w:val="00E576D5"/>
    <w:rsid w:val="00E647AE"/>
    <w:rsid w:val="00E87B21"/>
    <w:rsid w:val="00EA7CC3"/>
    <w:rsid w:val="00EB0A30"/>
    <w:rsid w:val="00EC060B"/>
    <w:rsid w:val="00EC0677"/>
    <w:rsid w:val="00EC6255"/>
    <w:rsid w:val="00EC6E53"/>
    <w:rsid w:val="00ED3BF7"/>
    <w:rsid w:val="00ED6BFF"/>
    <w:rsid w:val="00EE0F71"/>
    <w:rsid w:val="00EE36E4"/>
    <w:rsid w:val="00EE7186"/>
    <w:rsid w:val="00EF1FB0"/>
    <w:rsid w:val="00F043DF"/>
    <w:rsid w:val="00F047E0"/>
    <w:rsid w:val="00F145D3"/>
    <w:rsid w:val="00F1566B"/>
    <w:rsid w:val="00F20695"/>
    <w:rsid w:val="00F2532C"/>
    <w:rsid w:val="00F4119D"/>
    <w:rsid w:val="00F42416"/>
    <w:rsid w:val="00F61526"/>
    <w:rsid w:val="00F7041F"/>
    <w:rsid w:val="00F71302"/>
    <w:rsid w:val="00F8108F"/>
    <w:rsid w:val="00FA005E"/>
    <w:rsid w:val="00FA320B"/>
    <w:rsid w:val="00FB6553"/>
    <w:rsid w:val="00FC2844"/>
    <w:rsid w:val="00FD4576"/>
    <w:rsid w:val="00FD56C8"/>
    <w:rsid w:val="00FF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6F83F"/>
  <w15:chartTrackingRefBased/>
  <w15:docId w15:val="{426A7B90-9D0C-4364-AC87-59FF6F6C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2C"/>
    <w:pPr>
      <w:spacing w:after="120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52A86"/>
    <w:pPr>
      <w:keepNext/>
      <w:keepLines/>
      <w:numPr>
        <w:numId w:val="22"/>
      </w:numPr>
      <w:pBdr>
        <w:bottom w:val="dotted" w:sz="4" w:space="1" w:color="auto"/>
      </w:pBd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before="240" w:after="240" w:line="240" w:lineRule="auto"/>
      <w:jc w:val="both"/>
      <w:outlineLvl w:val="0"/>
    </w:pPr>
    <w:rPr>
      <w:rFonts w:ascii="Cambria" w:eastAsia="Times New Roman" w:hAnsi="Cambria" w:cs="Times New Roman"/>
      <w:b/>
      <w:bCs/>
      <w:color w:val="72C5CD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52A86"/>
    <w:pPr>
      <w:keepNext/>
      <w:keepLines/>
      <w:numPr>
        <w:ilvl w:val="1"/>
        <w:numId w:val="22"/>
      </w:numPr>
      <w:pBdr>
        <w:bottom w:val="dotted" w:sz="4" w:space="1" w:color="4F81BD"/>
      </w:pBdr>
      <w:tabs>
        <w:tab w:val="clear" w:pos="432"/>
        <w:tab w:val="num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before="200" w:line="240" w:lineRule="auto"/>
      <w:jc w:val="both"/>
      <w:outlineLvl w:val="1"/>
    </w:pPr>
    <w:rPr>
      <w:rFonts w:ascii="Cambria" w:eastAsia="Times New Roman" w:hAnsi="Cambria" w:cs="Times New Roman"/>
      <w:b/>
      <w:bCs/>
      <w:color w:val="72C5CD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112C"/>
    <w:pPr>
      <w:keepNext/>
      <w:keepLines/>
      <w:tabs>
        <w:tab w:val="left" w:pos="993"/>
        <w:tab w:val="left" w:pos="4536"/>
        <w:tab w:val="left" w:pos="5670"/>
        <w:tab w:val="decimal" w:pos="6804"/>
        <w:tab w:val="decimal" w:pos="7938"/>
      </w:tabs>
      <w:spacing w:before="200" w:line="240" w:lineRule="auto"/>
      <w:ind w:left="504" w:hanging="504"/>
      <w:jc w:val="both"/>
      <w:outlineLvl w:val="2"/>
    </w:pPr>
    <w:rPr>
      <w:rFonts w:ascii="Cambria" w:eastAsia="Times New Roman" w:hAnsi="Cambria" w:cs="Times New Roman"/>
      <w:b/>
      <w:bCs/>
      <w:color w:val="72C5CD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12C"/>
    <w:pPr>
      <w:keepNext/>
      <w:keepLines/>
      <w:tabs>
        <w:tab w:val="left" w:pos="0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72C5CD"/>
      <w:szCs w:val="2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1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2C5CD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2A86"/>
    <w:rPr>
      <w:rFonts w:ascii="Cambria" w:eastAsia="Times New Roman" w:hAnsi="Cambria" w:cs="Times New Roman"/>
      <w:b/>
      <w:bCs/>
      <w:color w:val="72C5CD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52A86"/>
    <w:rPr>
      <w:rFonts w:ascii="Cambria" w:eastAsia="Times New Roman" w:hAnsi="Cambria" w:cs="Times New Roman"/>
      <w:b/>
      <w:bCs/>
      <w:color w:val="72C5CD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C112C"/>
    <w:rPr>
      <w:rFonts w:ascii="Cambria" w:eastAsia="Times New Roman" w:hAnsi="Cambria" w:cs="Times New Roman"/>
      <w:b/>
      <w:bCs/>
      <w:color w:val="72C5CD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9C112C"/>
    <w:rPr>
      <w:rFonts w:ascii="Cambria" w:eastAsia="Times New Roman" w:hAnsi="Cambria" w:cs="Times New Roman"/>
      <w:b/>
      <w:bCs/>
      <w:i/>
      <w:iCs/>
      <w:color w:val="72C5CD"/>
      <w:szCs w:val="20"/>
    </w:rPr>
  </w:style>
  <w:style w:type="paragraph" w:styleId="En-tte">
    <w:name w:val="header"/>
    <w:basedOn w:val="Normal"/>
    <w:link w:val="En-tteCar"/>
    <w:uiPriority w:val="99"/>
    <w:unhideWhenUsed/>
    <w:rsid w:val="009C112C"/>
    <w:pPr>
      <w:tabs>
        <w:tab w:val="center" w:pos="5103"/>
        <w:tab w:val="right" w:pos="10206"/>
      </w:tabs>
      <w:spacing w:line="240" w:lineRule="auto"/>
      <w:ind w:firstLine="1"/>
      <w:jc w:val="right"/>
    </w:pPr>
    <w:rPr>
      <w:rFonts w:ascii="Calibri" w:eastAsia="Times New Roman" w:hAnsi="Calibri" w:cs="Times New Roman"/>
      <w:sz w:val="18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9C112C"/>
    <w:rPr>
      <w:rFonts w:ascii="Calibri" w:eastAsia="Times New Roman" w:hAnsi="Calibri" w:cs="Times New Roman"/>
      <w:sz w:val="18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9C112C"/>
    <w:pPr>
      <w:tabs>
        <w:tab w:val="left" w:pos="1134"/>
        <w:tab w:val="left" w:pos="2268"/>
        <w:tab w:val="left" w:pos="3402"/>
        <w:tab w:val="center" w:pos="4536"/>
        <w:tab w:val="left" w:pos="5670"/>
        <w:tab w:val="decimal" w:pos="6804"/>
        <w:tab w:val="decimal" w:pos="7938"/>
        <w:tab w:val="right" w:pos="9072"/>
      </w:tabs>
      <w:spacing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C112C"/>
    <w:rPr>
      <w:rFonts w:ascii="Arial" w:eastAsia="Times New Roman" w:hAnsi="Arial" w:cs="Times New Roman"/>
      <w:szCs w:val="20"/>
    </w:rPr>
  </w:style>
  <w:style w:type="paragraph" w:customStyle="1" w:styleId="TableauT">
    <w:name w:val="Tableau /T"/>
    <w:basedOn w:val="Normal"/>
    <w:rsid w:val="009C112C"/>
    <w:pPr>
      <w:keepNext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eastAsia="Times New Roman" w:cs="Times New Roman"/>
    </w:rPr>
  </w:style>
  <w:style w:type="character" w:styleId="Lienhypertexte">
    <w:name w:val="Hyperlink"/>
    <w:basedOn w:val="Policepardfaut"/>
    <w:uiPriority w:val="99"/>
    <w:unhideWhenUsed/>
    <w:rsid w:val="009C112C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9C112C"/>
    <w:pPr>
      <w:tabs>
        <w:tab w:val="left" w:pos="567"/>
        <w:tab w:val="right" w:leader="dot" w:pos="10194"/>
      </w:tabs>
      <w:spacing w:after="10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9C112C"/>
    <w:pPr>
      <w:tabs>
        <w:tab w:val="left" w:pos="851"/>
        <w:tab w:val="right" w:leader="dot" w:pos="10194"/>
      </w:tabs>
      <w:spacing w:after="100" w:line="240" w:lineRule="auto"/>
      <w:ind w:left="220"/>
      <w:jc w:val="both"/>
    </w:pPr>
    <w:rPr>
      <w:rFonts w:ascii="Arial" w:eastAsia="Times New Roman" w:hAnsi="Arial" w:cs="Times New Roman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9C112C"/>
    <w:pPr>
      <w:pBdr>
        <w:bottom w:val="single" w:sz="8" w:space="4" w:color="4F81BD"/>
      </w:pBd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after="300" w:line="240" w:lineRule="auto"/>
      <w:contextualSpacing/>
      <w:jc w:val="both"/>
    </w:pPr>
    <w:rPr>
      <w:rFonts w:ascii="Cambria" w:eastAsia="Times New Roman" w:hAnsi="Cambria" w:cs="Times New Roman"/>
      <w:color w:val="72C5C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112C"/>
    <w:rPr>
      <w:rFonts w:ascii="Cambria" w:eastAsia="Times New Roman" w:hAnsi="Cambria" w:cs="Times New Roman"/>
      <w:color w:val="72C5CD"/>
      <w:spacing w:val="5"/>
      <w:kern w:val="28"/>
      <w:sz w:val="52"/>
      <w:szCs w:val="52"/>
    </w:rPr>
  </w:style>
  <w:style w:type="paragraph" w:customStyle="1" w:styleId="Puce2">
    <w:name w:val="Puce 2 /¨"/>
    <w:basedOn w:val="Normal"/>
    <w:rsid w:val="009C112C"/>
    <w:pPr>
      <w:keepNext/>
      <w:numPr>
        <w:numId w:val="15"/>
      </w:numPr>
      <w:tabs>
        <w:tab w:val="left" w:pos="567"/>
        <w:tab w:val="left" w:pos="2127"/>
        <w:tab w:val="left" w:pos="3261"/>
      </w:tabs>
      <w:spacing w:after="0" w:line="240" w:lineRule="auto"/>
    </w:pPr>
    <w:rPr>
      <w:rFonts w:ascii="Arial" w:eastAsia="Times New Roman" w:hAnsi="Arial" w:cs="Times New Roma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12C"/>
    <w:pPr>
      <w:numPr>
        <w:ilvl w:val="1"/>
      </w:numP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  <w:jc w:val="both"/>
    </w:pPr>
    <w:rPr>
      <w:rFonts w:ascii="Cambria" w:eastAsia="Times New Roman" w:hAnsi="Cambria" w:cs="Times New Roman"/>
      <w:i/>
      <w:iCs/>
      <w:color w:val="72C5C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C112C"/>
    <w:rPr>
      <w:rFonts w:ascii="Cambria" w:eastAsia="Times New Roman" w:hAnsi="Cambria" w:cs="Times New Roman"/>
      <w:i/>
      <w:iCs/>
      <w:color w:val="72C5CD"/>
      <w:spacing w:val="15"/>
      <w:sz w:val="24"/>
      <w:szCs w:val="24"/>
    </w:rPr>
  </w:style>
  <w:style w:type="paragraph" w:customStyle="1" w:styleId="PuceP">
    <w:name w:val="Puce /P"/>
    <w:basedOn w:val="Normal"/>
    <w:qFormat/>
    <w:rsid w:val="00052A86"/>
    <w:pPr>
      <w:numPr>
        <w:numId w:val="23"/>
      </w:numPr>
      <w:tabs>
        <w:tab w:val="left" w:pos="28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</w:pPr>
    <w:rPr>
      <w:rFonts w:eastAsia="Times New Roman" w:cs="Times New Roman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1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12C"/>
    <w:rPr>
      <w:rFonts w:ascii="Tahoma" w:hAnsi="Tahoma" w:cs="Tahoma"/>
      <w:sz w:val="16"/>
      <w:szCs w:val="16"/>
    </w:rPr>
  </w:style>
  <w:style w:type="paragraph" w:customStyle="1" w:styleId="Puce">
    <w:name w:val="Puce /^"/>
    <w:basedOn w:val="PuceP"/>
    <w:qFormat/>
    <w:rsid w:val="009C112C"/>
    <w:pPr>
      <w:numPr>
        <w:numId w:val="17"/>
      </w:numPr>
      <w:spacing w:after="0"/>
    </w:pPr>
  </w:style>
  <w:style w:type="character" w:customStyle="1" w:styleId="BaliseB">
    <w:name w:val="Balise /B"/>
    <w:uiPriority w:val="1"/>
    <w:qFormat/>
    <w:rsid w:val="009C112C"/>
    <w:rPr>
      <w:rFonts w:ascii="Courier New" w:hAnsi="Courier New"/>
      <w:b w:val="0"/>
      <w:i w:val="0"/>
      <w:vanish/>
      <w:sz w:val="20"/>
    </w:rPr>
  </w:style>
  <w:style w:type="character" w:customStyle="1" w:styleId="CommandC">
    <w:name w:val="Command /C"/>
    <w:basedOn w:val="Policepardfaut"/>
    <w:uiPriority w:val="1"/>
    <w:qFormat/>
    <w:rsid w:val="009C112C"/>
    <w:rPr>
      <w:rFonts w:ascii="Courier New" w:hAnsi="Courier New"/>
      <w:i/>
      <w:sz w:val="18"/>
    </w:rPr>
  </w:style>
  <w:style w:type="character" w:customStyle="1" w:styleId="Titre5Car">
    <w:name w:val="Titre 5 Car"/>
    <w:basedOn w:val="Policepardfaut"/>
    <w:link w:val="Titre5"/>
    <w:uiPriority w:val="9"/>
    <w:rsid w:val="009C112C"/>
    <w:rPr>
      <w:rFonts w:asciiTheme="majorHAnsi" w:eastAsiaTheme="majorEastAsia" w:hAnsiTheme="majorHAnsi" w:cstheme="majorBidi"/>
      <w:color w:val="72C5CD"/>
    </w:rPr>
  </w:style>
  <w:style w:type="table" w:customStyle="1" w:styleId="Liste1">
    <w:name w:val="Liste1"/>
    <w:basedOn w:val="TableauNormal"/>
    <w:uiPriority w:val="99"/>
    <w:rsid w:val="009C112C"/>
    <w:pPr>
      <w:spacing w:after="120" w:line="240" w:lineRule="auto"/>
    </w:pPr>
    <w:tblPr>
      <w:tblBorders>
        <w:top w:val="single" w:sz="12" w:space="0" w:color="CDA077"/>
        <w:bottom w:val="single" w:sz="12" w:space="0" w:color="CDA077"/>
        <w:insideH w:val="single" w:sz="4" w:space="0" w:color="CDA077"/>
      </w:tblBorders>
    </w:tblPr>
    <w:tcPr>
      <w:shd w:val="clear" w:color="auto" w:fill="auto"/>
    </w:tcPr>
  </w:style>
  <w:style w:type="table" w:styleId="Grilledutableau">
    <w:name w:val="Table Grid"/>
    <w:basedOn w:val="TableauNormal"/>
    <w:uiPriority w:val="59"/>
    <w:rsid w:val="009C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9C112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edelespacerserv">
    <w:name w:val="Placeholder Text"/>
    <w:basedOn w:val="Policepardfaut"/>
    <w:uiPriority w:val="99"/>
    <w:semiHidden/>
    <w:rsid w:val="009C112C"/>
    <w:rPr>
      <w:color w:val="808080"/>
    </w:rPr>
  </w:style>
  <w:style w:type="paragraph" w:styleId="Paragraphedeliste">
    <w:name w:val="List Paragraph"/>
    <w:basedOn w:val="Normal"/>
    <w:uiPriority w:val="34"/>
    <w:qFormat/>
    <w:rsid w:val="009C112C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Question">
    <w:name w:val="Question /?"/>
    <w:basedOn w:val="Normal"/>
    <w:qFormat/>
    <w:rsid w:val="00132282"/>
    <w:rPr>
      <w:rFonts w:eastAsiaTheme="minorEastAsia"/>
      <w:color w:val="F79646" w:themeColor="accent6"/>
      <w:lang w:eastAsia="fr-FR"/>
    </w:rPr>
  </w:style>
  <w:style w:type="paragraph" w:styleId="Listepuces">
    <w:name w:val="List Bullet"/>
    <w:basedOn w:val="Normal"/>
    <w:uiPriority w:val="99"/>
    <w:unhideWhenUsed/>
    <w:rsid w:val="00E576D5"/>
    <w:pPr>
      <w:numPr>
        <w:numId w:val="24"/>
      </w:numPr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74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1216">
          <w:marLeft w:val="7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anamics.f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C1F99-2AA7-4E99-BF79-5D177EF4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1359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&lt;Titre&gt;</vt:lpstr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WanaClose</dc:title>
  <dc:subject>&lt;Objet&gt;</dc:subject>
  <dc:creator>Christophe Watrelot</dc:creator>
  <cp:keywords/>
  <dc:description/>
  <cp:lastModifiedBy>Christophe Watrelot</cp:lastModifiedBy>
  <cp:revision>267</cp:revision>
  <dcterms:created xsi:type="dcterms:W3CDTF">2022-12-29T10:50:00Z</dcterms:created>
  <dcterms:modified xsi:type="dcterms:W3CDTF">2023-01-02T22:41:00Z</dcterms:modified>
</cp:coreProperties>
</file>