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02 de abril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02 de abril de 2025</w:t>
      </w:r>
      <w:r>
        <w:br/>
        <w:br/>
        <w:br/>
      </w:r>
    </w:p>
    <w:p>
      <w:r>
        <w:t xml:space="preserve">, </w:t>
      </w:r>
      <w:r>
        <w:br/>
        <w:br/>
        <w:br/>
      </w:r>
    </w:p>
    <w:p>
      <w:pPr>
        <w:ind w:left="-1723"/>
        <w:jc w:val="left"/>
      </w:pPr>
      <w:r>
        <w:rPr>
          <w:sz w:val="18"/>
        </w:rPr>
        <w:t xml:space="preserve">Selecione o vendedor: </w:t>
      </w:r>
      <w:r>
        <w:rPr>
          <w:sz w:val="18"/>
        </w:rPr>
        <w:br/>
      </w:r>
      <w:r>
        <w:rPr>
          <w:sz w:val="18"/>
        </w:rPr>
        <w:t>Installed Base Specialist</w:t>
      </w:r>
      <w:r>
        <w:rPr>
          <w:sz w:val="18"/>
        </w:rPr>
        <w:br/>
      </w:r>
      <w:r>
        <w:rPr>
          <w:sz w:val="18"/>
        </w:rPr>
        <w:t>Selecione o vendedor para verificar o telefone:</w:t>
      </w:r>
      <w:r>
        <w:rPr>
          <w:sz w:val="18"/>
        </w:rPr>
        <w:br/>
      </w:r>
      <w:r>
        <w:rPr>
          <w:sz w:val="18"/>
        </w:rPr>
        <w:t>Selecione o vendedor para verificar o email:</w:t>
      </w:r>
      <w:r>
        <w:rPr>
          <w:sz w:val="18"/>
        </w:rPr>
        <w:br/>
        <w:br/>
        <w:br/>
      </w:r>
    </w:p>
    <w:p>
      <w:pPr>
        <w:jc w:val="left"/>
      </w:pPr>
      <w:r>
        <w:t>Prezados (as) Senhores(as):</w:t>
        <w:br/>
        <w:br/>
      </w:r>
    </w:p>
    <w:p>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 xml:space="preserve">Selecione o vendedor: </w:t>
      </w:r>
      <w:r>
        <w:br/>
      </w:r>
      <w:r>
        <w:t>Installed Base Specialist</w:t>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11</w:t>
        <w:br/>
      </w:r>
      <w:r>
        <w:t xml:space="preserve">4. Condições Comerciais         </w:t>
        <w:tab/>
        <w:t xml:space="preserve">                                                        21</w:t>
        <w:br/>
      </w:r>
      <w:r>
        <w:t xml:space="preserve">5. Condições Gerais                </w:t>
        <w:tab/>
        <w:t xml:space="preserve">                                                        28</w:t>
        <w:br/>
      </w:r>
      <w:r>
        <w:t>6. Termo de Aceite da Proposta / Pedido de Compra                               30</w:t>
        <w:br/>
      </w:r>
      <w:r>
        <w:t xml:space="preserve">7. Anexos                </w:t>
        <w:tab/>
        <w:t xml:space="preserve">                                                                               32</w:t>
        <w:br/>
      </w:r>
    </w:p>
    <w:p>
      <w:r>
        <w:br w:type="page"/>
      </w:r>
    </w:p>
    <w:p>
      <w:pPr>
        <w:pStyle w:val="Title"/>
      </w:pPr>
      <w:r>
        <w:t>1. Resumo Executivo</w:t>
        <w:br/>
      </w:r>
    </w:p>
    <w:p>
      <w:pPr>
        <w:spacing w:line="260" w:lineRule="exact"/>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r>
        <w:b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p>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br/>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br/>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br/>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br/>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br/>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br/>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br/>
            </w:r>
          </w:p>
        </w:tc>
      </w:tr>
    </w:tbl>
    <w:p>
      <w:pPr>
        <w:pStyle w:val="Title"/>
      </w:pPr>
      <w:r>
        <w:br/>
        <w:t>3.2.</w:t>
        <w:tab/>
        <w:t xml:space="preserve">ZONAS DE DESLOCAMENTO </w:t>
      </w:r>
    </w:p>
    <w:p>
      <w:r>
        <w:br/>
        <w:br/>
        <w:t xml:space="preserve">Todos os tempos de resposta do Serviço de Troca e com presença no local para hardware se aplicam somente a áreas situadas dentro de uma distância de 160 km de um centro de suporte designado pela HPE. A viagem de descolamento dentro de um raio de 320 km de distância de um centro de suporte designado pela HPE é oferecida sem custos adicionais. Se o local estiver situado a mais de 320 km do centro de suporte designado pela HPE, haverá uma cobrança adicional. As zonas de deslocamentos e os custos, se aplicáveis, podem variar em algumas regiões. Os custos de postagem (em caso de troca de peças), se aplicáveis,  podem variar em algumas regiões. Os tempos de resposta para locais situados a mais de 160 km de um centro de suporte designado pela HPE serão modificados para incluir o tempo de deslocamento, conforme mostra a tabela a seguir. </w:t>
      </w:r>
      <w:r>
        <w:rPr>
          <w:b/>
        </w:rPr>
        <w:br/>
        <w:br/>
        <w:t xml:space="preserve">TABELA 9. </w:t>
      </w:r>
      <w:r>
        <w:t>Zonas de deslocamento (exceto nível de serviço crítico)</w:t>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4000"/>
          </w:tcPr>
          <w:p>
            <w:r>
              <w:t>Distância do ponto de suporte determinado pela HPE</w:t>
            </w:r>
          </w:p>
        </w:tc>
        <w:tc>
          <w:tcPr>
            <w:tcW w:type="dxa" w:w="4000"/>
          </w:tcPr>
          <w:p>
            <w:r>
              <w:t>Tempo de resposta para Essencial/Essencial Exchange</w:t>
            </w:r>
          </w:p>
        </w:tc>
        <w:tc>
          <w:tcPr>
            <w:tcW w:type="dxa" w:w="4000"/>
          </w:tcPr>
          <w:p>
            <w:r>
              <w:t>Tempo de resposta para Basic/Basic Exchange</w:t>
            </w:r>
          </w:p>
        </w:tc>
      </w:tr>
      <w:tr>
        <w:tc>
          <w:tcPr>
            <w:tcW w:type="dxa" w:w="4000"/>
          </w:tcPr>
          <w:p>
            <w:r>
              <w:t>0 a 80 km</w:t>
            </w:r>
          </w:p>
        </w:tc>
        <w:tc>
          <w:tcPr>
            <w:tcW w:type="dxa" w:w="4000"/>
          </w:tcPr>
          <w:p>
            <w:r>
              <w:t>4 horas</w:t>
            </w:r>
          </w:p>
        </w:tc>
        <w:tc>
          <w:tcPr>
            <w:tcW w:type="dxa" w:w="4000"/>
          </w:tcPr>
          <w:p>
            <w:r>
              <w:t>Cobertura no dia seguinte</w:t>
            </w:r>
          </w:p>
        </w:tc>
      </w:tr>
      <w:tr>
        <w:tc>
          <w:tcPr>
            <w:tcW w:type="dxa" w:w="4000"/>
          </w:tcPr>
          <w:p>
            <w:r>
              <w:t>81 a 160 km</w:t>
            </w:r>
          </w:p>
        </w:tc>
        <w:tc>
          <w:tcPr>
            <w:tcW w:type="dxa" w:w="4000"/>
          </w:tcPr>
          <w:p>
            <w:r>
              <w:t>4 horas</w:t>
            </w:r>
          </w:p>
        </w:tc>
        <w:tc>
          <w:tcPr>
            <w:tcW w:type="dxa" w:w="4000"/>
          </w:tcPr>
          <w:p>
            <w:r>
              <w:t>Cobertura no dia seguinte</w:t>
            </w:r>
          </w:p>
        </w:tc>
      </w:tr>
      <w:tr>
        <w:tc>
          <w:tcPr>
            <w:tcW w:type="dxa" w:w="4000"/>
          </w:tcPr>
          <w:p>
            <w:r>
              <w:t>161 a 320 km</w:t>
            </w:r>
          </w:p>
        </w:tc>
        <w:tc>
          <w:tcPr>
            <w:tcW w:type="dxa" w:w="4000"/>
          </w:tcPr>
          <w:p>
            <w:r>
              <w:t>8 horas</w:t>
            </w:r>
          </w:p>
        </w:tc>
        <w:tc>
          <w:tcPr>
            <w:tcW w:type="dxa" w:w="4000"/>
          </w:tcPr>
          <w:p>
            <w:r>
              <w:t>Mais 1 dia de cobertura</w:t>
            </w:r>
          </w:p>
        </w:tc>
      </w:tr>
      <w:tr>
        <w:tc>
          <w:tcPr>
            <w:tcW w:type="dxa" w:w="4000"/>
          </w:tcPr>
          <w:p>
            <w:r>
              <w:t>321 a 480 km</w:t>
            </w:r>
          </w:p>
        </w:tc>
        <w:tc>
          <w:tcPr>
            <w:tcW w:type="dxa" w:w="4000"/>
          </w:tcPr>
          <w:p>
            <w:r>
              <w:t>Estabelecido no momento do pedido e sujeito à disponibilidade</w:t>
            </w:r>
          </w:p>
        </w:tc>
        <w:tc>
          <w:tcPr>
            <w:tcW w:type="dxa" w:w="4000"/>
          </w:tcPr>
          <w:p>
            <w:r>
              <w:t>Mais 2 dias de cobertura</w:t>
            </w:r>
          </w:p>
        </w:tc>
      </w:tr>
      <w:tr>
        <w:tc>
          <w:tcPr>
            <w:tcW w:type="dxa" w:w="4000"/>
          </w:tcPr>
          <w:p>
            <w:r>
              <w:t>Mais de 480 km</w:t>
            </w:r>
          </w:p>
        </w:tc>
        <w:tc>
          <w:tcPr>
            <w:tcW w:type="dxa" w:w="4000"/>
          </w:tcPr>
          <w:p>
            <w:r>
              <w:t>Estabelecido no momento do pedido e sujeito à disponibilidade</w:t>
            </w:r>
          </w:p>
        </w:tc>
        <w:tc>
          <w:tcPr>
            <w:tcW w:type="dxa" w:w="4000"/>
          </w:tcPr>
          <w:p>
            <w:r>
              <w:t>Estabelecido no momento do pedido e sujeito à disponibilidade</w:t>
            </w:r>
          </w:p>
        </w:tc>
      </w:tr>
    </w:tbl>
    <w:p>
      <w:r>
        <w:br/>
        <w:br/>
        <w:t>O compromisso de tempo de reparo está disponível para localidades situados até 80 km de um centro de suporte designado pela HPE. Para locais entre 81 e 160 km de tal ponto de suporte, o compromisso de tempo de reparo de hardware será ajustado de acordo com a tabela a seguir. O compromisso de tempo de reparo de hardware não está disponível para locais a mais de 160 km de um ponto de suporte designado pela HPE.</w:t>
      </w:r>
      <w:r>
        <w:rPr>
          <w:b/>
        </w:rPr>
        <w:br/>
        <w:br/>
        <w:t xml:space="preserve">TABELA 10. </w:t>
      </w:r>
      <w:r>
        <w:t>Zonas de deslocamento para nível de serviço crítico</w:t>
        <w:br/>
        <w:br/>
      </w:r>
    </w:p>
    <w:tbl>
      <w:tblPr>
        <w:tblStyle w:val="TableGrid"/>
        <w:tblW w:type="auto" w:w="0"/>
        <w:tblLayout w:type="fixed"/>
        <w:tblLook w:firstColumn="1" w:firstRow="1" w:lastColumn="0" w:lastRow="0" w:noHBand="0" w:noVBand="1" w:val="04A0"/>
      </w:tblPr>
      <w:tblGrid>
        <w:gridCol w:w="4262"/>
        <w:gridCol w:w="4262"/>
      </w:tblGrid>
      <w:tr>
        <w:tc>
          <w:tcPr>
            <w:tcW w:type="dxa" w:w="3600"/>
          </w:tcPr>
          <w:p>
            <w:r>
              <w:t>Distância do ponto de suporte designado pela HPE</w:t>
            </w:r>
          </w:p>
        </w:tc>
        <w:tc>
          <w:tcPr>
            <w:tcW w:type="dxa" w:w="3600"/>
          </w:tcPr>
          <w:p>
            <w:r>
              <w:t>Tempo de reparo crítico</w:t>
            </w:r>
          </w:p>
        </w:tc>
      </w:tr>
      <w:tr>
        <w:tc>
          <w:tcPr>
            <w:tcW w:type="dxa" w:w="3600"/>
          </w:tcPr>
          <w:p>
            <w:r>
              <w:t>0 a 80 km</w:t>
            </w:r>
          </w:p>
        </w:tc>
        <w:tc>
          <w:tcPr>
            <w:tcW w:type="dxa" w:w="3600"/>
          </w:tcPr>
          <w:p>
            <w:r>
              <w:t>6 horas</w:t>
            </w:r>
          </w:p>
        </w:tc>
      </w:tr>
      <w:tr>
        <w:tc>
          <w:tcPr>
            <w:tcW w:type="dxa" w:w="3600"/>
          </w:tcPr>
          <w:p>
            <w:r>
              <w:t>81 a 160 km</w:t>
            </w:r>
          </w:p>
        </w:tc>
        <w:tc>
          <w:tcPr>
            <w:tcW w:type="dxa" w:w="3600"/>
          </w:tcPr>
          <w:p>
            <w:r>
              <w:t>8 horas</w:t>
            </w:r>
          </w:p>
        </w:tc>
      </w:tr>
      <w:tr>
        <w:tc>
          <w:tcPr>
            <w:tcW w:type="dxa" w:w="3600"/>
          </w:tcPr>
          <w:p>
            <w:r>
              <w:t>Mais de 160 km</w:t>
            </w:r>
          </w:p>
        </w:tc>
        <w:tc>
          <w:tcPr>
            <w:tcW w:type="dxa" w:w="3600"/>
          </w:tcPr>
          <w:p>
            <w:r>
              <w:t>Não disponível</w:t>
            </w:r>
          </w:p>
        </w:tc>
      </w:tr>
    </w:tbl>
    <w:p>
      <w:pPr>
        <w:pStyle w:val="Title"/>
      </w:pPr>
      <w:r>
        <w:t>4.</w:t>
        <w:tab/>
        <w:t>Suporte a Produtos Multivendor outras marcas</w:t>
      </w:r>
      <w:r>
        <w:br/>
        <w:br/>
        <w:t>4.1 Detalhes deste Serviço</w:t>
      </w:r>
    </w:p>
    <w:p>
      <w:r>
        <w:br/>
        <w:t>Aplicavel aos contratos que contenham algum dos Números de produto abaixo:</w:t>
        <w:br/>
        <w:t>H7J32AC, H7J34AC, H7J36AC</w:t>
      </w:r>
      <w:r>
        <w:br/>
        <w:t>Os serviços de suporte de vários fornecedores HPE fornecem diagnóstico de produto, suporte de hardware no local e suporte de software para produtos selecionados. Você tem a flexibilidade de escolher tempos de resposta e opções de janela de cobertura para atender às suas necessidades específicas de suporte.</w:t>
        <w:br/>
        <w:t>•</w:t>
        <w:tab/>
        <w:t xml:space="preserve">Diagnóstico e suporte remotos de problemas </w:t>
        <w:br/>
        <w:t>•</w:t>
        <w:tab/>
        <w:t xml:space="preserve">Suporte de hardware no local </w:t>
        <w:br/>
        <w:t>•</w:t>
        <w:tab/>
        <w:t xml:space="preserve">Peças e materiais de reposição </w:t>
        <w:br/>
        <w:t>•</w:t>
        <w:tab/>
        <w:t>Tempo de resposta no local para suporte de hardware</w:t>
      </w:r>
      <w:r>
        <w:rPr>
          <w:b/>
        </w:rPr>
        <w:br/>
        <w:br/>
        <w:t>4.1.2 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t>4.1.3 Tempo de Solução / Call-to-Repair</w:t>
        <w:br/>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 xml:space="preserve">4.1.4 Limitações Gerais do Serviço </w:t>
      </w:r>
      <w:r>
        <w:br/>
        <w:br/>
        <w:t>•</w:t>
        <w:tab/>
        <w:t>HPE reserva-se o direito de encerrar este serviço sem aviso prévio se o serviço continuado não for razoavelmente viável.</w:t>
        <w:br/>
        <w:t>•</w:t>
        <w:tab/>
        <w:t xml:space="preserve">A menos que especificamente solicitado e contratado, este serviço é limitado apenas ao reparo de hardware e não inclui atualizações. O  de nenhuma forma (incluindo firmware, software incorporado ao hardware, sistema operacional, aplicativos ou qualquer outro tipo de software) ou suporte de engenharia do fabricante. </w:t>
      </w:r>
      <w:r>
        <w:br/>
        <w:t>•</w:t>
        <w:tab/>
        <w:t xml:space="preserve">Este serviço não inclui atualizações de código de software, patches, correções de bugs, produtos em camadas ou quaisquer atualizações de software fornecidas pelo fabricante do produto subjacente (OEM), incluindo material protegido por direitos autorais, ferramentas de diagnóstico e documentos. </w:t>
        <w:br/>
        <w:t>•</w:t>
        <w:tab/>
        <w:t xml:space="preserve">A critério da HPE, este serviço é fornecido usando uma combinação de diagnóstico e suporte remotos, serviços prestados no local e outros métodos de prestação de serviços. </w:t>
        <w:br/>
        <w:t>•</w:t>
        <w:tab/>
        <w:t xml:space="preserve">HPE se reserva o direito de fornecer o suporte por meio de um parceiro terceirizado que usa processos de qualidade como HPE. </w:t>
        <w:br/>
        <w:t>•</w:t>
        <w:tab/>
        <w:t xml:space="preserve">Os tempos de resposta no local podem ser atrasados se o diagnóstico remoto identificar uma peça específica necessária para o reparo do produto e essa peça estiver sob encomenda e/ou não estiver disponível. </w:t>
        <w:br/>
        <w:t>•</w:t>
        <w:tab/>
        <w:t xml:space="preserve">A menos que especificamente solicitado e contratado, o gerenciamento técnico de elevação do OEM não estará disponível. </w:t>
      </w:r>
      <w:r>
        <w:br/>
        <w:br/>
        <w:t xml:space="preserve">As seguintes atividades estão excluídas deste serviço e são de responsabilidade do Cliente: </w:t>
        <w:br/>
        <w:t>•</w:t>
        <w:tab/>
        <w:t xml:space="preserve">Backup, recuperação e suporte do sistema operacional, software aplicativo e dados </w:t>
        <w:br/>
        <w:t>•</w:t>
        <w:tab/>
        <w:t xml:space="preserve">Teste operacional de aplicativos ou testes adicionais solicitados ou exigidos pelo Cliente </w:t>
        <w:br/>
        <w:t>•</w:t>
        <w:tab/>
        <w:t xml:space="preserve">Suporte para problemas relacionados à rede fora do hardware suportado </w:t>
        <w:br/>
        <w:t>•</w:t>
        <w:tab/>
        <w:t xml:space="preserve">Serviços necessários devido à falha do Cliente em incorporar qualquer correção, reparo, patch ou modificação do sistema fornecido ao Cliente pela HPE </w:t>
        <w:br/>
        <w:t>•</w:t>
        <w:tab/>
        <w:t xml:space="preserve">Serviços necessários devido à falha do Cliente em tomar medidas preventivas previamente aconselhados pela HPE </w:t>
        <w:br/>
        <w:t>•</w:t>
        <w:tab/>
        <w:t xml:space="preserve">Serviços necessários devido a tentativas não autorizadas de terceiros para instalar, reparar, manter ou modificar hardware, firmware ou software </w:t>
        <w:br/>
        <w:t>•</w:t>
        <w:tab/>
        <w:t>Serviços necessários devido ao tratamento ou uso inadequado dos produtos ou equipamentos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r>
        <w:rPr>
          <w:b/>
        </w:rPr>
        <w:br/>
        <w:br/>
        <w:t>4.1 Pré-requisitos deste Serviço</w:t>
      </w:r>
      <w:r>
        <w:br/>
        <w:br/>
        <w:t>Uma vez aceita esta proposta, a HEWLETT PACKARD ENTERPRISE  executará o levantamento e validação do parque de equipamentos a serem suportados através de um processo de diligência. O objetivo é analisar riscos, melhorias e divergências em relação aos baselines definidos nesta proposta, para posterior negociação e resolução de pontos críticos para o desenvolvimento nas fases de Transição, Transformação e Ongoing, gerando transparência e clara definição do escopo contratado, trazendo benefícios na prestação dos serviços.</w:t>
        <w:br/>
        <w:t>Se durante o processo de diligência for constatado defeitos pré-existentes ao contrato, a HEWLETT PACKARD ENTERPRISE  e o cliente negociarão o reparo do equipamento na modalidade de chamado faturado</w:t>
      </w:r>
      <w:r>
        <w:br/>
        <w:br/>
        <w:t>Atividades a serem realizadas</w:t>
        <w:br/>
        <w:t>•</w:t>
        <w:tab/>
        <w:t>Realizar o levantamento (físico e/ou lógico) detalhado dos equipamentos atuais.</w:t>
        <w:br/>
        <w:t>•</w:t>
        <w:tab/>
        <w:t>Levantar os planos e as necessidades de crescimento.</w:t>
        <w:br/>
        <w:t>•</w:t>
        <w:tab/>
        <w:t>Realizar o levantamento dos processos operacionais atuais.</w:t>
        <w:br/>
        <w:t>•</w:t>
        <w:tab/>
        <w:t xml:space="preserve">Realizar o levantamento das políticas de segurança do(a) </w:t>
      </w:r>
      <w:r/>
      <w:r>
        <w:br/>
        <w:t>Responsabilidades da Hewlett Packard Enterprise</w:t>
        <w:br/>
        <w:t>•</w:t>
        <w:tab/>
        <w:t>Realizar o levantamento (físico e/ou lógico) detalhado dos equipamentos atuais.</w:t>
        <w:br/>
        <w:t>•</w:t>
        <w:tab/>
        <w:t>Provisionar kit de peças baseado no levantamento detalhado dos equipamentos para atender o SLA contratado.</w:t>
        <w:br/>
        <w:t>•</w:t>
        <w:tab/>
        <w:t>Produzir um documento com os resultados dos levantamentos em classificação de potenciais riscos, lacunas e recomendações de soluções para minimizar tais itens.</w:t>
      </w:r>
      <w:r>
        <w:br/>
        <w:t xml:space="preserve">Responsabilidades do(a) </w:t>
      </w:r>
      <w:r/>
      <w:r>
        <w:br/>
        <w:t>•</w:t>
        <w:tab/>
        <w:t>Fornecer as informações necessárias do ambiente atual em tempo hábil.</w:t>
        <w:br/>
        <w:t>•</w:t>
        <w:tab/>
        <w:t xml:space="preserve">Validar e aprovar a documentação entregue. </w:t>
        <w:br/>
        <w:t>•</w:t>
        <w:tab/>
        <w:t>Liberação de acesso ao site/Datacenter onde se encontram os equipamentos</w:t>
        <w:br/>
        <w:t>•</w:t>
        <w:tab/>
        <w:t>Envio dos logs solicitados durante a fase de diligência e ao longo do período de contrato para a análise e prestação do serviço de suporte. O atraso e/ou o não envio dos logs solicitados, pode acarretar no não cumprimento dos níveis de serviço acordado.</w:t>
      </w:r>
    </w:p>
    <w:p>
      <w:pPr>
        <w:pStyle w:val="Title"/>
      </w:pPr>
      <w:r>
        <w:t>5.</w:t>
        <w:tab/>
        <w:t xml:space="preserve">Suporte para produtos HPE que atingiram a data de fim da Vida Útil – EoSL </w:t>
      </w:r>
      <w:r>
        <w:br/>
        <w:br/>
        <w:t>5.1</w:t>
        <w:tab/>
        <w:t>Detalhes deste Serviço</w:t>
      </w:r>
    </w:p>
    <w:p>
      <w:r>
        <w:br/>
        <w:br/>
        <w:t>Aplicavel aos contratos que contenham algum dos Números de produto abaixo:</w:t>
        <w:br/>
        <w:t>H7J32AC, H7J34AC, H7J36AC</w:t>
      </w:r>
      <w:r>
        <w:br/>
        <w:t>A seguir, descrevem-se o serviço de suporte reativo fornecido pela HPE para produtos de vários fornecedores (dispositivos HPE que atingiram a data de “Fim da Vida Útil – EoSL”), fim do período de suporte da HPE e/ou dispositivos de terceiros) incluídos nesta proposta.</w:t>
        <w:br/>
        <w:t xml:space="preserve">As solicitações de suporte para equipamentos cobertos por este serviço serão tratadas na Central de Atendimento ao Cliente da HEWLETT PACKARD ENTERPRISE. </w:t>
        <w:br/>
        <w:br/>
        <w:t>Esses serviços são oferecidos como uma conveniência para o cliente e não são uma continuação da garantia padrão da HPE ou dos serviços de suporte da HPE.</w:t>
      </w:r>
      <w:r>
        <w:rPr>
          <w:b/>
        </w:rPr>
        <w:br/>
        <w:br/>
        <w:t>5.1.4</w:t>
        <w:tab/>
        <w:t>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br/>
        <w:t>5.1.5</w:t>
        <w:tab/>
        <w:t>Tempo de Solução / Call-to-Repair</w:t>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5.1.6</w:t>
        <w:tab/>
        <w:t xml:space="preserve">Limitações Gerais do Serviço </w:t>
      </w:r>
      <w:r>
        <w:br/>
        <w:br/>
        <w:t>•</w:t>
        <w:tab/>
        <w:t xml:space="preserve">Os serviços são limitados apenas ao reparo de hardware. As atualizações de firmware e software da HPE não estão mais disponíveis para esses produtos. </w:t>
        <w:br/>
        <w:t>•</w:t>
        <w:tab/>
        <w:t xml:space="preserve">Devido à idade do equipamento envolvido e seu status HPE EOSL, as peças de reposição podem não ser novas e podem ser provenientes de equipamentos usados. </w:t>
        <w:br/>
        <w:t>•</w:t>
        <w:tab/>
        <w:t xml:space="preserve">Os tempos de resposta e solução não são garantidos e podem variar de acordo com a disponibilidade de peças de reposição. </w:t>
        <w:br/>
        <w:t>•</w:t>
        <w:tab/>
        <w:t>A HPE reserva-se o direito de cancelar este serviço se as peças de reposição não estiverem mais disponíveis.</w:t>
      </w:r>
      <w:r>
        <w:br/>
        <w:t>•</w:t>
        <w:tab/>
        <w:t xml:space="preserve">Devido ao seu status como EOSL da HPE, suporte de engenharia e elevação não estão disponíveis para produtos HPE EOSL; as peças de reposição são fornecidas no estado em que se encontram; e nenhuma garantia de interoperabilidade é fornecida. </w:t>
        <w:br/>
        <w:t>•</w:t>
        <w:tab/>
        <w:t>Os recursos de monitoramento remoto e ferramentas podem não estar disponíveis para produtos HPE EOSL.</w:t>
        <w:br/>
        <w:t>•</w:t>
        <w:tab/>
        <w:t>Para os novos contratos, a HPE propõe um SLA de 30 dias para execução do processo de diligência e preparação dos processo operacionais para o atendimento do contrato de suporte.</w:t>
        <w:br/>
        <w:t>•</w:t>
        <w:tab/>
        <w:t>Em caso não realização do processo de diligência por pendência do cliente, não serão garantidos os cumprimentos dos níveis de serviços acordados.</w:t>
        <w:br/>
        <w:t>•</w:t>
        <w:tab/>
        <w:t>A HPE propõe uma reunião de kick-off para alinhamento das expectativas, apresentação dos Gerentes de Serviços.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p>
    <w:p>
      <w:r>
        <w:br w:type="page"/>
      </w:r>
    </w:p>
    <w:p>
      <w:pPr>
        <w:pStyle w:val="Title"/>
      </w:pPr>
      <w:r>
        <w:t>Condições Comerciais</w:t>
      </w:r>
    </w:p>
    <w:p>
      <w:r>
        <w:rPr>
          <w:b/>
        </w:rPr>
        <w:br/>
        <w:t>Configuração e Preços</w:t>
      </w:r>
      <w:r>
        <w:br/>
        <w:t>Os produtos (Hardware e Software) e seus respectivos níveis de serviço encontram-se detalhados no Anexo de Configuração e Preços.  (Opcional a critério de Vendas)</w:t>
      </w:r>
    </w:p>
    <w:p>
      <w:r>
        <w:br/>
        <w:br/>
        <w:t>O valor total desta proposta é de R$ (informar valor).</w:t>
      </w:r>
      <w:r>
        <w:br/>
        <w:br/>
        <w:t>Ajustes no calendário de faturamento (valor mensal), são aplicáveis desde que não haja alteração no valor total desta proposta e esteja em acordo com a cobertura de suporte e/ou garantia que cada equipamento possuir, além do firmado nesta proposta. De qualquer forma, toda e qualquer mudança no calendário de faturamento dependerá de aprovação prévia da HEWLETT PACKARD ENTERPRISE .</w:t>
      </w:r>
      <w:r>
        <w:br/>
        <w:br/>
        <w:t>As condições comerciais aqui estabelecidas foram baseadas nas configurações e distribuição geográfica dos equipamentos, informados pelo cliente.  Quaisquer alterações, as quais deverão ser informadas previamente, com 30 (trinta) dias de antecedência, resultarão na revalidação das condições comerciais, técnicas e tributárias incluindo possível impacto no atendimento ao nível de serviço acordado e aumento dos preços originalmente contratados.</w:t>
      </w:r>
      <w:r>
        <w:br/>
        <w:br/>
        <w:t>Os preços, condições e valores desta proposta consideram que os equipamentos objeto dos serviços encontram-se em bom estado de conservação e em sua configuração original. A HPE durante o prazo de 30 (trinta) dias, contados do início dos serviços, efetuará a análise técnica, presencial ou remota, do parque de equipamentos objeto do contrato a fim de verificar se os equipamentos se encontram nas condições mínimas de prestação de serviços. Caso a HPE identifique que os equipamentos não são elegíveis aos serviços contratados, enviará ao cliente os custos dos reparos necessários aos equipamentos; e, caso o cliente não efetue o respectivo pagamento ou não autorize os serviços, os equipamentos serão automaticamente excluídos dos serviços. Ainda, durante a vigência dos serviços, caso a HPE identifique que ocorreram alterações das configurações do equipamento, incluindo suas peças, os mesmos serão (a) automaticamente excluídos dos serviços; ou (b) mantidos sob o escopo contratual, desde que o Cliente efetue o pagamento dos valores necessários para o reestabelecimento do equipamento.</w:t>
      </w:r>
      <w:r>
        <w:br/>
        <w:br/>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 A substituição destes itens deve ser feita por produtos originais e compatíveis. A não utilização de produtos originais e compatíveis que venham a causar dano ao produto, exclui o mesmo do contrato até a sua adequação, eliminando-se o equipamento do suporte.</w:t>
      </w:r>
    </w:p>
    <w:p>
      <w:r>
        <w:br w:type="page"/>
      </w:r>
    </w:p>
    <w:p>
      <w:pPr>
        <w:pStyle w:val="Title"/>
      </w:pPr>
      <w:r>
        <w:t>Condições de Pagamento</w:t>
        <w:br/>
        <w:br/>
      </w:r>
    </w:p>
    <w:p>
      <w:r>
        <w:t xml:space="preserve">A parcela mensal é devida no primeiro dia útil de cada mês de vigência do presente CONTRATO e deverá ser paga à HEWLETT PACKARD ENTERPRISE  em sua sede administrativa (ou a quem e onde a HEWLETT PACKARD ENTERPRISE  indicar), até o último dia útil do mesmo mês ou até a data de vencimento fixada na respectiva fatura. </w:t>
        <w:br/>
      </w:r>
    </w:p>
    <w:p>
      <w:r>
        <w:br w:type="page"/>
      </w:r>
    </w:p>
    <w:p>
      <w:pPr>
        <w:pStyle w:val="Title"/>
      </w:pPr>
      <w:r>
        <w:t>Tributos</w:t>
      </w:r>
    </w:p>
    <w:p>
      <w:r>
        <w:br/>
        <w:br/>
        <w:t>Os valores apresentados acima incluem todos os impostos e tributos incidentes sobre os serviços ou produtos objeto desta Proposta de acordo com a legislação em vigor aplicáveis ao local de prestação dos serviços e entrega de produtos, exceto ICMS diferencial de alíquota.</w:t>
      </w:r>
      <w:r>
        <w:br/>
        <w:br/>
        <w:t xml:space="preserve">Na eventualidade de ser devido diferencial de aliquota do ICMS ao Estado de destino, o pagamento do valor correspondente será de acordo com a legislação vigente. </w:t>
      </w:r>
      <w:r>
        <w:br/>
        <w:br/>
        <w:t xml:space="preserve">Cada espécie ou tipo de serviço ou produto previsto na presente Proposta será faturado de forma segregada a fim de atender a legislação do local da prestação dos serviços ou entrega de produtos, dessa forma, a Hewlett Packard Enterprise emitirá notas-fiscais específicas para cada serviço ou produto fornecido. O estabelecimento que emitir a fatura de serviços será o mesmo do prestador desse serviço, objeto da presente proposta. </w:t>
      </w:r>
      <w:r>
        <w:br/>
        <w:br/>
        <w:t>Os serviços a serem prestados não constituem de qualquer forma cessão de mão-de-obra e não contemplam quaisquer retenções de tributos, impostos, contribuições ou taxas pelo Cliente, dessa forma, caso o Cliente efetue qualquer retenção, deverá informar previamente a Hewlett Packard Enterprise, bem como as condições e valores ora ofertados serão revistos diante do impacto ocasionado por eventual retenção. Ainda, o Cliente deverá enviar à Hewlett Packard Enterprise todos os comprovantes e guias de pagamentos da referida retenção.</w:t>
      </w:r>
      <w:r>
        <w:br/>
        <w:br/>
        <w:t>Quaisquer tributos ou encargos criados, alterados ou extintos, bem como a superveniência de disposições legais quando ocorridas após a data de apresentação da Proposta, e de comprovada repercussão nos preços ofertados, implicarão na revisão destes para mais ou para menos, conforme o caso.</w:t>
      </w:r>
    </w:p>
    <w:p>
      <w:r>
        <w:br w:type="page"/>
      </w:r>
    </w:p>
    <w:p>
      <w:pPr>
        <w:pStyle w:val="Title"/>
      </w:pPr>
      <w:r>
        <w:t>Condições para Aceitação do Pedido e Faturamento</w:t>
      </w:r>
    </w:p>
    <w:p>
      <w:r>
        <w:br/>
        <w:br/>
        <w:t xml:space="preserve">Sujeitas à aprovação de crédito. </w:t>
        <w:br/>
        <w:br/>
        <w:t>Para clientes novos e/ou situação de renovação,solicitamos os seguintes documentos para análise:</w:t>
        <w:br/>
        <w:t>•</w:t>
        <w:tab/>
        <w:t>Cópia do Cartão de CNPJ</w:t>
        <w:br/>
        <w:t>•</w:t>
        <w:tab/>
        <w:t>Ficha cadastral atualizada</w:t>
        <w:br/>
        <w:t>•</w:t>
        <w:tab/>
        <w:t>Contrato Social e/ou Estatuto Social consolidado e/ou últimas alterações</w:t>
        <w:br/>
        <w:t>•</w:t>
        <w:tab/>
        <w:t>Relação de Faturamento de, no mínimo, dois últimos Exercícios.</w:t>
        <w:br/>
        <w:t>•</w:t>
        <w:tab/>
        <w:t>Balanços Patrimoniais e Demonstrações de Resultado dos 03 últimos Exercicios, preferencialmente auditados</w:t>
        <w:br/>
        <w:t>•</w:t>
        <w:tab/>
        <w:t>Notas explicativas de Balanço</w:t>
        <w:br/>
        <w:t>•</w:t>
        <w:tab/>
        <w:t>Balancete dos últimos 06 (seis) meses</w:t>
      </w:r>
      <w:r>
        <w:br/>
        <w:br/>
        <w:t xml:space="preserve">Estado de Faturamento: </w:t>
      </w:r>
      <w:r/>
      <w:r>
        <w:br/>
        <w:t>O faturamento poderá ser efetuado por uma das filiais da HEWLETT PACKARD ENTERPRISE  abaixo relacionadas.</w:t>
      </w:r>
      <w:r>
        <w:rPr>
          <w:b/>
        </w:rPr>
        <w:br/>
        <w:br/>
        <w:t>Início dos Serviços</w:t>
      </w:r>
      <w:r>
        <w:br/>
        <w:br/>
        <w:t xml:space="preserve">A vigência dos serviços dar-se-á de acordo com a data estabelecida no item Configuração e Preços desta proposta. </w:t>
        <w:br/>
        <w:br/>
        <w:t>Considerando os trâmites administrativos para ativação da nova vigência, solicitamos que a presente proposta seja retornada para HEWLETT PACKARD ENTERPRISE  devidamente assinada em até 05 (cinco) dias úteis anteriores ao término da vigência do contrato ora renovado. O atraso deste retorno, que não poderá ser superior a 05 (cinco) dias úteis, poderá gerar o atraso proporcional no cadastro do novo período contratual, com eventuais reflexos na prestação de serviços de suporte contratados.</w:t>
      </w:r>
    </w:p>
    <w:p>
      <w:r>
        <w:br/>
        <w:br/>
        <w:t>Considerando a necessidade de disponibilização logística dos kits para atendimento e contrato de parcerias, o compromisso de Tempo de Solução / Call-to-Repair, bem como suporte a equipamentos de outros fornecedores (Multivendor), iniciará após 30 dias a partir da assinatura desta proposta, todavia, durante este período, a HEWLETT PACKARD ENTERPRISE envidará todos os esforços para cumprimento dos níveis de serviço detalhados no item configuração e preços da proposta.</w:t>
      </w:r>
      <w:r>
        <w:rPr>
          <w:b/>
        </w:rPr>
        <w:br/>
        <w:br/>
        <w:t>Reajuste de Preços</w:t>
      </w:r>
      <w:r>
        <w:br/>
        <w:t>Em caso de prorrogação contratual, a parcela mensal será reajustada a cada 12 (doze) meses a contar da data da apresentação da proposta, respeitando o interregno de 12 meses, pela variação do IGP-M (Índice Geral de Preços de Mercado, medido pela Fundação Getúlio Vargas), tendo como base o mês anterior ao da emissão do Anexo de Configuração e Preços, do Pedido de Compra ou da aceitação eletrônica, o que tiver ocorrido primeiro.</w:t>
        <w:br/>
        <w:t>Caso o índice no período esteja negativo, não haverá redução nos valores contratuais.</w:t>
      </w:r>
      <w:r>
        <w:rPr>
          <w:b/>
        </w:rPr>
        <w:br/>
        <w:br/>
        <w:t>Penalidades por não Cumprimento do Prazo de Pagamento</w:t>
      </w:r>
      <w:r>
        <w:br/>
        <w:br/>
        <w:t>Em caso de atraso no pagamento de qualquer quantia devida em decorrência dos Produtos e Serviços prestados, incluindo reembolso de despesas, referidos valores serão acrescidos de multa moratória no importe de 2% (dois por cento), juros de mora de 1% (um por cento) ao mês e correção monetária a ser calculada pela variação do IGP-M (FGV), estes últimos calculados pro rata temporis.</w:t>
      </w:r>
      <w:r>
        <w:br/>
        <w:br/>
        <w:t xml:space="preserve">Na hipótese de ser aceito pela HEWLETT PACKARD ENTERPRISE  o envio mensal, pelo cliente, de Pedidos de Compra relacionados a este contrato, o primeiro Pedido de Compra deverá ser encaminhado em até 30 dias da data de aceite desta proposta e os demais deverão ser encaminhados, sucessivamente, no prazo de 30 dias. Eventual atraso no recebimento de um Pedido de Compra, impactando o prazo de pagamento, ensejará a imediata aplicação da referida penalidade. </w:t>
      </w:r>
    </w:p>
    <w:p>
      <w:r>
        <w:br w:type="page"/>
      </w:r>
    </w:p>
    <w:p>
      <w:pPr>
        <w:pStyle w:val="Title"/>
      </w:pPr>
      <w:r>
        <w:t>Validade da Proposta</w:t>
      </w:r>
    </w:p>
    <w:p>
      <w:r>
        <w:br/>
        <w:t xml:space="preserve">Válida até </w:t>
      </w:r>
      <w:r>
        <w:t>02 de abril de 2025</w:t>
      </w:r>
      <w:r>
        <w:rPr>
          <w:b/>
        </w:rPr>
        <w:br/>
        <w:br/>
        <w:t>Dados Cadastrais</w:t>
        <w:br/>
      </w:r>
    </w:p>
    <w:tbl>
      <w:tblPr>
        <w:tblStyle w:val="TableGrid"/>
        <w:tblW w:type="auto" w:w="0"/>
        <w:tblLayout w:type="fixed"/>
        <w:tblLook w:firstColumn="1" w:firstRow="1" w:lastColumn="0" w:lastRow="0" w:noHBand="0" w:noVBand="1" w:val="04A0"/>
      </w:tblPr>
      <w:tblGrid>
        <w:gridCol w:w="8525"/>
      </w:tblGrid>
      <w:tr>
        <w:tc>
          <w:tcPr>
            <w:tcW w:type="dxa" w:w="3600"/>
          </w:tcPr>
          <w:p>
            <w:r>
              <w:t>Para Efeito de Faturamento</w:t>
            </w:r>
          </w:p>
        </w:tc>
      </w:tr>
      <w:tr>
        <w:tc>
          <w:tcPr>
            <w:tcW w:type="dxa" w:w="3600"/>
          </w:tcPr>
          <w:p>
            <w:r>
              <w:br/>
              <w:t>Filial Barueri</w:t>
              <w:br/>
              <w:t xml:space="preserve">Hewlett-Packard Brasil Ltda. </w:t>
              <w:br/>
              <w:t>Endereço: Alameda Rio Negro, nº. 750, Térreo, Sala Rio de Janeiro</w:t>
              <w:br/>
              <w:t>CEP: 06454-000 – Alphaville  – Barueri – SP</w:t>
              <w:br/>
              <w:t>CNPJ: 61.797.924/0002-36</w:t>
              <w:br/>
              <w:t>Inscrição Estadual: 206.203.581.118</w:t>
              <w:br/>
              <w:t>Inscrição Municipal: 5.39.202-6</w:t>
              <w:br/>
            </w:r>
          </w:p>
        </w:tc>
      </w:tr>
      <w:tr>
        <w:tc>
          <w:tcPr>
            <w:tcW w:type="dxa" w:w="3600"/>
          </w:tcPr>
          <w:p>
            <w:r>
              <w:br/>
              <w:t>Filial Porto Alegre</w:t>
              <w:br/>
              <w:t xml:space="preserve">Hewlett-Packard Brasil Ltda </w:t>
              <w:br/>
              <w:t xml:space="preserve">Endereço: Av. Ipiranga, 6681 – Prédio 91B – Azenha </w:t>
              <w:br/>
              <w:t xml:space="preserve">CEP: 90610-001 – Porto Alegre/ RS </w:t>
              <w:br/>
              <w:t xml:space="preserve">CNPJ: 61.797.924/0013-99 </w:t>
              <w:br/>
              <w:t>Inscrição Estadual: 096/2962120</w:t>
              <w:br/>
              <w:t>Inscr. Municipal: 20409524</w:t>
              <w:br/>
            </w:r>
          </w:p>
        </w:tc>
      </w:tr>
      <w:tr>
        <w:tc>
          <w:tcPr>
            <w:tcW w:type="dxa" w:w="3600"/>
          </w:tcPr>
          <w:p>
            <w:r>
              <w:br/>
              <w:t>Filial Rio de Janeiro</w:t>
              <w:br/>
              <w:t>Hewlett-Packard Brasil Ltda</w:t>
              <w:br/>
              <w:t>Endereço: Avenida Almirante Barroso, 00081, SAL 33B113 PARTE 2, Centro</w:t>
              <w:br/>
              <w:t xml:space="preserve">CEP: 20031-004 - Rio de Janeiro – RJ </w:t>
              <w:br/>
              <w:t xml:space="preserve">CNPJ: 61.797.924/0016-31 </w:t>
              <w:br/>
              <w:t>Inscrição Estadual: 77.496.980</w:t>
              <w:br/>
              <w:t>Inscr. Municipal: 0.331.073-6</w:t>
              <w:br/>
            </w:r>
          </w:p>
        </w:tc>
      </w:tr>
    </w:tbl>
    <w:p>
      <w:r>
        <w:br/>
        <w:br/>
        <w:br/>
      </w:r>
    </w:p>
    <w:tbl>
      <w:tblPr>
        <w:tblStyle w:val="TableGrid"/>
        <w:tblW w:type="auto" w:w="0"/>
        <w:tblLayout w:type="autofit"/>
        <w:tblLook w:firstColumn="1" w:firstRow="1" w:lastColumn="0" w:lastRow="0" w:noHBand="0" w:noVBand="1" w:val="04A0"/>
      </w:tblPr>
      <w:tblGrid>
        <w:gridCol w:w="4262"/>
        <w:gridCol w:w="4262"/>
      </w:tblGrid>
      <w:tr>
        <w:tc>
          <w:tcPr>
            <w:tcW w:type="dxa" w:w="3600"/>
          </w:tcPr>
          <w:p>
            <w:r>
              <w:t>Descrição do serviço</w:t>
            </w:r>
          </w:p>
        </w:tc>
        <w:tc>
          <w:tcPr>
            <w:tcW w:type="dxa" w:w="3600"/>
          </w:tcPr>
          <w:p>
            <w:r>
              <w:t>Código de serviço da NF</w:t>
            </w:r>
          </w:p>
        </w:tc>
      </w:tr>
      <w:tr>
        <w:tc>
          <w:tcPr>
            <w:tcW w:type="dxa" w:w="3600"/>
          </w:tcPr>
          <w:p>
            <w:r>
              <w:t>Manutenção de equipamento para informática e automação</w:t>
            </w:r>
          </w:p>
        </w:tc>
        <w:tc>
          <w:tcPr>
            <w:tcW w:type="dxa" w:w="3600"/>
          </w:tcPr>
          <w:p>
            <w:r>
              <w:t>14.01.13214</w:t>
            </w:r>
          </w:p>
        </w:tc>
      </w:tr>
      <w:tr>
        <w:tc>
          <w:tcPr>
            <w:tcW w:type="dxa" w:w="3600"/>
          </w:tcPr>
          <w:p>
            <w:r>
              <w:t>Treinamento</w:t>
            </w:r>
          </w:p>
        </w:tc>
        <w:tc>
          <w:tcPr>
            <w:tcW w:type="dxa" w:w="3600"/>
          </w:tcPr>
          <w:p>
            <w:r>
              <w:t>08.02.14211</w:t>
            </w:r>
          </w:p>
        </w:tc>
      </w:tr>
      <w:tr>
        <w:tc>
          <w:tcPr>
            <w:tcW w:type="dxa" w:w="3600"/>
          </w:tcPr>
          <w:p>
            <w:r>
              <w:t>Software</w:t>
            </w:r>
          </w:p>
        </w:tc>
        <w:tc>
          <w:tcPr>
            <w:tcW w:type="dxa" w:w="3600"/>
          </w:tcPr>
          <w:p>
            <w:r>
              <w:t>01.07.01217</w:t>
            </w:r>
          </w:p>
        </w:tc>
      </w:tr>
    </w:tbl>
    <w:p>
      <w:r>
        <w:br/>
        <w:br/>
        <w:t>Os produtos e serviços objeto da presente proposta poderão ser prestados dos estabelecimentos da Hewlett Packard Enterprise, e a Hewlett Packard Enterprise poderá, a seu exclusivo critério, executar os Serviços ou qualquer porção dos Serviços por meio de uma Afiliada da Hewlett Packard Enterprise ou empresa pertencente ao seu Grupo Econômico. As obrigações da Hewlett Packard Enterprise sob esta Proposta e futuro Contrato serão executadas pela própria Hewlett Packard Enterprise ou por suas subsidiárias ou afiliadas, sem qualquer limitação.</w:t>
      </w:r>
    </w:p>
    <w:p>
      <w:r>
        <w:br w:type="page"/>
      </w:r>
    </w:p>
    <w:p>
      <w:pPr>
        <w:pStyle w:val="Title"/>
      </w:pPr>
      <w:r>
        <w:t>5.</w:t>
        <w:tab/>
        <w:t>Condições Gerais</w:t>
      </w:r>
      <w:r>
        <w:br/>
        <w:br/>
        <w:t>Obrigações da Hewlett Packard Enterprise</w:t>
      </w:r>
    </w:p>
    <w:p>
      <w:r>
        <w:br/>
        <w:br/>
        <w:t>A HEWLETT PACKARD ENTERPRISE  responsabiliza-se por todos os ônus e encargos trabalhistas e previdenciários resultantes da contratação e emprego de pessoas para a realização dos serviços objeto desta proposta, bem como pelos excessos e omissões praticados pelos mesmos, razão pela qual é a HEWLETT PACKARD ENTERPRISE  considerada empregadora autônoma, não existindo entre ela e seus empregados, vínculo de qualquer natureza com o Cliente.</w:t>
      </w:r>
      <w:r>
        <w:br/>
        <w:br/>
        <w:t>A HEWLETT PACKARD ENTERPRISE  obriga-se a não divulgar, reproduzir, vender ou utilizar a favor de terceiros, os trabalhos e demais dados obtidos no Cliente, através da prestação dos serviços descriminados nesta proposta, sob a pena de responsabilidade civil e criminal.</w:t>
      </w:r>
      <w:r>
        <w:br/>
        <w:br/>
        <w:t>A HEWLETT PACKARD ENTERPRISE  obriga-se, ainda, a executar os serviços, dentro das boas técnicas e dos costumes usuais em trabalho deste gênero, bem como a utilização de mão-de-obra qualificada.</w:t>
      </w:r>
      <w:r>
        <w:br/>
        <w:br/>
        <w:t>Todos os tributos (impostos, taxas e contribuições) de natureza federal, estadual e municipal, incidentes ou que venham a incidir sobre o objeto deste contrato serão de responsabilidade única da HEWLETT PACKARD ENTERPRISE .</w:t>
      </w:r>
    </w:p>
    <w:p>
      <w:r>
        <w:rPr>
          <w:b/>
        </w:rPr>
        <w:br/>
        <w:br/>
        <w:t>Recisão</w:t>
      </w:r>
      <w:r>
        <w:br/>
        <w:br/>
        <w:t xml:space="preserve">Qualquer das partes poderá rescindir este Contrato total ou parcialmente, mediante notificação por escrito à outra parte com 90 (noventa) dias de antecedência, exceto nos casos em que os equipamentos se tornarem obsoletos, hipótese em que este Contrato pode ser rescindido total ou parcialmente mediante notificação com 30 (trinta) dias de antecedência.  </w:t>
      </w:r>
      <w:r>
        <w:br/>
        <w:t>Rescisão atual: 90 dias</w:t>
      </w:r>
    </w:p>
    <w:p>
      <w:r>
        <w:rPr>
          <w:b/>
        </w:rPr>
        <w:br/>
        <w:br/>
        <w:t>Transferência</w:t>
      </w:r>
      <w:r>
        <w:br/>
        <w:br/>
        <w:t xml:space="preserve">Este acordo, bem como qualquer direito ou obrigação aqui estabelecidos, não poderão ser cedidos ou transferidos, no todo ou em parte, por qualquer uma das partes sem o prévio consentimento por escrito da outra. No entanto, a HEWLETT PACKARD ENTERPRISE  terá o direito de ceder ou transferir quaisquer dos seus direitos e obrigações decorrentes do presente contrato, caso ocorra qualquer alteração na estrutura societária da HEWLETT PACKARD ENTERPRISE , parcial ou total (por “spin-off”, cisão, alienação de bens ou mediante qualquer outra operação societária semelhante). A HEWLETT PACKARD ENTERPRISE  deverá notificar o Cliente, por escrito e em tempo razoável, após qualquer cessão ou transferência de quaisquer de suas obrigações ou direitos, conforme disposto acima. </w:t>
      </w:r>
      <w:r>
        <w:rPr>
          <w:b/>
        </w:rPr>
        <w:br/>
        <w:br/>
        <w:t>Termos e Condições Contratuais</w:t>
      </w:r>
      <w:r>
        <w:br/>
        <w:br/>
        <w:t>Aos Produtos e Serviços aqui ofertados aplicam-se o “Portfolio Terms with Supplemental Data Sheet Terms for Support (CTPF01 and CTDS01)”, registrado no Cartório Oficial de Registro de Títulos e Documentos da Comarca de Barueri – SP, protocolizado em títulos e documentos sob o nº 1774062 em 18 de outubro de 2021.</w:t>
        <w:br/>
        <w:t>Caso haja condições comerciais descritas nessa proposta divergentes das descritas no “Portfolio Terms with Supplemental Data Sheet Terms for Support (CTPF01 and CTDS01)”, prevalecem as condições da proposta.</w:t>
        <w:br/>
        <w:t>O Cliente, ao emitir um Pedido de Compra, formalizando a contratação com base nesta Proposta, aceita que:</w:t>
      </w:r>
      <w:r>
        <w:br/>
        <w:br/>
        <w:t xml:space="preserve">(i) os termos e condições constantes do “Portfolio Terms with Supplemental Data Sheet Terms for Support (CTPF01 and CTDS01)” são os únicos aplicáveis à contratação, excluindo-se expressamente todos os termos e condições padrão do Cliente que constem do referido Pedido, termos e condições estes que não produzirão quaisquer efeitos entre as partes, a qualquer título, mesmo que o Pedido do Cliente seja aceito pela HEWLETT PACKARD ENTERPRISE  e mesmo que haja disposição em contrário no referido Pedido de Compra. A HEWLETT PACKARD ENTERPRISE , ao apresentar esta Proposta e ao aceitar eventual Pedido de Compra, rejeita expressamente quaisquer termos e condições padrão do Cliente. </w:t>
        <w:br/>
        <w:t>Estes Termos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Acordo Integral</w:t>
      </w:r>
      <w:r>
        <w:br/>
        <w:br/>
        <w:t>Ao aceitar a presente Proposta, mediante assinatura deste instrumento e/ou emissão do Pedido de Compra, a mesma passa a ter força de contrato entre as partes.  Os Termos, referidos acima,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Restrições de Uso e Divulgação da Proposta</w:t>
      </w:r>
      <w:r>
        <w:br/>
        <w:br/>
        <w:t>As informações (dados) que constam de todas as folhas deste documento/cotação constituem informações confidenciais da Hewlett Packard Enterprise Ltda. (doravante referenciada “HEWLETT PACKARD ENTERPRISE ”). As informações fornecidas ao cliente não podem ser usadas ou divulgadas, sem a prévia autorização da HEWLETT PACKARD ENTERPRISE , para propósitos que não sejam os de avaliação da proposta.</w:t>
        <w:br/>
        <w:t>As propostas da HEWLETT PACKARD ENTERPRISE  poderão ser submetidas via email e mídia eletrônica para sua conveniência. Se o conteúdo diferenciar entre as cópias impressas e mídia eletrônica, somente o conteúdo da impressa será garantido pela HEWLETT PACKARD ENTERPRISE.</w:t>
      </w:r>
    </w:p>
    <w:p>
      <w:r>
        <w:br w:type="page"/>
      </w:r>
    </w:p>
    <w:p>
      <w:pPr>
        <w:pStyle w:val="Title"/>
      </w:pPr>
      <w:r>
        <w:t>6.</w:t>
        <w:tab/>
        <w:t>Termo de Aceite da Proposta / Pedido de Compra</w:t>
      </w:r>
    </w:p>
    <w:p>
      <w:r>
        <w:t>A Hewlett Packard Enterprise.</w:t>
      </w:r>
      <w:r>
        <w:br/>
        <w:t xml:space="preserve">A/C:  Sr. (a) </w:t>
      </w:r>
      <w:r>
        <w:t xml:space="preserve">Selecione o vendedor: </w:t>
      </w:r>
      <w:r>
        <w:t xml:space="preserve">/ Tel: </w:t>
      </w:r>
      <w:r>
        <w:t>Selecione o vendedor para verificar o telefone:</w:t>
      </w:r>
      <w:r>
        <w:br/>
        <w:t>Este documento tem como objetivo formalizar o aceite da proposta/cotação da Hewlett-Packard número OPE:</w:t>
      </w:r>
      <w:r/>
      <w:r>
        <w:t>, referente ao projeto</w:t>
      </w:r>
      <w:r/>
      <w:r>
        <w:t>, datado de</w:t>
      </w:r>
      <w:r>
        <w:t>02 de abril de 2025</w:t>
      </w:r>
      <w:r>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15000"/>
            <w:gridSpan w:val="3"/>
          </w:tcPr>
          <w:p>
            <w:r>
              <w:t>DECLARAÇÃO DE ACEITE DESTA PROPOSTA E ANEXOS</w:t>
            </w:r>
          </w:p>
        </w:tc>
      </w:tr>
      <w:tr>
        <w:tc>
          <w:tcPr>
            <w:tcW w:type="dxa" w:w="15000"/>
            <w:gridSpan w:val="3"/>
          </w:tcPr>
          <w:p>
            <w:r>
              <w:t xml:space="preserve">Ao aceitar esta Proposta declaro estar ciente e de acordo com a proposta e todas as cláusulas e condições do “Portfolio Terms with Supplemental Data Sheet Terms for Support (CTPF01 and CTDS01)”, item Termos e Condições Contratuais desta proposta. </w:t>
            </w:r>
          </w:p>
        </w:tc>
      </w:tr>
      <w:tr>
        <w:tc>
          <w:tcPr>
            <w:tcW w:type="dxa" w:w="15000"/>
            <w:gridSpan w:val="3"/>
          </w:tcPr>
          <w:p>
            <w:r>
              <w:t>RESPONSÁVEL PELO ACEITE DESTA PROPOSTA</w:t>
            </w:r>
          </w:p>
        </w:tc>
      </w:tr>
      <w:tr>
        <w:tc>
          <w:tcPr>
            <w:tcW w:type="dxa" w:w="10000"/>
            <w:gridSpan w:val="2"/>
          </w:tcPr>
          <w:p>
            <w:r>
              <w:t>Nome:</w:t>
            </w:r>
          </w:p>
        </w:tc>
        <w:tc>
          <w:tcPr>
            <w:tcW w:type="dxa" w:w="5000"/>
          </w:tcPr>
          <w:p>
            <w:r>
              <w:t>Cargo:</w:t>
            </w:r>
          </w:p>
        </w:tc>
      </w:tr>
      <w:tr>
        <w:tc>
          <w:tcPr>
            <w:tcW w:type="dxa" w:w="15000"/>
            <w:gridSpan w:val="3"/>
          </w:tcPr>
          <w:p>
            <w:r>
              <w:t>Departamento:</w:t>
            </w:r>
          </w:p>
        </w:tc>
      </w:tr>
      <w:tr>
        <w:tc>
          <w:tcPr>
            <w:tcW w:type="dxa" w:w="15000"/>
            <w:gridSpan w:val="3"/>
          </w:tcPr>
          <w:p>
            <w:r>
              <w:t>Assinatura:</w:t>
            </w:r>
          </w:p>
        </w:tc>
      </w:tr>
      <w:tr>
        <w:tc>
          <w:tcPr>
            <w:tcW w:type="dxa" w:w="15000"/>
            <w:gridSpan w:val="3"/>
          </w:tcPr>
          <w:p>
            <w:r>
              <w:t>Local e Data:</w:t>
            </w:r>
          </w:p>
        </w:tc>
      </w:tr>
      <w:tr>
        <w:tc>
          <w:tcPr>
            <w:tcW w:type="dxa" w:w="15000"/>
            <w:gridSpan w:val="3"/>
          </w:tcPr>
          <w:p>
            <w:r>
              <w:t>Razão Social:</w:t>
            </w:r>
          </w:p>
        </w:tc>
      </w:tr>
      <w:tr>
        <w:tc>
          <w:tcPr>
            <w:tcW w:type="dxa" w:w="15000"/>
            <w:gridSpan w:val="3"/>
          </w:tcPr>
          <w:p>
            <w:r>
              <w:t>INFORMAÇÃO DE FATURAMENTO</w:t>
            </w:r>
          </w:p>
        </w:tc>
      </w:tr>
      <w:tr>
        <w:tc>
          <w:tcPr>
            <w:tcW w:type="dxa" w:w="15000"/>
            <w:gridSpan w:val="3"/>
          </w:tcPr>
          <w:p>
            <w:r>
              <w:t>Razão Social:</w:t>
            </w:r>
          </w:p>
        </w:tc>
      </w:tr>
      <w:tr>
        <w:tc>
          <w:tcPr>
            <w:tcW w:type="dxa" w:w="15000"/>
            <w:gridSpan w:val="3"/>
          </w:tcPr>
          <w:p>
            <w:r>
              <w:t>Endereço de Faturamento:</w:t>
            </w:r>
          </w:p>
        </w:tc>
      </w:tr>
      <w:tr>
        <w:tc>
          <w:tcPr>
            <w:tcW w:type="dxa" w:w="10000"/>
            <w:gridSpan w:val="2"/>
          </w:tcPr>
          <w:p>
            <w:r>
              <w:t>CNPJ:</w:t>
            </w:r>
          </w:p>
        </w:tc>
        <w:tc>
          <w:tcPr>
            <w:tcW w:type="dxa" w:w="5000"/>
          </w:tcPr>
          <w:p/>
        </w:tc>
      </w:tr>
      <w:tr>
        <w:tc>
          <w:tcPr>
            <w:tcW w:type="dxa" w:w="15000"/>
            <w:gridSpan w:val="3"/>
          </w:tcPr>
          <w:p>
            <w:r>
              <w:t>Inscr. Estadual:</w:t>
            </w:r>
          </w:p>
        </w:tc>
      </w:tr>
      <w:tr>
        <w:tc>
          <w:tcPr>
            <w:tcW w:type="dxa" w:w="15000"/>
            <w:gridSpan w:val="3"/>
          </w:tcPr>
          <w:p>
            <w:r>
              <w:t>O faturamento da presente contratação não dependerá da emissão de Pedido de Compra e/ou Contrato específico, assim, a presente Proposta será o único instrumento contratual válido entre a HPE e o Cliente. Em caso de emissão de Pedido de Compra e/ou Contrato, solicitamos assinalarem o campo ao lado: (   )</w:t>
              <w:br/>
              <w:br/>
              <w:t xml:space="preserve">** a emissão de Pedido de Compra será entendida como o aceite integral dessa Proposta, sendo que os termos e condições deste documento prevalecem sobre quaisquer outras disposições anteriormente ou posteriormente emitidas e regem a presente relação comercial entre a HPE e o Cliente.   </w:t>
            </w:r>
          </w:p>
        </w:tc>
      </w:tr>
      <w:tr>
        <w:tc>
          <w:tcPr>
            <w:tcW w:type="dxa" w:w="15000"/>
            <w:gridSpan w:val="3"/>
          </w:tcPr>
          <w:p>
            <w:r>
              <w:t>Aceita faturamento parcial:     (   ) sim          (    ) não</w:t>
            </w:r>
          </w:p>
        </w:tc>
      </w:tr>
      <w:tr>
        <w:tc>
          <w:tcPr>
            <w:tcW w:type="dxa" w:w="15000"/>
            <w:gridSpan w:val="3"/>
          </w:tcPr>
          <w:p>
            <w:r>
              <w:t>Aceita diferença de centavos:     (   ) sim          (    ) não</w:t>
            </w:r>
          </w:p>
        </w:tc>
      </w:tr>
      <w:tr>
        <w:tc>
          <w:tcPr>
            <w:tcW w:type="dxa" w:w="15000"/>
            <w:gridSpan w:val="3"/>
          </w:tcPr>
          <w:p>
            <w:r>
              <w:t xml:space="preserve">Possui janela de faturamento:     (   ) sim          (    ) não </w:t>
              <w:br/>
              <w:br/>
              <w:t>Caso positivo informar data limite mensal para recebimento das notas fiscais: _____________</w:t>
            </w:r>
          </w:p>
        </w:tc>
      </w:tr>
      <w:tr>
        <w:tc>
          <w:tcPr>
            <w:tcW w:type="dxa" w:w="15000"/>
            <w:gridSpan w:val="3"/>
          </w:tcPr>
          <w:p>
            <w:r>
              <w:t>INFORMAÇÃO E LOCAL DE ENTREGA</w:t>
            </w:r>
          </w:p>
        </w:tc>
      </w:tr>
      <w:tr>
        <w:tc>
          <w:tcPr>
            <w:tcW w:type="dxa" w:w="15000"/>
            <w:gridSpan w:val="3"/>
          </w:tcPr>
          <w:p>
            <w:r>
              <w:t>Razão Social:</w:t>
            </w:r>
          </w:p>
        </w:tc>
      </w:tr>
      <w:tr>
        <w:tc>
          <w:tcPr>
            <w:tcW w:type="dxa" w:w="15000"/>
            <w:gridSpan w:val="3"/>
          </w:tcPr>
          <w:p>
            <w:r>
              <w:t>Endereço de entrega: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mídia eletrônica de software::</w:t>
            </w:r>
          </w:p>
        </w:tc>
      </w:tr>
      <w:tr>
        <w:tc>
          <w:tcPr>
            <w:tcW w:type="dxa" w:w="15000"/>
            <w:gridSpan w:val="3"/>
          </w:tcPr>
          <w:p>
            <w:r>
              <w:t xml:space="preserve">*** (Caso o CNPJ do local de entrega seja diferente do CNPJ da empresa contratante, favor informar se é um operador logístico/filial ou um datacenter e o contato: </w:t>
              <w:br/>
              <w:br/>
            </w:r>
          </w:p>
        </w:tc>
      </w:tr>
      <w:tr>
        <w:tc>
          <w:tcPr>
            <w:tcW w:type="dxa" w:w="15000"/>
            <w:gridSpan w:val="3"/>
          </w:tcPr>
          <w:p>
            <w:r>
              <w:t>Necessário pré-agendamento? (   ) sim          (    ) não</w:t>
            </w:r>
          </w:p>
        </w:tc>
      </w:tr>
      <w:tr>
        <w:tc>
          <w:tcPr>
            <w:tcW w:type="dxa" w:w="15000"/>
            <w:gridSpan w:val="3"/>
          </w:tcPr>
          <w:p>
            <w:r>
              <w:t>Possuim restrição de horário para recebimento do produto? (   ) sim          (    ) não</w:t>
              <w:br/>
              <w:t>Caso positivo, informar os horários.:</w:t>
              <w:br/>
              <w:br/>
            </w:r>
          </w:p>
        </w:tc>
      </w:tr>
      <w:tr>
        <w:tc>
          <w:tcPr>
            <w:tcW w:type="dxa" w:w="15000"/>
            <w:gridSpan w:val="3"/>
          </w:tcPr>
          <w:p>
            <w:r>
              <w:t>INFORMAÇÃO DE COBRANÇA:</w:t>
            </w:r>
          </w:p>
        </w:tc>
      </w:tr>
      <w:tr>
        <w:tc>
          <w:tcPr>
            <w:tcW w:type="dxa" w:w="15000"/>
            <w:gridSpan w:val="3"/>
          </w:tcPr>
          <w:p>
            <w:r>
              <w:t>Endereço de Cobrança: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Nota Fiscal Eletrônica:</w:t>
            </w:r>
          </w:p>
        </w:tc>
      </w:tr>
      <w:tr>
        <w:tc>
          <w:tcPr>
            <w:tcW w:type="dxa" w:w="15000"/>
            <w:gridSpan w:val="3"/>
          </w:tcPr>
          <w:p>
            <w:r>
              <w:t>Comentários Adicionais:</w:t>
            </w:r>
          </w:p>
        </w:tc>
      </w:tr>
    </w:tbl>
    <w:p>
      <w:r>
        <w:br w:type="page"/>
      </w:r>
    </w:p>
    <w:p>
      <w:pPr>
        <w:pStyle w:val="Title"/>
      </w:pPr>
      <w:r>
        <w:br/>
        <w:t>7.</w:t>
        <w:tab/>
        <w:t xml:space="preserve">Anexos </w:t>
      </w:r>
    </w:p>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