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Section 2: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000"/>
          </w:tcPr>
          <w:p>
            <w:r>
              <w:t>•</w:t>
              <w:tab/>
              <w:t>Acesso pelo telefone a especialistas</w:t>
            </w:r>
          </w:p>
        </w:tc>
        <w:tc>
          <w:tcPr>
            <w:tcW w:type="dxa" w:w="4000"/>
          </w:tcPr>
          <w:p>
            <w:r>
              <w:t>•</w:t>
              <w:tab/>
              <w:t>Alertas preventivos HPE InfoSight</w:t>
            </w:r>
          </w:p>
        </w:tc>
      </w:tr>
      <w:tr>
        <w:tc>
          <w:tcPr>
            <w:tcW w:type="dxa" w:w="4000"/>
          </w:tcPr>
          <w:p>
            <w:r>
              <w:t>•</w:t>
              <w:tab/>
              <w:t>Bate-papo online com especialistas</w:t>
            </w:r>
          </w:p>
        </w:tc>
        <w:tc>
          <w:tcPr>
            <w:tcW w:type="dxa" w:w="4000"/>
          </w:tcPr>
          <w:p>
            <w:r>
              <w:t>•</w:t>
              <w:tab/>
              <w:t>Registro de incidentes automatizado</w:t>
            </w:r>
          </w:p>
        </w:tc>
      </w:tr>
      <w:tr>
        <w:tc>
          <w:tcPr>
            <w:tcW w:type="dxa" w:w="4000"/>
          </w:tcPr>
          <w:p>
            <w:r>
              <w:t>•</w:t>
              <w:tab/>
              <w:t>Respostas ao fórum dadas por especialistas</w:t>
            </w:r>
          </w:p>
        </w:tc>
        <w:tc>
          <w:tcPr>
            <w:tcW w:type="dxa" w:w="4000"/>
          </w:tcPr>
          <w:p>
            <w:r>
              <w:t>•</w:t>
              <w:tab/>
              <w:t>Biblioteca de dicas técnicas</w:t>
            </w:r>
          </w:p>
        </w:tc>
      </w:tr>
      <w:tr>
        <w:tc>
          <w:tcPr>
            <w:tcW w:type="dxa" w:w="4000"/>
          </w:tcPr>
          <w:p>
            <w:r>
              <w:t>•</w:t>
              <w:tab/>
              <w:t>Orientação técnica geral</w:t>
            </w:r>
          </w:p>
        </w:tc>
        <w:tc>
          <w:tcPr>
            <w:tcW w:type="dxa" w:w="4000"/>
          </w:tcPr>
          <w:p>
            <w:r>
              <w:t>•</w:t>
              <w:tab/>
              <w:t>Acesso a informações e serviços de suporte eletrônico</w:t>
            </w:r>
          </w:p>
        </w:tc>
      </w:tr>
      <w:tr>
        <w:tc>
          <w:tcPr>
            <w:tcW w:type="dxa" w:w="4000"/>
          </w:tcPr>
          <w:p>
            <w:r>
              <w:t>•</w:t>
              <w:tab/>
              <w:t>Assistência HPE InfoSight</w:t>
            </w:r>
          </w:p>
        </w:tc>
        <w:tc>
          <w:tcPr>
            <w:tcW w:type="dxa" w:w="4000"/>
          </w:tcPr>
          <w:p>
            <w:r>
              <w:t>•</w:t>
              <w:tab/>
              <w:t>Gerenciamento de interrupções (apenas no nível de serviço de Crítico)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