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333333"/>
        </w:rPr>
        <w:t>RF Propagation Model — Exposed Parameters</w:t>
      </w:r>
    </w:p>
    <w:p>
      <w:r>
        <w:t>The following parameters are exposed in the web UI and directly control how the SPLAT! / Longley-Rice (ITWOM) propagation model computes RF coverage predictions. Selecting values appropriate for your deployment environment is critical for accurate results.</w:t>
      </w:r>
    </w:p>
    <w:tbl>
      <w:tblPr>
        <w:tblStyle w:val="LightGrid-Accent1"/>
        <w:tblW w:type="auto" w:w="0"/>
        <w:jc w:val="center"/>
        <w:tblLayout w:type="autofit"/>
        <w:tblLook w:firstColumn="1" w:firstRow="1" w:lastColumn="0" w:lastRow="0" w:noHBand="0" w:noVBand="1" w:val="04A0"/>
      </w:tblPr>
      <w:tblGrid>
        <w:gridCol w:w="2304"/>
        <w:gridCol w:w="4320"/>
        <w:gridCol w:w="4320"/>
      </w:tblGrid>
      <w:tr>
        <w:tc>
          <w:tcPr>
            <w:tcW w:type="dxa" w:w="2880"/>
          </w:tcPr>
          <w:p>
            <w:pPr>
              <w:jc w:val="center"/>
            </w:pPr>
            <w:r/>
            <w:r>
              <w:rPr>
                <w:b/>
                <w:color w:val="FFFFFF"/>
                <w:sz w:val="22"/>
              </w:rPr>
              <w:t>Parameter</w:t>
            </w:r>
          </w:p>
        </w:tc>
        <w:tc>
          <w:tcPr>
            <w:tcW w:type="dxa" w:w="2880"/>
          </w:tcPr>
          <w:p>
            <w:pPr>
              <w:jc w:val="center"/>
            </w:pPr>
            <w:r/>
            <w:r>
              <w:rPr>
                <w:b/>
                <w:color w:val="FFFFFF"/>
                <w:sz w:val="22"/>
              </w:rPr>
              <w:t>What It Does</w:t>
            </w:r>
          </w:p>
        </w:tc>
        <w:tc>
          <w:tcPr>
            <w:tcW w:type="dxa" w:w="2880"/>
          </w:tcPr>
          <w:p>
            <w:pPr>
              <w:jc w:val="center"/>
            </w:pPr>
            <w:r/>
            <w:r>
              <w:rPr>
                <w:b/>
                <w:color w:val="FFFFFF"/>
                <w:sz w:val="22"/>
              </w:rPr>
              <w:t>How It Impacts RF Plots</w:t>
            </w:r>
          </w:p>
        </w:tc>
      </w:tr>
      <w:tr>
        <w:tc>
          <w:tcPr>
            <w:tcW w:type="dxa" w:w="2304"/>
          </w:tcPr>
          <w:p>
            <w:r/>
            <w:r>
              <w:rPr>
                <w:b/>
                <w:sz w:val="22"/>
              </w:rPr>
              <w:t>Ground Type</w:t>
            </w:r>
          </w:p>
        </w:tc>
        <w:tc>
          <w:tcPr>
            <w:tcW w:type="dxa" w:w="4320"/>
          </w:tcPr>
          <w:p>
            <w:r>
              <w:t>Sets the earth's dielectric constant (εr) and conductivity (σ) used by the Longley-Rice model. Different terrain types reflect, absorb, and conduct RF energy differently.</w:t>
              <w:br/>
              <w:br/>
              <w:t>Options: Desert / Dry Sand, Poor Ground (Rocky/Dry), Average Ground (Farmland/Forest), Good Ground (Rich Soil), Marshy Land, City / Urban, Fresh Water, Salt Water / Salt Flat.</w:t>
              <w:br/>
              <w:br/>
              <w:t>Default: Desert (εr = 13, σ = 0.002 S/m).</w:t>
            </w:r>
          </w:p>
        </w:tc>
        <w:tc>
          <w:tcPr>
            <w:tcW w:type="dxa" w:w="4320"/>
          </w:tcPr>
          <w:p>
            <w:r>
              <w:t>Desert sand absorbs more ground-wave energy than rich soil or salt water. Selecting the correct terrain makes near-ground signal predictions more realistic. For example, choosing “Salt Water” dramatically extends predicted coverage, while “City” or “Poor Ground” shrinks it.</w:t>
              <w:br/>
              <w:br/>
              <w:t>The previous hardcoded value was “Average Ground” (εr = 15, σ = 0.005), which was too conductive for Nevada desert terrain and distorted path-loss predictions.</w:t>
            </w:r>
          </w:p>
        </w:tc>
      </w:tr>
      <w:tr>
        <w:tc>
          <w:tcPr>
            <w:tcW w:type="dxa" w:w="2304"/>
          </w:tcPr>
          <w:p>
            <w:r/>
            <w:r>
              <w:rPr>
                <w:b/>
                <w:sz w:val="22"/>
              </w:rPr>
              <w:t>Climate Zone</w:t>
            </w:r>
          </w:p>
        </w:tc>
        <w:tc>
          <w:tcPr>
            <w:tcW w:type="dxa" w:w="4320"/>
          </w:tcPr>
          <w:p>
            <w:r>
              <w:t>Selects one of 7 ITU radio climate classifications that control how the atmosphere refracts, scatters, and fades the signal over distance. Each zone encodes different statistical distributions of atmospheric conditions.</w:t>
              <w:br/>
              <w:br/>
              <w:t>Options: Equatorial, Continental Subtropical, Maritime Subtropical, Desert, Continental Temperate, Maritime Temperate (over land), Maritime Temperate (over sea).</w:t>
              <w:br/>
              <w:br/>
              <w:t>Default: Desert (Zone 4).</w:t>
            </w:r>
          </w:p>
        </w:tc>
        <w:tc>
          <w:tcPr>
            <w:tcW w:type="dxa" w:w="4320"/>
          </w:tcPr>
          <w:p>
            <w:r>
              <w:t>Desert climate has low humidity and minimal tropospheric scatter compared to maritime or equatorial zones. The previous default was “Continental Temperate” (Zone 5), which assumes more atmospheric moisture and refraction than actually exists in the Great Basin, causing over-prediction of atmospheric path loss at longer ranges.</w:t>
              <w:br/>
              <w:br/>
              <w:t>Switching to Desert allows the model to predict slightly better long-range propagation, matching real-world LoRa observations.</w:t>
            </w:r>
          </w:p>
        </w:tc>
      </w:tr>
      <w:tr>
        <w:tc>
          <w:tcPr>
            <w:tcW w:type="dxa" w:w="2304"/>
          </w:tcPr>
          <w:p>
            <w:r/>
            <w:r>
              <w:rPr>
                <w:b/>
                <w:sz w:val="22"/>
              </w:rPr>
              <w:t>Prediction Reliability</w:t>
            </w:r>
          </w:p>
        </w:tc>
        <w:tc>
          <w:tcPr>
            <w:tcW w:type="dxa" w:w="4320"/>
          </w:tcPr>
          <w:p>
            <w:r>
              <w:t>Controls the Longley-Rice “Fraction of Time” parameter — the percentile of the time-variability distribution that SPLAT! reports. Answers the question: “What signal level will be met or exceeded X% of the time?”</w:t>
              <w:br/>
              <w:br/>
              <w:t>Range: 10% to 90% (slider).</w:t>
              <w:br/>
              <w:br/>
              <w:t>Default: 50% (median).</w:t>
            </w:r>
          </w:p>
        </w:tc>
        <w:tc>
          <w:tcPr>
            <w:tcW w:type="dxa" w:w="4320"/>
          </w:tcPr>
          <w:p>
            <w:r>
              <w:t>At 10–30% (optimistic), the model reports best-case / fair-weather signal levels, producing larger coverage areas. At 50% (median), half the time is better and half worse. At 70–90% (conservative), coverage shrinks because you are demanding the signal hold up even under poor atmospheric conditions.</w:t>
              <w:br/>
              <w:br/>
              <w:t>For LoRa nodes that tolerate intermittent fading, lowering this toward 10–30% produces predictions that better match observed real-world links. The previous hardcoded value was 50%, which compounded with other conservative defaults to dramatically under-predict coverage.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