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sz w:val="32"/>
          <w:szCs w:val="32"/>
        </w:rPr>
        <w:t xml:space="preserve">Financial Market Volatility Forecasting via Deep Learning</w:t>
      </w:r>
    </w:p>
    <w:p>
      <w:pPr>
        <w:spacing w:after="120"/>
        <w:jc w:val="center"/>
      </w:pPr>
      <w:r>
        <w:rPr>
          <w:sz w:val="24"/>
          <w:szCs w:val="24"/>
        </w:rPr>
        <w:t xml:space="preserve">CSC 4343 — Applied Deep Learning</w:t>
      </w:r>
    </w:p>
    <w:p>
      <w:pPr>
        <w:spacing w:after="120"/>
        <w:jc w:val="center"/>
      </w:pPr>
      <w:r>
        <w:rPr>
          <w:sz w:val="24"/>
          <w:szCs w:val="24"/>
        </w:rPr>
        <w:t xml:space="preserve">Landin Sanborn, David Vennen, Thien-an (Derek), Nathan Pham, Erfan Zarafshan</w:t>
      </w:r>
    </w:p>
    <w:p>
      <w:pPr>
        <w:spacing w:after="480"/>
        <w:jc w:val="center"/>
      </w:pPr>
      <w:r>
        <w:rPr>
          <w:i/>
          <w:iCs/>
          <w:sz w:val="24"/>
          <w:szCs w:val="24"/>
        </w:rPr>
        <w:t xml:space="preserve">Louisiana State University</w:t>
      </w:r>
    </w:p>
    <w:p>
      <w:pPr>
        <w:pStyle w:val="Heading1"/>
        <w:spacing w:after="180" w:before="360"/>
      </w:pPr>
      <w:r>
        <w:t xml:space="preserve">Abstract</w:t>
      </w:r>
    </w:p>
    <w:p>
      <w:pPr>
        <w:spacing w:after="120" w:line="276"/>
        <w:jc w:val="left"/>
      </w:pPr>
      <w:r>
        <w:t xml:space="preserve">We investigate whether a deep learning model can produce useful out-of-sample forecasts of realized volatility for individual U.S. equities. Volatility forecasts feed directly into options pricing, portfolio risk management, and position sizing decisions, but financial return data is notoriously noisy and many of the most informative inputs are not directly observable. We construct a daily feature dataset from one-minute OHLCV bars covering 503 S&amp;P 500 constituents from 2000 through early 2026, augmented with macroeconomic indicators from the Federal Reserve Economic Database (FRED) — five-year inflation expectations, two- and ten-year U.S. Treasury yields, and the Daily Economic Policy Uncertainty Index. A two-layer LSTM is trained per ticker to forecast the next 21 trading days of realized volatility, and is benchmarked against naive persistence and rolling-mean baselines. We report MSE, MAE, RMSE, and directional accuracy on a held-out test window, and discuss whether the LSTM offers improvement beyond what is already implied by a stock's own recent volatility.</w:t>
      </w:r>
    </w:p>
    <w:p>
      <w:pPr>
        <w:pStyle w:val="Heading1"/>
        <w:spacing w:after="180" w:before="360"/>
      </w:pPr>
      <w:r>
        <w:t xml:space="preserve">1. Introduction</w:t>
      </w:r>
    </w:p>
    <w:p>
      <w:pPr>
        <w:spacing w:after="120" w:line="276"/>
        <w:jc w:val="left"/>
      </w:pPr>
      <w:r>
        <w:t xml:space="preserve">Volatility — the dispersion of asset returns around their mean — is a central input to nearly every quantitative finance problem. Options prices depend explicitly on the expected variance of the underlying's returns over the life of the contract, risk-management systems use volatility to size positions and set margin requirements, and portfolio construction frameworks treat covariance estimation as a primary driver of asset weights. Better volatility forecasts therefore translate directly into better pricing, better hedging, and better risk control.</w:t>
      </w:r>
    </w:p>
    <w:p>
      <w:pPr>
        <w:spacing w:after="120" w:line="276"/>
        <w:jc w:val="left"/>
      </w:pPr>
      <w:r>
        <w:t xml:space="preserve">The Efficient Market Hypothesis holds that asset prices reflect all publicly available information, which implies, as a corollary, that returns are approximately unpredictable. The dispersion of those returns, however, is itself a forecastable quantity: realized volatility exhibits well-documented clustering, persistence, and dependence on macroeconomic conditions. Classical econometric models (GARCH and its variants) exploit these properties with hand-crafted parametric specifications. Deep learning models, in principle, can recover similar regularities while also capturing nonlinear interactions and long-range dependencies that those classical models cannot.</w:t>
      </w:r>
    </w:p>
    <w:p>
      <w:pPr>
        <w:spacing w:after="120" w:line="276"/>
        <w:jc w:val="left"/>
      </w:pPr>
      <w:r>
        <w:t xml:space="preserve">In this paper we ask a focused question: can a recurrent neural network, trained on daily features derived from minute-bar OHLCV data and a small set of macro indicators, produce volatility forecasts that beat trivial baselines? We make three contributions. First, we construct a unified data pipeline that aligns minute-level equity data, FRED macro series, and a forward-shifted realized volatility target across 503 tickers. Second, we train a per-ticker LSTM to predict the next 21 trading days of realized volatility. Third, we evaluate the model against naive persistence and a rolling historical mean, and report whether the additional model complexity is justified by the metrics.</w:t>
      </w:r>
    </w:p>
    <w:p>
      <w:pPr>
        <w:pStyle w:val="Heading1"/>
        <w:spacing w:after="180" w:before="360"/>
      </w:pPr>
      <w:r>
        <w:t xml:space="preserve">2. Background and Related Work</w:t>
      </w:r>
    </w:p>
    <w:p>
      <w:pPr>
        <w:pStyle w:val="Heading2"/>
        <w:spacing w:after="120" w:before="240"/>
      </w:pPr>
      <w:r>
        <w:t xml:space="preserve">2.1 Realized Volatility</w:t>
      </w:r>
    </w:p>
    <w:p>
      <w:pPr>
        <w:spacing w:after="120" w:line="276"/>
        <w:jc w:val="left"/>
      </w:pPr>
      <w:r>
        <w:t xml:space="preserve">Volatility is most commonly measured as the standard deviation of returns over a rolling window. We use log returns rather than simple returns because log returns are approximately additive across periods, are more stationary, and avoid the asymmetry between gains and losses that simple returns introduce. Realized volatility computed this way is sometimes annualized by multiplying by the square root of the number of periods per year, but for modeling purposes the unannualized rolling standard deviation is sufficient and is what we forecast.</w:t>
      </w:r>
    </w:p>
    <w:p>
      <w:pPr>
        <w:pStyle w:val="Heading2"/>
        <w:spacing w:after="120" w:before="240"/>
      </w:pPr>
      <w:r>
        <w:t xml:space="preserve">2.2 GARCH and Classical Models</w:t>
      </w:r>
    </w:p>
    <w:p>
      <w:pPr>
        <w:spacing w:after="120" w:line="276"/>
        <w:jc w:val="left"/>
      </w:pPr>
      <w:r>
        <w:t xml:space="preserve">The dominant classical approach to volatility forecasting is the GARCH family of models, which specifies that today's conditional variance is a parametric function of past squared returns and past variances. GARCH and its asymmetric variants (EGARCH, GJR-GARCH) capture volatility clustering well, but require strong distributional assumptions and do not naturally incorporate exogenous predictors such as macroeconomic indicators.</w:t>
      </w:r>
    </w:p>
    <w:p>
      <w:pPr>
        <w:pStyle w:val="Heading2"/>
        <w:spacing w:after="120" w:before="240"/>
      </w:pPr>
      <w:r>
        <w:t xml:space="preserve">2.3 Deep Learning for Financial Time Series</w:t>
      </w:r>
    </w:p>
    <w:p>
      <w:pPr>
        <w:spacing w:after="120" w:line="276"/>
      </w:pPr>
      <w:r>
        <w:rPr>
          <w:i/>
          <w:iCs/>
          <w:color w:val="808080"/>
        </w:rPr>
        <w:t xml:space="preserve">[Brief paragraph on prior LSTM and Transformer work in financial forecasting — to be filled in with 2–3 representative citations during final pass.]</w:t>
      </w:r>
    </w:p>
    <w:p>
      <w:pPr>
        <w:pStyle w:val="Heading1"/>
        <w:spacing w:after="180" w:before="360"/>
      </w:pPr>
      <w:r>
        <w:t xml:space="preserve">3. Data</w:t>
      </w:r>
    </w:p>
    <w:p>
      <w:pPr>
        <w:pStyle w:val="Heading2"/>
        <w:spacing w:after="120" w:before="240"/>
      </w:pPr>
      <w:r>
        <w:t xml:space="preserve">3.1 Equity Price Data</w:t>
      </w:r>
    </w:p>
    <w:p>
      <w:pPr>
        <w:spacing w:after="120" w:line="276"/>
        <w:jc w:val="left"/>
      </w:pPr>
      <w:r>
        <w:t xml:space="preserve">Minute-level OHLCV data for 503 S&amp;P 500 constituents was obtained through the Finnhub API. The raw data covers January 1992 through February 2026, providing 34 years of intraday observations. Because licensing terms prohibit redistribution, the raw archive is shared among project members through institutional storage rather than committed to the public repository. Each ticker is stored as a per-month CSV file under a hierarchical directory structure organized by year and month, and is loaded into memory by a custom data loader that lazily concatenates the requested date range.</w:t>
      </w:r>
    </w:p>
    <w:p>
      <w:pPr>
        <w:spacing w:after="120" w:line="276"/>
        <w:jc w:val="left"/>
      </w:pPr>
      <w:r>
        <w:t xml:space="preserve">For modeling, we resample the raw minute bars to daily OHLCV, taking the first open, highest high, lowest low, last close, and summed volume of each trading day. Daily resolution aligns naturally with the FRED macro series and reduces noise relative to intraday data, which is dominated by microstructure effects that are not the target of this study.</w:t>
      </w:r>
    </w:p>
    <w:p>
      <w:pPr>
        <w:pStyle w:val="Heading2"/>
        <w:spacing w:after="120" w:before="240"/>
      </w:pPr>
      <w:r>
        <w:t xml:space="preserve">3.2 Macroeconomic Indicators</w:t>
      </w:r>
    </w:p>
    <w:p>
      <w:pPr>
        <w:spacing w:after="120" w:line="276"/>
        <w:jc w:val="left"/>
      </w:pPr>
      <w:r>
        <w:t xml:space="preserve">We supplement the equity data with four daily macro series from the Federal Reserve Economic Database (FRED):</w:t>
      </w:r>
    </w:p>
    <w:p>
      <w:pPr>
        <w:pStyle w:val="ListParagraph"/>
        <w:numPr>
          <w:ilvl w:val="0"/>
          <w:numId w:val="2"/>
        </w:numPr>
        <w:spacing w:after="80"/>
      </w:pPr>
      <w:r>
        <w:t xml:space="preserve">T5YIE — five-year breakeven inflation expectation derived from Treasury Inflation-Protected Securities (TIPS)</w:t>
      </w:r>
    </w:p>
    <w:p>
      <w:pPr>
        <w:pStyle w:val="ListParagraph"/>
        <w:numPr>
          <w:ilvl w:val="0"/>
          <w:numId w:val="2"/>
        </w:numPr>
        <w:spacing w:after="80"/>
      </w:pPr>
      <w:r>
        <w:t xml:space="preserve">DGS2 — two-year U.S. Treasury yield</w:t>
      </w:r>
    </w:p>
    <w:p>
      <w:pPr>
        <w:pStyle w:val="ListParagraph"/>
        <w:numPr>
          <w:ilvl w:val="0"/>
          <w:numId w:val="2"/>
        </w:numPr>
        <w:spacing w:after="80"/>
      </w:pPr>
      <w:r>
        <w:t xml:space="preserve">DGS10 — ten-year U.S. Treasury yield</w:t>
      </w:r>
    </w:p>
    <w:p>
      <w:pPr>
        <w:pStyle w:val="ListParagraph"/>
        <w:numPr>
          <w:ilvl w:val="0"/>
          <w:numId w:val="2"/>
        </w:numPr>
        <w:spacing w:after="80"/>
      </w:pPr>
      <w:r>
        <w:t xml:space="preserve">USEPUINDXD — Daily Economic Policy Uncertainty Index</w:t>
      </w:r>
    </w:p>
    <w:p>
      <w:pPr>
        <w:spacing w:after="120" w:line="276"/>
        <w:jc w:val="left"/>
      </w:pPr>
      <w:r>
        <w:t xml:space="preserve">Each series is shifted forward by one trading day to ensure the model only conditions on information that would have been publicly available at prediction time, eliminating look-ahead bias. Missing values on weekends and holidays are forward-filled to align with the equity calendar.</w:t>
      </w:r>
    </w:p>
    <w:p>
      <w:pPr>
        <w:pStyle w:val="Heading2"/>
        <w:spacing w:after="120" w:before="240"/>
      </w:pPr>
      <w:r>
        <w:t xml:space="preserve">3.3 Target Construction</w:t>
      </w:r>
    </w:p>
    <w:p>
      <w:pPr>
        <w:spacing w:after="120" w:line="276"/>
        <w:jc w:val="left"/>
      </w:pPr>
      <w:r>
        <w:t xml:space="preserve">Our target is forward-realized volatility. At each date t, we compute realized volatility as the rolling 21-day standard deviation of daily log returns ending at t, and define the target as that quantity shifted backward by 21 trading days — equivalently, the realized volatility computed over the 21 trading days following t. A 21-day window approximates one calendar month of trading and is long enough to be robust to single-day shocks while remaining short enough to be useful for tactical risk decisions.</w:t>
      </w:r>
    </w:p>
    <w:p>
      <w:pPr>
        <w:pStyle w:val="Heading2"/>
        <w:spacing w:after="120" w:before="240"/>
      </w:pPr>
      <w:r>
        <w:t xml:space="preserve">3.4 Feature Set</w:t>
      </w:r>
    </w:p>
    <w:p>
      <w:pPr>
        <w:spacing w:after="120" w:line="276"/>
        <w:jc w:val="left"/>
      </w:pPr>
      <w:r>
        <w:t xml:space="preserve">Each daily training example consists of a 60-bar look-back window over the following features:</w:t>
      </w:r>
    </w:p>
    <w:p>
      <w:pPr>
        <w:pStyle w:val="ListParagraph"/>
        <w:numPr>
          <w:ilvl w:val="0"/>
          <w:numId w:val="2"/>
        </w:numPr>
        <w:spacing w:after="80"/>
      </w:pPr>
      <w:r>
        <w:t xml:space="preserve">Daily volume</w:t>
      </w:r>
    </w:p>
    <w:p>
      <w:pPr>
        <w:pStyle w:val="ListParagraph"/>
        <w:numPr>
          <w:ilvl w:val="0"/>
          <w:numId w:val="2"/>
        </w:numPr>
        <w:spacing w:after="80"/>
      </w:pPr>
      <w:r>
        <w:t xml:space="preserve">Daily log return</w:t>
      </w:r>
    </w:p>
    <w:p>
      <w:pPr>
        <w:pStyle w:val="ListParagraph"/>
        <w:numPr>
          <w:ilvl w:val="0"/>
          <w:numId w:val="2"/>
        </w:numPr>
        <w:spacing w:after="80"/>
      </w:pPr>
      <w:r>
        <w:t xml:space="preserve">60 lagged daily log returns (return_1 through return_60)</w:t>
      </w:r>
    </w:p>
    <w:p>
      <w:pPr>
        <w:pStyle w:val="ListParagraph"/>
        <w:numPr>
          <w:ilvl w:val="0"/>
          <w:numId w:val="2"/>
        </w:numPr>
        <w:spacing w:after="80"/>
      </w:pPr>
      <w:r>
        <w:t xml:space="preserve">Four FRED macro series (one-day lagged, forward-filled)</w:t>
      </w:r>
    </w:p>
    <w:p>
      <w:pPr>
        <w:pStyle w:val="ListParagraph"/>
        <w:numPr>
          <w:ilvl w:val="0"/>
          <w:numId w:val="2"/>
        </w:numPr>
        <w:spacing w:after="80"/>
      </w:pPr>
      <w:r>
        <w:t xml:space="preserve">21-day rolling realized volatility</w:t>
      </w:r>
    </w:p>
    <w:p>
      <w:pPr>
        <w:spacing w:after="120" w:line="276"/>
        <w:jc w:val="left"/>
      </w:pPr>
      <w:r>
        <w:t xml:space="preserve">All features are scaled with a MinMaxScaler fit on the training partition only to prevent information leakage from the validation or test windows.</w:t>
      </w:r>
    </w:p>
    <w:p>
      <w:pPr>
        <w:pStyle w:val="Heading1"/>
        <w:spacing w:after="180" w:before="360"/>
      </w:pPr>
      <w:r>
        <w:t xml:space="preserve">4. Methodology</w:t>
      </w:r>
    </w:p>
    <w:p>
      <w:pPr>
        <w:pStyle w:val="Heading2"/>
        <w:spacing w:after="120" w:before="240"/>
      </w:pPr>
      <w:r>
        <w:t xml:space="preserve">4.1 Model Architecture</w:t>
      </w:r>
    </w:p>
    <w:p>
      <w:pPr>
        <w:spacing w:after="120" w:line="276"/>
        <w:jc w:val="left"/>
      </w:pPr>
      <w:r>
        <w:t xml:space="preserve">We use a two-layer LSTM with 64 hidden units per layer, dropout of 0.2 between layers, and a single-unit linear head producing a scalar prediction of next-period realized volatility. The model is trained per ticker rather than as a single pooled model across all 503 tickers; this allows each model to learn ticker-specific volatility dynamics at the cost of greater total compute.</w:t>
      </w:r>
    </w:p>
    <w:p>
      <w:pPr>
        <w:pStyle w:val="Heading2"/>
        <w:spacing w:after="120" w:before="240"/>
      </w:pPr>
      <w:r>
        <w:t xml:space="preserve">4.2 Training Setup</w:t>
      </w:r>
    </w:p>
    <w:p>
      <w:pPr>
        <w:spacing w:after="120" w:line="276"/>
        <w:jc w:val="left"/>
      </w:pPr>
      <w:r>
        <w:t xml:space="preserve">Each ticker's data is partitioned chronologically into 80% training and 20% validation. We deliberately do not shuffle, since shuffling time series would leak future information into the training window. The model is optimized with Adam (learning rate 1e-3) on mean squared error loss, with gradient norms clipped at 1.0 to prevent the exploding-gradient problem common in LSTMs. We train for 10 epochs per ticker and save the model weights at the epoch with the lowest validation loss.</w:t>
      </w:r>
    </w:p>
    <w:p>
      <w:pPr>
        <w:pStyle w:val="Heading2"/>
        <w:spacing w:after="120" w:before="240"/>
      </w:pPr>
      <w:r>
        <w:t xml:space="preserve">4.3 Reproducibility</w:t>
      </w:r>
    </w:p>
    <w:p>
      <w:pPr>
        <w:spacing w:after="120" w:line="276"/>
        <w:jc w:val="left"/>
      </w:pPr>
      <w:r>
        <w:t xml:space="preserve">All random seeds (NumPy, PyTorch CPU, PyTorch CUDA) are fixed, and CuDNN is configured for deterministic operation. This ensures that the reported results are exactly reproducible on any CUDA-equipped machine. Apple Silicon (MPS) backends are deliberately not used because MPS is non-deterministic and would prevent exact replication.</w:t>
      </w:r>
    </w:p>
    <w:p>
      <w:pPr>
        <w:pStyle w:val="Heading1"/>
        <w:spacing w:after="180" w:before="360"/>
      </w:pPr>
      <w:r>
        <w:t xml:space="preserve">5. Experiments</w:t>
      </w:r>
    </w:p>
    <w:p>
      <w:pPr>
        <w:pStyle w:val="Heading2"/>
        <w:spacing w:after="120" w:before="240"/>
      </w:pPr>
      <w:r>
        <w:t xml:space="preserve">5.1 Baselines</w:t>
      </w:r>
    </w:p>
    <w:p>
      <w:pPr>
        <w:spacing w:after="120" w:line="276"/>
        <w:jc w:val="left"/>
      </w:pPr>
      <w:r>
        <w:t xml:space="preserve">We compare the LSTM against two baselines:</w:t>
      </w:r>
    </w:p>
    <w:p>
      <w:pPr>
        <w:pStyle w:val="ListParagraph"/>
        <w:numPr>
          <w:ilvl w:val="0"/>
          <w:numId w:val="2"/>
        </w:numPr>
        <w:spacing w:after="80"/>
      </w:pPr>
      <w:r>
        <w:t xml:space="preserve">Naive Persistence: predict next-period volatility equals current-period volatility. This baseline exploits the well-known persistence in volatility and is surprisingly difficult to beat.</w:t>
      </w:r>
    </w:p>
    <w:p>
      <w:pPr>
        <w:pStyle w:val="ListParagraph"/>
        <w:numPr>
          <w:ilvl w:val="0"/>
          <w:numId w:val="2"/>
        </w:numPr>
        <w:spacing w:after="80"/>
      </w:pPr>
      <w:r>
        <w:t xml:space="preserve">Historical Mean: predict next-period volatility as the rolling 21-day mean of past realized volatility. This baseline removes some of the noise in single-day volatility estimates.</w:t>
      </w:r>
    </w:p>
    <w:p>
      <w:pPr>
        <w:pStyle w:val="Heading2"/>
        <w:spacing w:after="120" w:before="240"/>
      </w:pPr>
      <w:r>
        <w:t xml:space="preserve">5.2 Metrics</w:t>
      </w:r>
    </w:p>
    <w:p>
      <w:pPr>
        <w:spacing w:after="120" w:line="276"/>
        <w:jc w:val="left"/>
      </w:pPr>
      <w:r>
        <w:t xml:space="preserve">We report the following on the held-out validation set:</w:t>
      </w:r>
    </w:p>
    <w:p>
      <w:pPr>
        <w:pStyle w:val="ListParagraph"/>
        <w:numPr>
          <w:ilvl w:val="0"/>
          <w:numId w:val="2"/>
        </w:numPr>
        <w:spacing w:after="80"/>
      </w:pPr>
      <w:r>
        <w:t xml:space="preserve">MSE — Mean Squared Error, the loss function the LSTM is optimized against</w:t>
      </w:r>
    </w:p>
    <w:p>
      <w:pPr>
        <w:pStyle w:val="ListParagraph"/>
        <w:numPr>
          <w:ilvl w:val="0"/>
          <w:numId w:val="2"/>
        </w:numPr>
        <w:spacing w:after="80"/>
      </w:pPr>
      <w:r>
        <w:t xml:space="preserve">MAE — Mean Absolute Error, less sensitive to outliers than MSE</w:t>
      </w:r>
    </w:p>
    <w:p>
      <w:pPr>
        <w:pStyle w:val="ListParagraph"/>
        <w:numPr>
          <w:ilvl w:val="0"/>
          <w:numId w:val="2"/>
        </w:numPr>
        <w:spacing w:after="80"/>
      </w:pPr>
      <w:r>
        <w:t xml:space="preserve">RMSE — Root Mean Squared Error, in the same units as the target</w:t>
      </w:r>
    </w:p>
    <w:p>
      <w:pPr>
        <w:pStyle w:val="ListParagraph"/>
        <w:numPr>
          <w:ilvl w:val="0"/>
          <w:numId w:val="2"/>
        </w:numPr>
        <w:spacing w:after="80"/>
      </w:pPr>
      <w:r>
        <w:t xml:space="preserve">DA — Directional Accuracy, the percentage of periods where the model correctly predicted whether volatility would increase or decrease relative to the previous period</w:t>
      </w:r>
    </w:p>
    <w:p>
      <w:pPr>
        <w:pStyle w:val="Heading1"/>
        <w:spacing w:after="180" w:before="360"/>
      </w:pPr>
      <w:r>
        <w:t xml:space="preserve">6. Results</w:t>
      </w:r>
    </w:p>
    <w:p>
      <w:pPr>
        <w:spacing w:after="120" w:line="276"/>
      </w:pPr>
      <w:r>
        <w:rPr>
          <w:i/>
          <w:iCs/>
          <w:color w:val="808080"/>
        </w:rPr>
        <w:t xml:space="preserve">[Final results to be inserted once the corrected pipeline finishes its training run. The table below is a placeholder.]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center"/>
            </w:pPr>
            <w:r>
              <w:rPr>
                <w:b/>
                <w:bCs/>
              </w:rPr>
              <w:t xml:space="preserve">Model</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center"/>
            </w:pPr>
            <w:r>
              <w:rPr>
                <w:b/>
                <w:bCs/>
              </w:rPr>
              <w:t xml:space="preserve">MSE</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center"/>
            </w:pPr>
            <w:r>
              <w:rPr>
                <w:b/>
                <w:bCs/>
              </w:rPr>
              <w:t xml:space="preserve">MAE</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center"/>
            </w:pPr>
            <w:r>
              <w:rPr>
                <w:b/>
                <w:bCs/>
              </w:rPr>
              <w:t xml:space="preserve">RMSE</w:t>
            </w:r>
          </w:p>
        </w:tc>
        <w:tc>
          <w:tcPr>
            <w:tcW w:type="dxa" w:w="1872"/>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jc w:val="center"/>
            </w:pPr>
            <w:r>
              <w:rPr>
                <w:b/>
                <w:bCs/>
              </w:rPr>
              <w:t xml:space="preserve">DA (%)</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Naive Persistence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Historical Mean (21d)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LSTM</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b w:val="false"/>
                <w:bCs w:val="false"/>
              </w:rPr>
              <w:t xml:space="preserve">TBD</w:t>
            </w:r>
          </w:p>
        </w:tc>
      </w:tr>
    </w:tbl>
    <w:p>
      <w:pPr>
        <w:spacing w:after="120" w:before="240"/>
      </w:pPr>
      <w:r>
        <w:t xml:space="preserve"/>
      </w:r>
    </w:p>
    <w:p>
      <w:pPr>
        <w:spacing w:after="120" w:line="276"/>
      </w:pPr>
      <w:r>
        <w:rPr>
          <w:i/>
          <w:iCs/>
          <w:color w:val="808080"/>
        </w:rPr>
        <w:t xml:space="preserve">[Discussion paragraph: did the LSTM beat both baselines? On which metrics? Is directional accuracy meaningfully above 50%? Were results consistent across tickers, or did the model perform well only on a subset?]</w:t>
      </w:r>
    </w:p>
    <w:p>
      <w:pPr>
        <w:pStyle w:val="Heading1"/>
        <w:spacing w:after="180" w:before="360"/>
      </w:pPr>
      <w:r>
        <w:t xml:space="preserve">7. Discussion</w:t>
      </w:r>
    </w:p>
    <w:p>
      <w:pPr>
        <w:spacing w:after="120" w:line="276"/>
      </w:pPr>
      <w:r>
        <w:rPr>
          <w:i/>
          <w:iCs/>
          <w:color w:val="808080"/>
        </w:rPr>
        <w:t xml:space="preserve">[To be written after results. Likely topics: which features had the greatest predictive value, where the model failed (e.g., regime breaks like March 2020), and whether the marginal improvement over baselines justifies the computational cost.]</w:t>
      </w:r>
    </w:p>
    <w:p>
      <w:pPr>
        <w:pStyle w:val="Heading2"/>
        <w:spacing w:after="120" w:before="240"/>
      </w:pPr>
      <w:r>
        <w:t xml:space="preserve">7.1 Limitations</w:t>
      </w:r>
    </w:p>
    <w:p>
      <w:pPr>
        <w:spacing w:after="120" w:line="276"/>
        <w:jc w:val="left"/>
      </w:pPr>
      <w:r>
        <w:t xml:space="preserve">Several limitations of this study are worth noting. First, our target is statistical realized volatility, not implied volatility, and so we cannot directly assess whether our forecasts would be profitable in the options market without additional translation. Second, we train per-ticker models, which prevents the model from sharing information across stocks with similar profiles; a pooled or graph-based approach could in principle do better with the same data. Third, our macro feature set is small (four series) and could be expanded to include credit spreads, equity volatility indices like the VIX, and consumer sentiment surveys.</w:t>
      </w:r>
    </w:p>
    <w:p>
      <w:pPr>
        <w:pStyle w:val="Heading2"/>
        <w:spacing w:after="120" w:before="240"/>
      </w:pPr>
      <w:r>
        <w:t xml:space="preserve">7.2 Future Work</w:t>
      </w:r>
    </w:p>
    <w:p>
      <w:pPr>
        <w:pStyle w:val="ListParagraph"/>
        <w:numPr>
          <w:ilvl w:val="0"/>
          <w:numId w:val="2"/>
        </w:numPr>
        <w:spacing w:after="80"/>
      </w:pPr>
      <w:r>
        <w:t xml:space="preserve">Pooled cross-asset models with ticker embeddings</w:t>
      </w:r>
    </w:p>
    <w:p>
      <w:pPr>
        <w:pStyle w:val="ListParagraph"/>
        <w:numPr>
          <w:ilvl w:val="0"/>
          <w:numId w:val="2"/>
        </w:numPr>
        <w:spacing w:after="80"/>
      </w:pPr>
      <w:r>
        <w:t xml:space="preserve">Direct comparison against GARCH(1,1) as a third baseline</w:t>
      </w:r>
    </w:p>
    <w:p>
      <w:pPr>
        <w:pStyle w:val="ListParagraph"/>
        <w:numPr>
          <w:ilvl w:val="0"/>
          <w:numId w:val="2"/>
        </w:numPr>
        <w:spacing w:after="80"/>
      </w:pPr>
      <w:r>
        <w:t xml:space="preserve">Multi-horizon forecasts (5-day, 21-day, 63-day) from a single model</w:t>
      </w:r>
    </w:p>
    <w:p>
      <w:pPr>
        <w:pStyle w:val="ListParagraph"/>
        <w:numPr>
          <w:ilvl w:val="0"/>
          <w:numId w:val="2"/>
        </w:numPr>
        <w:spacing w:after="80"/>
      </w:pPr>
      <w:r>
        <w:t xml:space="preserve">Incorporation of intraday realized volatility estimators (Garman-Klass, Parkinson)</w:t>
      </w:r>
    </w:p>
    <w:p>
      <w:pPr>
        <w:pStyle w:val="Heading1"/>
        <w:spacing w:after="180" w:before="360"/>
      </w:pPr>
      <w:r>
        <w:t xml:space="preserve">8. Conclusion</w:t>
      </w:r>
    </w:p>
    <w:p>
      <w:pPr>
        <w:spacing w:after="120" w:line="276"/>
      </w:pPr>
      <w:r>
        <w:rPr>
          <w:i/>
          <w:iCs/>
          <w:color w:val="808080"/>
        </w:rPr>
        <w:t xml:space="preserve">[1–2 paragraph summary of findings and contribution. Restate whether deep learning meaningfully improves over baselines for this problem and what the natural next step would be.]</w:t>
      </w:r>
    </w:p>
    <w:p>
      <w:pPr>
        <w:pStyle w:val="Heading1"/>
        <w:spacing w:after="180" w:before="360"/>
      </w:pPr>
      <w:r>
        <w:t xml:space="preserve">References</w:t>
      </w:r>
    </w:p>
    <w:p>
      <w:pPr>
        <w:spacing w:after="120" w:line="276"/>
      </w:pPr>
      <w:r>
        <w:rPr>
          <w:i/>
          <w:iCs/>
          <w:color w:val="808080"/>
        </w:rPr>
        <w:t xml:space="preserve">[Add references during final editing pass. Likely citations: Bollerslev (1986) on GARCH; Hochreiter &amp; Schmidhuber (1997) on LSTM; one or two recent deep-learning-for-finance survey papers; FRED documentation; the Finnhub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2026-04-25T04:11:38.482Z</dcterms:created>
  <dcterms:modified xsi:type="dcterms:W3CDTF">2026-04-25T04:11:38.484Z</dcterms:modified>
</cp:coreProperties>
</file>

<file path=docProps/custom.xml><?xml version="1.0" encoding="utf-8"?>
<Properties xmlns="http://schemas.openxmlformats.org/officeDocument/2006/custom-properties" xmlns:vt="http://schemas.openxmlformats.org/officeDocument/2006/docPropsVTypes"/>
</file>