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71EB" w14:textId="77777777" w:rsidR="001021EC" w:rsidRPr="001021EC" w:rsidRDefault="001021EC" w:rsidP="001021EC">
      <w:pPr>
        <w:rPr>
          <w:b/>
          <w:bCs/>
        </w:rPr>
      </w:pPr>
      <w:r w:rsidRPr="001021EC">
        <w:rPr>
          <w:b/>
          <w:bCs/>
        </w:rPr>
        <w:t>1. Merge Brocade Authentication Block into Compare Config</w:t>
      </w:r>
    </w:p>
    <w:p w14:paraId="50EF24CE" w14:textId="77777777" w:rsidR="001021EC" w:rsidRPr="001021EC" w:rsidRDefault="001021EC" w:rsidP="001021EC">
      <w:pPr>
        <w:rPr>
          <w:b/>
          <w:bCs/>
        </w:rPr>
      </w:pPr>
      <w:r w:rsidRPr="001021EC">
        <w:rPr>
          <w:b/>
          <w:bCs/>
        </w:rPr>
        <w:t>Goal: Include the global 802.1X/MAC authentication lines in the side-by-side compare view for Brocade interfaces. This ensures the “authentication block” (global commands like mac-authentication enable…) appears in the compare window just as it does in the interface tooltip.</w:t>
      </w:r>
    </w:p>
    <w:p w14:paraId="0163C3EA" w14:textId="77777777" w:rsidR="001021EC" w:rsidRPr="001021EC" w:rsidRDefault="001021EC" w:rsidP="001021EC">
      <w:pPr>
        <w:numPr>
          <w:ilvl w:val="0"/>
          <w:numId w:val="8"/>
        </w:numPr>
        <w:rPr>
          <w:b/>
          <w:bCs/>
        </w:rPr>
      </w:pPr>
      <w:r w:rsidRPr="001021EC">
        <w:rPr>
          <w:b/>
          <w:bCs/>
        </w:rPr>
        <w:t>Open the CompareViewModule.psm1 (in StateTrace/Modules). Locate the function Load-ConfigAndTemplate. Inside this function, after assembling the interface’s config lines ($merged) and before it returns, append the device’s global auth block lines for Brocade devices.</w:t>
      </w:r>
    </w:p>
    <w:p w14:paraId="6B5F89A6" w14:textId="77777777" w:rsidR="001021EC" w:rsidRPr="001021EC" w:rsidRDefault="001021EC" w:rsidP="001021EC">
      <w:pPr>
        <w:numPr>
          <w:ilvl w:val="1"/>
          <w:numId w:val="8"/>
        </w:numPr>
        <w:rPr>
          <w:b/>
          <w:bCs/>
        </w:rPr>
      </w:pPr>
      <w:r w:rsidRPr="001021EC">
        <w:rPr>
          <w:b/>
          <w:bCs/>
        </w:rPr>
        <w:t>You can get the global lines by calling our existing helper: Get-GlobalAuthLines. For example:</w:t>
      </w:r>
    </w:p>
    <w:p w14:paraId="088040DA" w14:textId="77777777" w:rsidR="001021EC" w:rsidRPr="001021EC" w:rsidRDefault="001021EC" w:rsidP="001021EC">
      <w:pPr>
        <w:rPr>
          <w:b/>
          <w:bCs/>
        </w:rPr>
      </w:pPr>
      <w:r w:rsidRPr="001021EC">
        <w:rPr>
          <w:b/>
          <w:bCs/>
        </w:rPr>
        <w:t>$authLines = Get-GlobalAuthLines -Switch $Switch</w:t>
      </w:r>
    </w:p>
    <w:p w14:paraId="3B449C46" w14:textId="77777777" w:rsidR="001021EC" w:rsidRPr="001021EC" w:rsidRDefault="001021EC" w:rsidP="001021EC">
      <w:pPr>
        <w:rPr>
          <w:b/>
          <w:bCs/>
        </w:rPr>
      </w:pPr>
      <w:r w:rsidRPr="001021EC">
        <w:rPr>
          <w:b/>
          <w:bCs/>
        </w:rPr>
        <w:t>if ($authLines) {</w:t>
      </w:r>
    </w:p>
    <w:p w14:paraId="522C024B" w14:textId="77777777" w:rsidR="001021EC" w:rsidRPr="001021EC" w:rsidRDefault="001021EC" w:rsidP="001021EC">
      <w:pPr>
        <w:rPr>
          <w:b/>
          <w:bCs/>
        </w:rPr>
      </w:pPr>
      <w:r w:rsidRPr="001021EC">
        <w:rPr>
          <w:b/>
          <w:bCs/>
        </w:rPr>
        <w:t xml:space="preserve">    $merged += @("! GLOBAL AUTH BLOCK") + $authLines</w:t>
      </w:r>
    </w:p>
    <w:p w14:paraId="7D60E16B" w14:textId="77777777" w:rsidR="001021EC" w:rsidRPr="001021EC" w:rsidRDefault="001021EC" w:rsidP="001021EC">
      <w:pPr>
        <w:rPr>
          <w:b/>
          <w:bCs/>
        </w:rPr>
      </w:pPr>
      <w:r w:rsidRPr="001021EC">
        <w:rPr>
          <w:b/>
          <w:bCs/>
        </w:rPr>
        <w:t>}</w:t>
      </w:r>
    </w:p>
    <w:p w14:paraId="08B4AE7A" w14:textId="77777777" w:rsidR="001021EC" w:rsidRPr="001021EC" w:rsidRDefault="001021EC" w:rsidP="001021EC">
      <w:pPr>
        <w:rPr>
          <w:b/>
          <w:bCs/>
        </w:rPr>
      </w:pPr>
      <w:r w:rsidRPr="001021EC">
        <w:rPr>
          <w:b/>
          <w:bCs/>
        </w:rPr>
        <w:t>This will append a marker line (! GLOBAL AUTH BLOCK) and then each line of the authentication block to the $merged array. (The "!" marker distinguishes global config lines, matching how the tooltip displays them.)</w:t>
      </w:r>
    </w:p>
    <w:p w14:paraId="16962151" w14:textId="77777777" w:rsidR="001021EC" w:rsidRPr="001021EC" w:rsidRDefault="001021EC" w:rsidP="001021EC">
      <w:pPr>
        <w:numPr>
          <w:ilvl w:val="1"/>
          <w:numId w:val="8"/>
        </w:numPr>
        <w:rPr>
          <w:b/>
          <w:bCs/>
        </w:rPr>
      </w:pPr>
      <w:r w:rsidRPr="001021EC">
        <w:rPr>
          <w:b/>
          <w:bCs/>
        </w:rPr>
        <w:t>Confirm that this change is only applied for Brocade devices. (Note: Get-GlobalAuthLines already returns meaningful data only for Brocade switches, so no extra vendor check is needed. If $authLines is empty (non-Brocade), nothing will be added.)</w:t>
      </w:r>
    </w:p>
    <w:p w14:paraId="1888CD3C" w14:textId="77777777" w:rsidR="001021EC" w:rsidRPr="001021EC" w:rsidRDefault="001021EC" w:rsidP="001021EC">
      <w:pPr>
        <w:numPr>
          <w:ilvl w:val="0"/>
          <w:numId w:val="8"/>
        </w:numPr>
        <w:rPr>
          <w:b/>
          <w:bCs/>
        </w:rPr>
      </w:pPr>
      <w:r w:rsidRPr="001021EC">
        <w:rPr>
          <w:b/>
          <w:bCs/>
        </w:rPr>
        <w:t>Save the changes. After this, when the compare view loads interface configs, it will merge in the global authentication lines for Brocade, fixing the missing “authentication block” in the compare window.</w:t>
      </w:r>
    </w:p>
    <w:p w14:paraId="53364219" w14:textId="77777777" w:rsidR="001021EC" w:rsidRPr="001021EC" w:rsidRDefault="001021EC" w:rsidP="001021EC">
      <w:pPr>
        <w:rPr>
          <w:b/>
          <w:bCs/>
        </w:rPr>
      </w:pPr>
      <w:r w:rsidRPr="001021EC">
        <w:rPr>
          <w:b/>
          <w:bCs/>
        </w:rPr>
        <w:t>2. Update CompareView XAML for Layout and Style</w:t>
      </w:r>
    </w:p>
    <w:p w14:paraId="6392A7F9" w14:textId="77777777" w:rsidR="001021EC" w:rsidRPr="001021EC" w:rsidRDefault="001021EC" w:rsidP="001021EC">
      <w:pPr>
        <w:rPr>
          <w:b/>
          <w:bCs/>
        </w:rPr>
      </w:pPr>
      <w:r w:rsidRPr="001021EC">
        <w:rPr>
          <w:b/>
          <w:bCs/>
        </w:rPr>
        <w:t>Goal: Improve the compare panel UI – ensure it matches the Blue Angels theme, not squished, and remove redundant info. We will modify the CompareView.xaml in StateTrace/Views:</w:t>
      </w:r>
    </w:p>
    <w:p w14:paraId="0C42F512" w14:textId="77777777" w:rsidR="001021EC" w:rsidRPr="001021EC" w:rsidRDefault="001021EC" w:rsidP="001021EC">
      <w:pPr>
        <w:numPr>
          <w:ilvl w:val="0"/>
          <w:numId w:val="9"/>
        </w:numPr>
        <w:rPr>
          <w:b/>
          <w:bCs/>
        </w:rPr>
      </w:pPr>
      <w:r w:rsidRPr="001021EC">
        <w:rPr>
          <w:b/>
          <w:bCs/>
        </w:rPr>
        <w:t xml:space="preserve">Open CompareView.xaml. Locate the header TextBlocks that display the selected device and port (they have x:Name="Header1" and Header2"). Remove or comment out these two TextBlock elements. They were showing the switch </w:t>
      </w:r>
      <w:r w:rsidRPr="001021EC">
        <w:rPr>
          <w:b/>
          <w:bCs/>
        </w:rPr>
        <w:lastRenderedPageBreak/>
        <w:t>and interface again in bold (beneath the dropdowns) which is redundant. Removing them prevents the “Switch and interface noted twice” issue.</w:t>
      </w:r>
    </w:p>
    <w:p w14:paraId="7FC05F72" w14:textId="77777777" w:rsidR="001021EC" w:rsidRPr="001021EC" w:rsidRDefault="001021EC" w:rsidP="001021EC">
      <w:pPr>
        <w:numPr>
          <w:ilvl w:val="0"/>
          <w:numId w:val="9"/>
        </w:numPr>
        <w:rPr>
          <w:b/>
          <w:bCs/>
        </w:rPr>
      </w:pPr>
      <w:r w:rsidRPr="001021EC">
        <w:rPr>
          <w:b/>
          <w:bCs/>
        </w:rPr>
        <w:t>Find the Template label TextBlocks (x:Name="Template1Label" and Template2Label). They are currently italic. Make these bold for better visibility: for each, set FontWeight="Bold" (and remove the FontStyle="Italic" attribute). This will render the “Template: …” text in bold as requested.</w:t>
      </w:r>
    </w:p>
    <w:p w14:paraId="121A8331" w14:textId="77777777" w:rsidR="001021EC" w:rsidRPr="001021EC" w:rsidRDefault="001021EC" w:rsidP="001021EC">
      <w:pPr>
        <w:numPr>
          <w:ilvl w:val="0"/>
          <w:numId w:val="9"/>
        </w:numPr>
        <w:rPr>
          <w:b/>
          <w:bCs/>
        </w:rPr>
      </w:pPr>
      <w:r w:rsidRPr="001021EC">
        <w:rPr>
          <w:b/>
          <w:bCs/>
        </w:rPr>
        <w:t>Adjust the color theme to match the rest of the app (Blue Angels-inspired):</w:t>
      </w:r>
    </w:p>
    <w:p w14:paraId="1E279C23" w14:textId="77777777" w:rsidR="001021EC" w:rsidRPr="001021EC" w:rsidRDefault="001021EC" w:rsidP="001021EC">
      <w:pPr>
        <w:numPr>
          <w:ilvl w:val="1"/>
          <w:numId w:val="9"/>
        </w:numPr>
        <w:rPr>
          <w:b/>
          <w:bCs/>
        </w:rPr>
      </w:pPr>
      <w:r w:rsidRPr="001021EC">
        <w:rPr>
          <w:b/>
          <w:bCs/>
        </w:rPr>
        <w:t>Change the compare panel’s background from the light gray/blue (#F7FAFC) to the navy blue used elsewhere (#001F3F). In XAML, the outer container is a &lt;Border&gt; with Background="#F7FAFC". Update that to Background="#001F3F".</w:t>
      </w:r>
    </w:p>
    <w:p w14:paraId="709D9A11" w14:textId="77777777" w:rsidR="001021EC" w:rsidRPr="001021EC" w:rsidRDefault="001021EC" w:rsidP="001021EC">
      <w:pPr>
        <w:numPr>
          <w:ilvl w:val="1"/>
          <w:numId w:val="9"/>
        </w:numPr>
        <w:rPr>
          <w:b/>
          <w:bCs/>
        </w:rPr>
      </w:pPr>
      <w:r w:rsidRPr="001021EC">
        <w:rPr>
          <w:b/>
          <w:bCs/>
        </w:rPr>
        <w:t>After making the background dark, ensure any foreground text in the header is visible: add Foreground="White" to the static TextBlocks “Device:” and “Port:” (since white text on navy background is readable). The Template labels’ text color is set programmatically based on compliance (green, purple, red, etc.), which should still be okay on a dark background. (Green and red will contrast well; purple is a bit dark but will be used sparingly – we can adjust later if needed.) The close button (“X”) is already gold (Background="#FFD700", Foreground="Black") which is consistent with the theme’s accent color, so we’ll leave that.</w:t>
      </w:r>
    </w:p>
    <w:p w14:paraId="692C7695" w14:textId="77777777" w:rsidR="001021EC" w:rsidRPr="001021EC" w:rsidRDefault="001021EC" w:rsidP="001021EC">
      <w:pPr>
        <w:numPr>
          <w:ilvl w:val="0"/>
          <w:numId w:val="9"/>
        </w:numPr>
        <w:rPr>
          <w:b/>
          <w:bCs/>
        </w:rPr>
      </w:pPr>
      <w:r w:rsidRPr="001021EC">
        <w:rPr>
          <w:b/>
          <w:bCs/>
        </w:rPr>
        <w:t>Save the XAML. The compare panel will now use the navy background with appropriate text colors, the template labels will be bold, and the duplicate header labels are gone. This aligns the compare view’s appearance with the rest of the application’s theme and cleans up the UI.</w:t>
      </w:r>
    </w:p>
    <w:p w14:paraId="69CE2E6F" w14:textId="77777777" w:rsidR="001021EC" w:rsidRPr="001021EC" w:rsidRDefault="001021EC" w:rsidP="001021EC">
      <w:pPr>
        <w:rPr>
          <w:b/>
          <w:bCs/>
        </w:rPr>
      </w:pPr>
      <w:r w:rsidRPr="001021EC">
        <w:rPr>
          <w:b/>
          <w:bCs/>
        </w:rPr>
        <w:t>3. Prevent Compare Panel from Auto-Opening on Startup</w:t>
      </w:r>
    </w:p>
    <w:p w14:paraId="25D83F47" w14:textId="77777777" w:rsidR="001021EC" w:rsidRPr="001021EC" w:rsidRDefault="001021EC" w:rsidP="001021EC">
      <w:pPr>
        <w:rPr>
          <w:b/>
          <w:bCs/>
        </w:rPr>
      </w:pPr>
      <w:r w:rsidRPr="001021EC">
        <w:rPr>
          <w:b/>
          <w:bCs/>
        </w:rPr>
        <w:t>Goal: Only load/show the compare sidebar when the user requests it, instead of immediately at application launch. We will adjust the initialization logic:</w:t>
      </w:r>
    </w:p>
    <w:p w14:paraId="7400504B" w14:textId="77777777" w:rsidR="001021EC" w:rsidRPr="001021EC" w:rsidRDefault="001021EC" w:rsidP="001021EC">
      <w:pPr>
        <w:numPr>
          <w:ilvl w:val="0"/>
          <w:numId w:val="10"/>
        </w:numPr>
        <w:rPr>
          <w:b/>
          <w:bCs/>
        </w:rPr>
      </w:pPr>
      <w:r w:rsidRPr="001021EC">
        <w:rPr>
          <w:b/>
          <w:bCs/>
        </w:rPr>
        <w:t>Open the main startup script (MainWindow.ps1 in StateTrace/Main). Find where it calls New-CompareView -Window $window during startup (likely in the section where other views are initialized). Remove or comment out that call. This prevents the compare view user-control from loading on launch. (It was being created with width=0, but we prefer not to instantiate it until needed.)</w:t>
      </w:r>
    </w:p>
    <w:p w14:paraId="4B1554B7" w14:textId="77777777" w:rsidR="001021EC" w:rsidRPr="001021EC" w:rsidRDefault="001021EC" w:rsidP="001021EC">
      <w:pPr>
        <w:numPr>
          <w:ilvl w:val="0"/>
          <w:numId w:val="10"/>
        </w:numPr>
        <w:rPr>
          <w:b/>
          <w:bCs/>
        </w:rPr>
      </w:pPr>
      <w:r w:rsidRPr="001021EC">
        <w:rPr>
          <w:b/>
          <w:bCs/>
        </w:rPr>
        <w:t xml:space="preserve">Next, ensure the compare view is created on demand. In the Interfaces tab module (InterfaceModule.psm1 in StateTrace/Modules), locate the code for the </w:t>
      </w:r>
      <w:r w:rsidRPr="001021EC">
        <w:rPr>
          <w:b/>
          <w:bCs/>
        </w:rPr>
        <w:lastRenderedPageBreak/>
        <w:t>Compare button’s Click event ($compareButton.Add_Click({...})). At the beginning of that event handler scriptblock (before it calls Update-CompareView), insert a check to load the compare view if not already loaded. For example:</w:t>
      </w:r>
    </w:p>
    <w:p w14:paraId="6BCCFA83" w14:textId="77777777" w:rsidR="001021EC" w:rsidRPr="001021EC" w:rsidRDefault="001021EC" w:rsidP="001021EC">
      <w:pPr>
        <w:rPr>
          <w:b/>
          <w:bCs/>
        </w:rPr>
      </w:pPr>
      <w:r w:rsidRPr="001021EC">
        <w:rPr>
          <w:b/>
          <w:bCs/>
        </w:rPr>
        <w:t>if (-not $global:CompareView) {</w:t>
      </w:r>
    </w:p>
    <w:p w14:paraId="31B36961" w14:textId="77777777" w:rsidR="001021EC" w:rsidRPr="001021EC" w:rsidRDefault="001021EC" w:rsidP="001021EC">
      <w:pPr>
        <w:rPr>
          <w:b/>
          <w:bCs/>
        </w:rPr>
      </w:pPr>
      <w:r w:rsidRPr="001021EC">
        <w:rPr>
          <w:b/>
          <w:bCs/>
        </w:rPr>
        <w:t xml:space="preserve">    New-CompareView -Window $Window</w:t>
      </w:r>
    </w:p>
    <w:p w14:paraId="4ADE7665" w14:textId="77777777" w:rsidR="001021EC" w:rsidRPr="001021EC" w:rsidRDefault="001021EC" w:rsidP="001021EC">
      <w:pPr>
        <w:rPr>
          <w:b/>
          <w:bCs/>
        </w:rPr>
      </w:pPr>
      <w:r w:rsidRPr="001021EC">
        <w:rPr>
          <w:b/>
          <w:bCs/>
        </w:rPr>
        <w:t>}</w:t>
      </w:r>
    </w:p>
    <w:p w14:paraId="5370D775" w14:textId="77777777" w:rsidR="001021EC" w:rsidRPr="001021EC" w:rsidRDefault="001021EC" w:rsidP="001021EC">
      <w:pPr>
        <w:rPr>
          <w:b/>
          <w:bCs/>
        </w:rPr>
      </w:pPr>
      <w:r w:rsidRPr="001021EC">
        <w:rPr>
          <w:b/>
          <w:bCs/>
        </w:rPr>
        <w:t>This uses the same function but now at the moment of first use. (Here $Window is the main window object, available in this scope – it’s passed into New-InterfacesView and captured, so we can use it.) This way, the first time the user clicks “Compare Configs”, the compare panel control will be created and ready for Update-CompareView. Subsequent clicks will skip re-initialization because $global:CompareView will exist.</w:t>
      </w:r>
    </w:p>
    <w:p w14:paraId="2B068A62" w14:textId="77777777" w:rsidR="001021EC" w:rsidRPr="001021EC" w:rsidRDefault="001021EC" w:rsidP="001021EC">
      <w:pPr>
        <w:numPr>
          <w:ilvl w:val="0"/>
          <w:numId w:val="10"/>
        </w:numPr>
        <w:rPr>
          <w:b/>
          <w:bCs/>
        </w:rPr>
      </w:pPr>
      <w:r w:rsidRPr="001021EC">
        <w:rPr>
          <w:b/>
          <w:bCs/>
        </w:rPr>
        <w:t>Save changes. Now the compare sidebar won’t launch itself on program start – it will only load when the user actually invokes a compare.</w:t>
      </w:r>
    </w:p>
    <w:p w14:paraId="34F79424" w14:textId="77777777" w:rsidR="001021EC" w:rsidRPr="001021EC" w:rsidRDefault="001021EC" w:rsidP="001021EC">
      <w:pPr>
        <w:rPr>
          <w:b/>
          <w:bCs/>
        </w:rPr>
      </w:pPr>
      <w:r w:rsidRPr="001021EC">
        <w:rPr>
          <w:b/>
          <w:bCs/>
        </w:rPr>
        <w:t>4. Enable Dynamic Compare Panel Width (Resizable)</w:t>
      </w:r>
    </w:p>
    <w:p w14:paraId="18FAE7F2" w14:textId="77777777" w:rsidR="001021EC" w:rsidRPr="001021EC" w:rsidRDefault="001021EC" w:rsidP="001021EC">
      <w:pPr>
        <w:rPr>
          <w:b/>
          <w:bCs/>
        </w:rPr>
      </w:pPr>
      <w:r w:rsidRPr="001021EC">
        <w:rPr>
          <w:b/>
          <w:bCs/>
        </w:rPr>
        <w:t>Goal: Make the compare panel wider by default and allow it to expand with the main window, so content isn’t cut off. We’ll change the fixed width to a proportional width with a minimum size.</w:t>
      </w:r>
    </w:p>
    <w:p w14:paraId="6CA0F199" w14:textId="77777777" w:rsidR="001021EC" w:rsidRPr="001021EC" w:rsidRDefault="001021EC" w:rsidP="001021EC">
      <w:pPr>
        <w:numPr>
          <w:ilvl w:val="0"/>
          <w:numId w:val="11"/>
        </w:numPr>
        <w:rPr>
          <w:b/>
          <w:bCs/>
        </w:rPr>
      </w:pPr>
      <w:r w:rsidRPr="001021EC">
        <w:rPr>
          <w:b/>
          <w:bCs/>
        </w:rPr>
        <w:t>In the Interfaces view module (InterfaceModule.psm1), continue in the Compare button’s click handler (where it calls Update-CompareView). After calling Update-CompareView…, there is code that expands the compare column if it’s collapsed. Currently it sets a fixed pixel width (e.g. 350 or 400 px). Modify this section to use a “star” width and a minimum width:</w:t>
      </w:r>
    </w:p>
    <w:p w14:paraId="0C2240AA" w14:textId="77777777" w:rsidR="001021EC" w:rsidRPr="001021EC" w:rsidRDefault="001021EC" w:rsidP="001021EC">
      <w:pPr>
        <w:rPr>
          <w:b/>
          <w:bCs/>
        </w:rPr>
      </w:pPr>
      <w:r w:rsidRPr="001021EC">
        <w:rPr>
          <w:b/>
          <w:bCs/>
        </w:rPr>
        <w:t>$col = $Window.FindName('CompareColumn')</w:t>
      </w:r>
    </w:p>
    <w:p w14:paraId="19177002" w14:textId="77777777" w:rsidR="001021EC" w:rsidRPr="001021EC" w:rsidRDefault="001021EC" w:rsidP="001021EC">
      <w:pPr>
        <w:rPr>
          <w:b/>
          <w:bCs/>
        </w:rPr>
      </w:pPr>
      <w:r w:rsidRPr="001021EC">
        <w:rPr>
          <w:b/>
          <w:bCs/>
        </w:rPr>
        <w:t>if ($col -is [System.Windows.Controls.ColumnDefinition]) {</w:t>
      </w:r>
    </w:p>
    <w:p w14:paraId="3330C3AF" w14:textId="77777777" w:rsidR="001021EC" w:rsidRPr="001021EC" w:rsidRDefault="001021EC" w:rsidP="001021EC">
      <w:pPr>
        <w:rPr>
          <w:b/>
          <w:bCs/>
        </w:rPr>
      </w:pPr>
      <w:r w:rsidRPr="001021EC">
        <w:rPr>
          <w:b/>
          <w:bCs/>
        </w:rPr>
        <w:t xml:space="preserve">    if ($col.Width.Value -eq 0) {</w:t>
      </w:r>
    </w:p>
    <w:p w14:paraId="70CFEAEF" w14:textId="77777777" w:rsidR="001021EC" w:rsidRPr="001021EC" w:rsidRDefault="001021EC" w:rsidP="001021EC">
      <w:pPr>
        <w:rPr>
          <w:b/>
          <w:bCs/>
        </w:rPr>
      </w:pPr>
      <w:r w:rsidRPr="001021EC">
        <w:rPr>
          <w:b/>
          <w:bCs/>
        </w:rPr>
        <w:t xml:space="preserve">        # Set minimum width to ensure dropdowns and close button are fully visible  </w:t>
      </w:r>
    </w:p>
    <w:p w14:paraId="7374D546" w14:textId="77777777" w:rsidR="001021EC" w:rsidRPr="001021EC" w:rsidRDefault="001021EC" w:rsidP="001021EC">
      <w:pPr>
        <w:rPr>
          <w:b/>
          <w:bCs/>
        </w:rPr>
      </w:pPr>
      <w:r w:rsidRPr="001021EC">
        <w:rPr>
          <w:b/>
          <w:bCs/>
        </w:rPr>
        <w:t xml:space="preserve">        $col.MinWidth = 400  </w:t>
      </w:r>
    </w:p>
    <w:p w14:paraId="6426C168" w14:textId="77777777" w:rsidR="001021EC" w:rsidRPr="001021EC" w:rsidRDefault="001021EC" w:rsidP="001021EC">
      <w:pPr>
        <w:rPr>
          <w:b/>
          <w:bCs/>
        </w:rPr>
      </w:pPr>
      <w:r w:rsidRPr="001021EC">
        <w:rPr>
          <w:b/>
          <w:bCs/>
        </w:rPr>
        <w:t xml:space="preserve">        # Expand column to a proportional width (take remaining space)  </w:t>
      </w:r>
    </w:p>
    <w:p w14:paraId="3DD6B109" w14:textId="77777777" w:rsidR="001021EC" w:rsidRPr="001021EC" w:rsidRDefault="001021EC" w:rsidP="001021EC">
      <w:pPr>
        <w:rPr>
          <w:b/>
          <w:bCs/>
        </w:rPr>
      </w:pPr>
      <w:r w:rsidRPr="001021EC">
        <w:rPr>
          <w:b/>
          <w:bCs/>
        </w:rPr>
        <w:t xml:space="preserve">        $col.Width = New-Object System.Windows.GridLength(1, [System.Windows.GridUnitType]::Star)</w:t>
      </w:r>
    </w:p>
    <w:p w14:paraId="70528294" w14:textId="77777777" w:rsidR="001021EC" w:rsidRPr="001021EC" w:rsidRDefault="001021EC" w:rsidP="001021EC">
      <w:pPr>
        <w:rPr>
          <w:b/>
          <w:bCs/>
        </w:rPr>
      </w:pPr>
      <w:r w:rsidRPr="001021EC">
        <w:rPr>
          <w:b/>
          <w:bCs/>
        </w:rPr>
        <w:lastRenderedPageBreak/>
        <w:t xml:space="preserve">    }</w:t>
      </w:r>
    </w:p>
    <w:p w14:paraId="28685F94" w14:textId="77777777" w:rsidR="001021EC" w:rsidRPr="001021EC" w:rsidRDefault="001021EC" w:rsidP="001021EC">
      <w:pPr>
        <w:rPr>
          <w:b/>
          <w:bCs/>
        </w:rPr>
      </w:pPr>
      <w:r w:rsidRPr="001021EC">
        <w:rPr>
          <w:b/>
          <w:bCs/>
        </w:rPr>
        <w:t>}</w:t>
      </w:r>
    </w:p>
    <w:p w14:paraId="47277553" w14:textId="77777777" w:rsidR="001021EC" w:rsidRPr="001021EC" w:rsidRDefault="001021EC" w:rsidP="001021EC">
      <w:pPr>
        <w:rPr>
          <w:b/>
          <w:bCs/>
        </w:rPr>
      </w:pPr>
      <w:r w:rsidRPr="001021EC">
        <w:rPr>
          <w:b/>
          <w:bCs/>
        </w:rPr>
        <w:t>This change means when the compare panel opens, it will initially occupy a share of the window (by using a star unit) instead of a small fixed width. The MinWidth of 400px guarantees it’s not too narrow – so the device/port dropdowns and the “X” button won’t be cut off. As the user resizes the main window, the compare panel will grow/shrink proportionally, always at least 400px wide.</w:t>
      </w:r>
    </w:p>
    <w:p w14:paraId="4FCCD2B5" w14:textId="77777777" w:rsidR="001021EC" w:rsidRPr="001021EC" w:rsidRDefault="001021EC" w:rsidP="001021EC">
      <w:pPr>
        <w:numPr>
          <w:ilvl w:val="0"/>
          <w:numId w:val="11"/>
        </w:numPr>
        <w:rPr>
          <w:b/>
          <w:bCs/>
        </w:rPr>
      </w:pPr>
      <w:r w:rsidRPr="001021EC">
        <w:rPr>
          <w:b/>
          <w:bCs/>
        </w:rPr>
        <w:t>Remove any other hard-coded width settings for the compare column if they exist (e.g. the old [GridLength]::new(350) call in Update-CompareView, if present, can be deleted to avoid conflict – we’ll rely on the event handler’s logic now).</w:t>
      </w:r>
    </w:p>
    <w:p w14:paraId="7FBC569F" w14:textId="77777777" w:rsidR="001021EC" w:rsidRPr="001021EC" w:rsidRDefault="001021EC" w:rsidP="001021EC">
      <w:pPr>
        <w:numPr>
          <w:ilvl w:val="0"/>
          <w:numId w:val="11"/>
        </w:numPr>
        <w:rPr>
          <w:b/>
          <w:bCs/>
        </w:rPr>
      </w:pPr>
      <w:r w:rsidRPr="001021EC">
        <w:rPr>
          <w:b/>
          <w:bCs/>
        </w:rPr>
        <w:t>Save the file. The compare sidebar will now open wider and scale with the window, resolving the squished layout.</w:t>
      </w:r>
    </w:p>
    <w:p w14:paraId="77540F0A" w14:textId="77777777" w:rsidR="001021EC" w:rsidRPr="001021EC" w:rsidRDefault="001021EC" w:rsidP="001021EC">
      <w:pPr>
        <w:rPr>
          <w:b/>
          <w:bCs/>
        </w:rPr>
      </w:pPr>
      <w:r w:rsidRPr="001021EC">
        <w:rPr>
          <w:b/>
          <w:bCs/>
        </w:rPr>
        <w:t>5. Honor Checkbox Selection for Configure/Copy Actions</w:t>
      </w:r>
    </w:p>
    <w:p w14:paraId="6ED1E772" w14:textId="77777777" w:rsidR="001021EC" w:rsidRPr="001021EC" w:rsidRDefault="001021EC" w:rsidP="001021EC">
      <w:pPr>
        <w:rPr>
          <w:b/>
          <w:bCs/>
        </w:rPr>
      </w:pPr>
      <w:r w:rsidRPr="001021EC">
        <w:rPr>
          <w:b/>
          <w:bCs/>
        </w:rPr>
        <w:t>Goal: Fix the “No interfaces selected” error when using Configure or Copy Details with the checkbox selection. We’ll update those button handlers to recognize checked rows (not just highlighted rows).</w:t>
      </w:r>
    </w:p>
    <w:p w14:paraId="05A8E126" w14:textId="77777777" w:rsidR="001021EC" w:rsidRPr="001021EC" w:rsidRDefault="001021EC" w:rsidP="001021EC">
      <w:pPr>
        <w:numPr>
          <w:ilvl w:val="0"/>
          <w:numId w:val="12"/>
        </w:numPr>
        <w:rPr>
          <w:b/>
          <w:bCs/>
        </w:rPr>
      </w:pPr>
      <w:r w:rsidRPr="001021EC">
        <w:rPr>
          <w:b/>
          <w:bCs/>
        </w:rPr>
        <w:t>In InterfaceModule.psm1, find the Configure button click script ($configureButton.Add_Click). It likely sets $selected = @($global:interfacesGrid.SelectedItems) and then checks if none selected. We will modify it to include checked items:</w:t>
      </w:r>
    </w:p>
    <w:p w14:paraId="3AD23576" w14:textId="77777777" w:rsidR="001021EC" w:rsidRPr="001021EC" w:rsidRDefault="001021EC" w:rsidP="001021EC">
      <w:pPr>
        <w:numPr>
          <w:ilvl w:val="1"/>
          <w:numId w:val="12"/>
        </w:numPr>
        <w:rPr>
          <w:b/>
          <w:bCs/>
        </w:rPr>
      </w:pPr>
      <w:r w:rsidRPr="001021EC">
        <w:rPr>
          <w:b/>
          <w:bCs/>
        </w:rPr>
        <w:t>After retrieving $selected, also get any checked rows:</w:t>
      </w:r>
    </w:p>
    <w:p w14:paraId="14B85AEB" w14:textId="77777777" w:rsidR="001021EC" w:rsidRPr="001021EC" w:rsidRDefault="001021EC" w:rsidP="001021EC">
      <w:pPr>
        <w:rPr>
          <w:b/>
          <w:bCs/>
        </w:rPr>
      </w:pPr>
      <w:r w:rsidRPr="001021EC">
        <w:rPr>
          <w:b/>
          <w:bCs/>
        </w:rPr>
        <w:t>$checked = @($global:interfacesGrid.ItemsSource | Where-Object { $_.IsSelected })</w:t>
      </w:r>
    </w:p>
    <w:p w14:paraId="7F84A1F0" w14:textId="77777777" w:rsidR="001021EC" w:rsidRPr="001021EC" w:rsidRDefault="001021EC" w:rsidP="001021EC">
      <w:pPr>
        <w:rPr>
          <w:b/>
          <w:bCs/>
        </w:rPr>
      </w:pPr>
      <w:r w:rsidRPr="001021EC">
        <w:rPr>
          <w:b/>
          <w:bCs/>
        </w:rPr>
        <w:t>if ($checked.Count -gt 0) {</w:t>
      </w:r>
    </w:p>
    <w:p w14:paraId="1E4579B6" w14:textId="77777777" w:rsidR="001021EC" w:rsidRPr="001021EC" w:rsidRDefault="001021EC" w:rsidP="001021EC">
      <w:pPr>
        <w:rPr>
          <w:b/>
          <w:bCs/>
        </w:rPr>
      </w:pPr>
      <w:r w:rsidRPr="001021EC">
        <w:rPr>
          <w:b/>
          <w:bCs/>
        </w:rPr>
        <w:t xml:space="preserve">    $selected = $checked</w:t>
      </w:r>
    </w:p>
    <w:p w14:paraId="6A5B08F7" w14:textId="77777777" w:rsidR="001021EC" w:rsidRPr="001021EC" w:rsidRDefault="001021EC" w:rsidP="001021EC">
      <w:pPr>
        <w:rPr>
          <w:b/>
          <w:bCs/>
        </w:rPr>
      </w:pPr>
      <w:r w:rsidRPr="001021EC">
        <w:rPr>
          <w:b/>
          <w:bCs/>
        </w:rPr>
        <w:t>}</w:t>
      </w:r>
    </w:p>
    <w:p w14:paraId="4173E15E" w14:textId="77777777" w:rsidR="001021EC" w:rsidRPr="001021EC" w:rsidRDefault="001021EC" w:rsidP="001021EC">
      <w:pPr>
        <w:rPr>
          <w:b/>
          <w:bCs/>
        </w:rPr>
      </w:pPr>
      <w:r w:rsidRPr="001021EC">
        <w:rPr>
          <w:b/>
          <w:bCs/>
        </w:rPr>
        <w:t>This way, if the user ticked checkboxes, those objects will be treated as the selection. (If nothing is checked, it falls back to any normal selection.)</w:t>
      </w:r>
    </w:p>
    <w:p w14:paraId="1599B3BC" w14:textId="77777777" w:rsidR="001021EC" w:rsidRPr="001021EC" w:rsidRDefault="001021EC" w:rsidP="001021EC">
      <w:pPr>
        <w:numPr>
          <w:ilvl w:val="1"/>
          <w:numId w:val="12"/>
        </w:numPr>
        <w:rPr>
          <w:b/>
          <w:bCs/>
        </w:rPr>
      </w:pPr>
      <w:r w:rsidRPr="001021EC">
        <w:rPr>
          <w:b/>
          <w:bCs/>
        </w:rPr>
        <w:t>Then adjust the condition to test selection count:</w:t>
      </w:r>
    </w:p>
    <w:p w14:paraId="6AAE76CA" w14:textId="77777777" w:rsidR="001021EC" w:rsidRPr="001021EC" w:rsidRDefault="001021EC" w:rsidP="001021EC">
      <w:pPr>
        <w:rPr>
          <w:b/>
          <w:bCs/>
        </w:rPr>
      </w:pPr>
      <w:r w:rsidRPr="001021EC">
        <w:rPr>
          <w:b/>
          <w:bCs/>
        </w:rPr>
        <w:t>if (-not $selected -or $selected.Count -eq 0) {</w:t>
      </w:r>
    </w:p>
    <w:p w14:paraId="42100B75" w14:textId="77777777" w:rsidR="001021EC" w:rsidRPr="001021EC" w:rsidRDefault="001021EC" w:rsidP="001021EC">
      <w:pPr>
        <w:rPr>
          <w:b/>
          <w:bCs/>
        </w:rPr>
      </w:pPr>
      <w:r w:rsidRPr="001021EC">
        <w:rPr>
          <w:b/>
          <w:bCs/>
        </w:rPr>
        <w:lastRenderedPageBreak/>
        <w:t xml:space="preserve">    [System.Windows.MessageBox]::Show("No interfaces selected.")</w:t>
      </w:r>
    </w:p>
    <w:p w14:paraId="7C946CCE" w14:textId="77777777" w:rsidR="001021EC" w:rsidRPr="001021EC" w:rsidRDefault="001021EC" w:rsidP="001021EC">
      <w:pPr>
        <w:rPr>
          <w:b/>
          <w:bCs/>
        </w:rPr>
      </w:pPr>
      <w:r w:rsidRPr="001021EC">
        <w:rPr>
          <w:b/>
          <w:bCs/>
        </w:rPr>
        <w:t xml:space="preserve">    return</w:t>
      </w:r>
    </w:p>
    <w:p w14:paraId="651F0ADA" w14:textId="77777777" w:rsidR="001021EC" w:rsidRPr="001021EC" w:rsidRDefault="001021EC" w:rsidP="001021EC">
      <w:pPr>
        <w:rPr>
          <w:b/>
          <w:bCs/>
        </w:rPr>
      </w:pPr>
      <w:r w:rsidRPr="001021EC">
        <w:rPr>
          <w:b/>
          <w:bCs/>
        </w:rPr>
        <w:t>}</w:t>
      </w:r>
    </w:p>
    <w:p w14:paraId="72F03C50" w14:textId="77777777" w:rsidR="001021EC" w:rsidRPr="001021EC" w:rsidRDefault="001021EC" w:rsidP="001021EC">
      <w:pPr>
        <w:rPr>
          <w:b/>
          <w:bCs/>
        </w:rPr>
      </w:pPr>
      <w:r w:rsidRPr="001021EC">
        <w:rPr>
          <w:b/>
          <w:bCs/>
        </w:rPr>
        <w:t>Now the messagebox will only show if truly nothing is selected by either method.</w:t>
      </w:r>
    </w:p>
    <w:p w14:paraId="0546B137" w14:textId="77777777" w:rsidR="001021EC" w:rsidRPr="001021EC" w:rsidRDefault="001021EC" w:rsidP="001021EC">
      <w:pPr>
        <w:numPr>
          <w:ilvl w:val="1"/>
          <w:numId w:val="12"/>
        </w:numPr>
        <w:rPr>
          <w:b/>
          <w:bCs/>
        </w:rPr>
      </w:pPr>
      <w:r w:rsidRPr="001021EC">
        <w:rPr>
          <w:b/>
          <w:bCs/>
        </w:rPr>
        <w:t>The rest of the handler can remain as is (proceeding to whatever configuration function using $selected). If the code later assumes a single selection, you might want to handle multiple selections (perhaps by picking the first or showing a different prompt), but as per our instructions we will treat any selection as valid.</w:t>
      </w:r>
    </w:p>
    <w:p w14:paraId="0409510B" w14:textId="77777777" w:rsidR="001021EC" w:rsidRPr="001021EC" w:rsidRDefault="001021EC" w:rsidP="001021EC">
      <w:pPr>
        <w:numPr>
          <w:ilvl w:val="0"/>
          <w:numId w:val="12"/>
        </w:numPr>
        <w:rPr>
          <w:b/>
          <w:bCs/>
        </w:rPr>
      </w:pPr>
      <w:r w:rsidRPr="001021EC">
        <w:rPr>
          <w:b/>
          <w:bCs/>
        </w:rPr>
        <w:t>Similarly, update the Copy Details button handler ($copyDetailsButton.Add_Click). It should mirror the above logic: gather $selected = @($global:interfacesGrid.SelectedItems), then $checked = @($global:interfacesGrid.ItemsSource | Where-Object { $_.IsSelected }). If any checked, use those as $selected. Only error out if still none selected. This ensures the Copy action works with checkboxes too.</w:t>
      </w:r>
    </w:p>
    <w:p w14:paraId="7476C01A" w14:textId="77777777" w:rsidR="001021EC" w:rsidRPr="001021EC" w:rsidRDefault="001021EC" w:rsidP="001021EC">
      <w:pPr>
        <w:numPr>
          <w:ilvl w:val="0"/>
          <w:numId w:val="12"/>
        </w:numPr>
        <w:rPr>
          <w:b/>
          <w:bCs/>
        </w:rPr>
      </w:pPr>
      <w:r w:rsidRPr="001021EC">
        <w:rPr>
          <w:b/>
          <w:bCs/>
        </w:rPr>
        <w:t>Double-check that the Compare button handler already has similar logic (it does – it uses $checkedRows and $selectedRows for exactly 2 selections). We don’t need to change compare logic; we’re just bringing Configure/Copy in line with it.</w:t>
      </w:r>
    </w:p>
    <w:p w14:paraId="0AB48CA0" w14:textId="77777777" w:rsidR="001021EC" w:rsidRPr="001021EC" w:rsidRDefault="001021EC" w:rsidP="001021EC">
      <w:pPr>
        <w:numPr>
          <w:ilvl w:val="0"/>
          <w:numId w:val="12"/>
        </w:numPr>
        <w:rPr>
          <w:b/>
          <w:bCs/>
        </w:rPr>
      </w:pPr>
      <w:r w:rsidRPr="001021EC">
        <w:rPr>
          <w:b/>
          <w:bCs/>
        </w:rPr>
        <w:t>Save the module. Now checking an interface’s box will count as selecting it for Configure and Copy Details. The error dialog “No interfaces selected” should no longer appear as long as at least one row is checked.</w:t>
      </w:r>
    </w:p>
    <w:p w14:paraId="4B838E3F" w14:textId="77777777" w:rsidR="001021EC" w:rsidRPr="001021EC" w:rsidRDefault="001021EC" w:rsidP="001021EC">
      <w:pPr>
        <w:rPr>
          <w:b/>
          <w:bCs/>
        </w:rPr>
      </w:pPr>
      <w:r w:rsidRPr="001021EC">
        <w:rPr>
          <w:b/>
          <w:bCs/>
        </w:rPr>
        <w:t>6. Update Mock Log for Brocade (Template Testing)</w:t>
      </w:r>
    </w:p>
    <w:p w14:paraId="10F4E29A" w14:textId="77777777" w:rsidR="001021EC" w:rsidRPr="001021EC" w:rsidRDefault="001021EC" w:rsidP="001021EC">
      <w:pPr>
        <w:rPr>
          <w:b/>
          <w:bCs/>
        </w:rPr>
      </w:pPr>
      <w:r w:rsidRPr="001021EC">
        <w:rPr>
          <w:b/>
          <w:bCs/>
        </w:rPr>
        <w:t>Goal: Adjust the Brocade mock log data to include varied scenarios (dual-auth, dot1x-only, MAB-only, no-auth) so we can test that templates are recognized correctly. The template JSON defines profiles for “Dual Authentication Port”, “Dot1X Only Port”, “MAB Only Port”, and “Edge Port No Auth” – we will ensure the log has examples of each:</w:t>
      </w:r>
    </w:p>
    <w:p w14:paraId="1DA5EE03" w14:textId="77777777" w:rsidR="001021EC" w:rsidRPr="001021EC" w:rsidRDefault="001021EC" w:rsidP="001021EC">
      <w:pPr>
        <w:numPr>
          <w:ilvl w:val="0"/>
          <w:numId w:val="13"/>
        </w:numPr>
        <w:rPr>
          <w:b/>
          <w:bCs/>
        </w:rPr>
      </w:pPr>
      <w:r w:rsidRPr="001021EC">
        <w:rPr>
          <w:b/>
          <w:bCs/>
        </w:rPr>
        <w:t>Open the file Logs/mock_brocade (1).log (which corresponds to FastIron 08.0.30). We will edit the relevant configuration lines:</w:t>
      </w:r>
    </w:p>
    <w:p w14:paraId="01A8A82F" w14:textId="77777777" w:rsidR="001021EC" w:rsidRPr="001021EC" w:rsidRDefault="001021EC" w:rsidP="001021EC">
      <w:pPr>
        <w:numPr>
          <w:ilvl w:val="1"/>
          <w:numId w:val="13"/>
        </w:numPr>
        <w:rPr>
          <w:b/>
          <w:bCs/>
        </w:rPr>
      </w:pPr>
      <w:r w:rsidRPr="001021EC">
        <w:rPr>
          <w:b/>
          <w:bCs/>
        </w:rPr>
        <w:t>Split the global MAB enable command: In the current log, the MAC authentication enabling is in one combined command across all ports (and it’s broken by a newline). Find the lines:</w:t>
      </w:r>
    </w:p>
    <w:p w14:paraId="6F812D53" w14:textId="77777777" w:rsidR="001021EC" w:rsidRPr="001021EC" w:rsidRDefault="001021EC" w:rsidP="001021EC">
      <w:pPr>
        <w:rPr>
          <w:b/>
          <w:bCs/>
        </w:rPr>
      </w:pPr>
      <w:r w:rsidRPr="001021EC">
        <w:rPr>
          <w:b/>
          <w:bCs/>
        </w:rPr>
        <w:lastRenderedPageBreak/>
        <w:t xml:space="preserve">mac-authentication enable  </w:t>
      </w:r>
    </w:p>
    <w:p w14:paraId="49B4AA7C" w14:textId="77777777" w:rsidR="001021EC" w:rsidRPr="001021EC" w:rsidRDefault="001021EC" w:rsidP="001021EC">
      <w:pPr>
        <w:rPr>
          <w:b/>
          <w:bCs/>
        </w:rPr>
      </w:pPr>
      <w:r w:rsidRPr="001021EC">
        <w:rPr>
          <w:b/>
          <w:bCs/>
        </w:rPr>
        <w:t xml:space="preserve"> mac-authentication enable ethe 1/1/1 to 1/1/48 ethe 2/1/1 to 2/1/48  </w:t>
      </w:r>
    </w:p>
    <w:p w14:paraId="32FD2F17" w14:textId="77777777" w:rsidR="001021EC" w:rsidRPr="001021EC" w:rsidRDefault="001021EC" w:rsidP="001021EC">
      <w:pPr>
        <w:rPr>
          <w:b/>
          <w:bCs/>
        </w:rPr>
      </w:pPr>
      <w:r w:rsidRPr="001021EC">
        <w:rPr>
          <w:b/>
          <w:bCs/>
        </w:rPr>
        <w:t xml:space="preserve">mac-authentication dot1x override  </w:t>
      </w:r>
    </w:p>
    <w:p w14:paraId="3604493E" w14:textId="77777777" w:rsidR="001021EC" w:rsidRPr="001021EC" w:rsidRDefault="001021EC" w:rsidP="001021EC">
      <w:pPr>
        <w:rPr>
          <w:b/>
          <w:bCs/>
        </w:rPr>
      </w:pPr>
      <w:r w:rsidRPr="001021EC">
        <w:rPr>
          <w:b/>
          <w:bCs/>
        </w:rPr>
        <w:t>We’ll reformat this so that enabling MAC authentication is not applied to every port, leaving some ports without MAB. Replace these lines with:</w:t>
      </w:r>
    </w:p>
    <w:p w14:paraId="56805C2A" w14:textId="77777777" w:rsidR="001021EC" w:rsidRPr="001021EC" w:rsidRDefault="001021EC" w:rsidP="001021EC">
      <w:pPr>
        <w:rPr>
          <w:b/>
          <w:bCs/>
        </w:rPr>
      </w:pPr>
      <w:r w:rsidRPr="001021EC">
        <w:rPr>
          <w:b/>
          <w:bCs/>
        </w:rPr>
        <w:t xml:space="preserve">mac-authentication enable ethernet 1/1/1 to 1/1/40  </w:t>
      </w:r>
    </w:p>
    <w:p w14:paraId="155CA568" w14:textId="77777777" w:rsidR="001021EC" w:rsidRPr="001021EC" w:rsidRDefault="001021EC" w:rsidP="001021EC">
      <w:pPr>
        <w:rPr>
          <w:b/>
          <w:bCs/>
        </w:rPr>
      </w:pPr>
      <w:r w:rsidRPr="001021EC">
        <w:rPr>
          <w:b/>
          <w:bCs/>
        </w:rPr>
        <w:t xml:space="preserve">mac-authentication enable ethernet 2/1/1 to 2/1/48  </w:t>
      </w:r>
    </w:p>
    <w:p w14:paraId="1E423AB5" w14:textId="77777777" w:rsidR="001021EC" w:rsidRPr="001021EC" w:rsidRDefault="001021EC" w:rsidP="001021EC">
      <w:pPr>
        <w:rPr>
          <w:b/>
          <w:bCs/>
        </w:rPr>
      </w:pPr>
      <w:r w:rsidRPr="001021EC">
        <w:rPr>
          <w:b/>
          <w:bCs/>
        </w:rPr>
        <w:t xml:space="preserve">mac-authentication dot1x override  </w:t>
      </w:r>
    </w:p>
    <w:p w14:paraId="6DD306DF" w14:textId="77777777" w:rsidR="001021EC" w:rsidRPr="001021EC" w:rsidRDefault="001021EC" w:rsidP="001021EC">
      <w:pPr>
        <w:rPr>
          <w:b/>
          <w:bCs/>
        </w:rPr>
      </w:pPr>
      <w:r w:rsidRPr="001021EC">
        <w:rPr>
          <w:b/>
          <w:bCs/>
        </w:rPr>
        <w:t>This change means ports 1/1/1 through 1/1/40 have MAB enabled (as well as all ports on unit 2), but ports 1/1/41–1/1/48 will NOT have MAB enabled (we excluded them from the range). This gives us some dot1x-only ports on unit 1.</w:t>
      </w:r>
    </w:p>
    <w:p w14:paraId="53BB800A" w14:textId="77777777" w:rsidR="001021EC" w:rsidRPr="001021EC" w:rsidRDefault="001021EC" w:rsidP="001021EC">
      <w:pPr>
        <w:numPr>
          <w:ilvl w:val="1"/>
          <w:numId w:val="13"/>
        </w:numPr>
        <w:rPr>
          <w:b/>
          <w:bCs/>
        </w:rPr>
      </w:pPr>
      <w:r w:rsidRPr="001021EC">
        <w:rPr>
          <w:b/>
          <w:bCs/>
        </w:rPr>
        <w:t>Make a few ports MAB-only: We will remove the dot1x configuration on some ports that do have MAB. In the interface configuration sections for ports 1/1/1, 1/1/3, and 1/1/5 (for example), find the line dot1x port-control auto and delete it. (Each interface block looks like interface ethernet 1/1/X ... dot1x port-control auto ... exit – remove the dot1x port-control auto line for those specific ports.) After this, ports 1/1/1, 1/1/3, 1/1/5 will have MAB enabled (from the global command) but no dot1x on them – making them “MAB Only Port” examples.</w:t>
      </w:r>
    </w:p>
    <w:p w14:paraId="5B2BD02E" w14:textId="77777777" w:rsidR="001021EC" w:rsidRPr="001021EC" w:rsidRDefault="001021EC" w:rsidP="001021EC">
      <w:pPr>
        <w:numPr>
          <w:ilvl w:val="1"/>
          <w:numId w:val="13"/>
        </w:numPr>
        <w:rPr>
          <w:b/>
          <w:bCs/>
        </w:rPr>
      </w:pPr>
      <w:r w:rsidRPr="001021EC">
        <w:rPr>
          <w:b/>
          <w:bCs/>
        </w:rPr>
        <w:t>Ensure some ports are dot1x-only: We already achieved that by limiting the global MAB range. Ports 1/1/41–1/1/48 still have their dot1x port-control auto lines in the interface config (the log shows them under each interface), but they are outside the MAB enable range – so those will effectively be dot1x-only. We don’t need to edit those interface blocks (just ensure we didn’t accidentally remove their dot1x lines).</w:t>
      </w:r>
    </w:p>
    <w:p w14:paraId="3ADE58AA" w14:textId="77777777" w:rsidR="001021EC" w:rsidRPr="001021EC" w:rsidRDefault="001021EC" w:rsidP="001021EC">
      <w:pPr>
        <w:numPr>
          <w:ilvl w:val="1"/>
          <w:numId w:val="13"/>
        </w:numPr>
        <w:rPr>
          <w:b/>
          <w:bCs/>
        </w:rPr>
      </w:pPr>
      <w:r w:rsidRPr="001021EC">
        <w:rPr>
          <w:b/>
          <w:bCs/>
        </w:rPr>
        <w:t>Include an “edge port no auth” example: Choose one port to have neither MAB nor dot1x. We can use port 1/1/41 for this (since we removed MAB for 41–48 globally). Remove the dot1x port-control auto line from the 1/1/41 interface as well. Now port 1/1/41’s config will only have spanning-tree edge-port (and maybe an auth-default-vlan), but no authentication commands – matching the “Edge Port No Auth” template profile.</w:t>
      </w:r>
    </w:p>
    <w:p w14:paraId="7EFC576F" w14:textId="77777777" w:rsidR="001021EC" w:rsidRPr="001021EC" w:rsidRDefault="001021EC" w:rsidP="001021EC">
      <w:pPr>
        <w:numPr>
          <w:ilvl w:val="0"/>
          <w:numId w:val="13"/>
        </w:numPr>
        <w:rPr>
          <w:b/>
          <w:bCs/>
        </w:rPr>
      </w:pPr>
      <w:r w:rsidRPr="001021EC">
        <w:rPr>
          <w:b/>
          <w:bCs/>
        </w:rPr>
        <w:lastRenderedPageBreak/>
        <w:t>Save the log file changes. Now the mock Brocade config includes: a few purely MAB ports (e.g. 1,3,5), a set of purely dot1x ports (41–48 except 41 now no-auth), many dual-auth ports (most others in 1/1/1–1/1/40 and all 2/1/X ports by global MAB + dot1x), and one no-auth port (1/1/41). This will allow us to thoroughly test that each template is recognized.</w:t>
      </w:r>
    </w:p>
    <w:p w14:paraId="31B329D2" w14:textId="77777777" w:rsidR="001021EC" w:rsidRPr="001021EC" w:rsidRDefault="001021EC" w:rsidP="001021EC">
      <w:pPr>
        <w:rPr>
          <w:b/>
          <w:bCs/>
        </w:rPr>
      </w:pPr>
      <w:r w:rsidRPr="001021EC">
        <w:rPr>
          <w:b/>
          <w:bCs/>
        </w:rPr>
        <w:t>7. Verify Template Definitions Match New Data (Brocade.json)</w:t>
      </w:r>
    </w:p>
    <w:p w14:paraId="415837BA" w14:textId="77777777" w:rsidR="001021EC" w:rsidRPr="001021EC" w:rsidRDefault="001021EC" w:rsidP="001021EC">
      <w:pPr>
        <w:rPr>
          <w:b/>
          <w:bCs/>
        </w:rPr>
      </w:pPr>
      <w:r w:rsidRPr="001021EC">
        <w:rPr>
          <w:b/>
          <w:bCs/>
        </w:rPr>
        <w:t>Goal: Ensure the template JSON criteria align with the commands in our log after modifications, so that each interface is classified correctly. We should especially check the Brocade templates for any mismatches in command strings:</w:t>
      </w:r>
    </w:p>
    <w:p w14:paraId="705EBD9F" w14:textId="77777777" w:rsidR="001021EC" w:rsidRPr="001021EC" w:rsidRDefault="001021EC" w:rsidP="001021EC">
      <w:pPr>
        <w:numPr>
          <w:ilvl w:val="0"/>
          <w:numId w:val="14"/>
        </w:numPr>
        <w:rPr>
          <w:b/>
          <w:bCs/>
        </w:rPr>
      </w:pPr>
      <w:r w:rsidRPr="001021EC">
        <w:rPr>
          <w:b/>
          <w:bCs/>
        </w:rPr>
        <w:t>Open Templates/Brocade.json. Look at the "required_commands" for “Dual Authentication Port”, “Dot1X Only Port”, and “MAB Only Port”. Notably, the JSON uses a fragment "mac-authentication enable ethe" as a required command for Dual and MAB templates. Given our log edits and how the code checks templates, this might be too strict:</w:t>
      </w:r>
    </w:p>
    <w:p w14:paraId="7D9D81E8" w14:textId="77777777" w:rsidR="001021EC" w:rsidRPr="001021EC" w:rsidRDefault="001021EC" w:rsidP="001021EC">
      <w:pPr>
        <w:numPr>
          <w:ilvl w:val="1"/>
          <w:numId w:val="14"/>
        </w:numPr>
        <w:rPr>
          <w:b/>
          <w:bCs/>
        </w:rPr>
      </w:pPr>
      <w:r w:rsidRPr="001021EC">
        <w:rPr>
          <w:b/>
          <w:bCs/>
        </w:rPr>
        <w:t>In our interface configs now, a per-interface MAB enable appears as exactly "mac-authentication enable" (with no “ethernet …” part) when present.</w:t>
      </w:r>
    </w:p>
    <w:p w14:paraId="1E8D98F2" w14:textId="77777777" w:rsidR="001021EC" w:rsidRPr="001021EC" w:rsidRDefault="001021EC" w:rsidP="001021EC">
      <w:pPr>
        <w:numPr>
          <w:ilvl w:val="1"/>
          <w:numId w:val="14"/>
        </w:numPr>
        <w:rPr>
          <w:b/>
          <w:bCs/>
        </w:rPr>
      </w:pPr>
      <w:r w:rsidRPr="001021EC">
        <w:rPr>
          <w:b/>
          <w:bCs/>
        </w:rPr>
        <w:t>The global MAB command lines we inserted start with "mac-authentication enable ethernet ...".</w:t>
      </w:r>
    </w:p>
    <w:p w14:paraId="3931328A" w14:textId="77777777" w:rsidR="001021EC" w:rsidRPr="001021EC" w:rsidRDefault="001021EC" w:rsidP="001021EC">
      <w:pPr>
        <w:rPr>
          <w:b/>
          <w:bCs/>
        </w:rPr>
      </w:pPr>
      <w:r w:rsidRPr="001021EC">
        <w:rPr>
          <w:b/>
          <w:bCs/>
        </w:rPr>
        <w:t>To ensure the template matching logic can detect MAB in either form, it would be safer to require the core command "mac-authentication enable" (without the ethe suffix). We should update those JSON entries: for each template’s required_commands that currently has "mac-authentication enable ethe", change it to "mac-authentication enable". (This way, whether the line is a global range or an interface-specific enable, the substring “mac-authentication enable” will be present. It covers both cases if the matching is done by substring. The code’s template matching will treat required strings as case-insensitive and will likely find this as a substring of the full line.)</w:t>
      </w:r>
    </w:p>
    <w:p w14:paraId="2F6C9B92" w14:textId="77777777" w:rsidR="001021EC" w:rsidRPr="001021EC" w:rsidRDefault="001021EC" w:rsidP="001021EC">
      <w:pPr>
        <w:numPr>
          <w:ilvl w:val="0"/>
          <w:numId w:val="14"/>
        </w:numPr>
        <w:rPr>
          <w:b/>
          <w:bCs/>
        </w:rPr>
      </w:pPr>
      <w:r w:rsidRPr="001021EC">
        <w:rPr>
          <w:b/>
          <w:bCs/>
        </w:rPr>
        <w:t>Double-check other commands in the JSON against the actual config syntax: for example, "dot1x port-control auto" is correct (that appears exactly in interface configs), and the excluded commands lists (like excluding "mac-authentication enable ethe" in Dot1X Only Port) should also be adjusted to "mac-authentication enable" similarly. Make the **same "mac-authentication enable" change in the "excluded_commands" for “Dot1X Only Port” and “Edge Port No Auth” (they currently exclude the truncated string; use the full "mac-authentication enable" to consistently represent the MAB command).</w:t>
      </w:r>
    </w:p>
    <w:p w14:paraId="7498F5CB" w14:textId="77777777" w:rsidR="001021EC" w:rsidRPr="001021EC" w:rsidRDefault="001021EC" w:rsidP="001021EC">
      <w:pPr>
        <w:numPr>
          <w:ilvl w:val="0"/>
          <w:numId w:val="14"/>
        </w:numPr>
        <w:rPr>
          <w:b/>
          <w:bCs/>
        </w:rPr>
      </w:pPr>
      <w:r w:rsidRPr="001021EC">
        <w:rPr>
          <w:b/>
          <w:bCs/>
        </w:rPr>
        <w:lastRenderedPageBreak/>
        <w:t>Save the JSON. Now the template definitions align with our log data: for instance, a port with a mac-authentication enable line (or covered by a global range) will satisfy the MAB requirement. With these adjustments, the template-matching logic should correctly identify each interface’s template category.</w:t>
      </w:r>
    </w:p>
    <w:p w14:paraId="2B1A7112" w14:textId="77777777" w:rsidR="001021EC" w:rsidRPr="001021EC" w:rsidRDefault="001021EC" w:rsidP="001021EC">
      <w:pPr>
        <w:rPr>
          <w:b/>
          <w:bCs/>
        </w:rPr>
      </w:pPr>
      <w:r w:rsidRPr="001021EC">
        <w:rPr>
          <w:b/>
          <w:bCs/>
        </w:rPr>
        <w:t>8. Test and Verify All Fixes</w:t>
      </w:r>
    </w:p>
    <w:p w14:paraId="307090FD" w14:textId="77777777" w:rsidR="001021EC" w:rsidRPr="001021EC" w:rsidRDefault="001021EC" w:rsidP="001021EC">
      <w:pPr>
        <w:rPr>
          <w:b/>
          <w:bCs/>
        </w:rPr>
      </w:pPr>
      <w:r w:rsidRPr="001021EC">
        <w:rPr>
          <w:b/>
          <w:bCs/>
        </w:rPr>
        <w:t>Finally, run the application and verify each issue is resolved:</w:t>
      </w:r>
    </w:p>
    <w:p w14:paraId="6976FE64" w14:textId="77777777" w:rsidR="001021EC" w:rsidRPr="001021EC" w:rsidRDefault="001021EC" w:rsidP="001021EC">
      <w:pPr>
        <w:numPr>
          <w:ilvl w:val="0"/>
          <w:numId w:val="15"/>
        </w:numPr>
        <w:rPr>
          <w:b/>
          <w:bCs/>
        </w:rPr>
      </w:pPr>
      <w:r w:rsidRPr="001021EC">
        <w:rPr>
          <w:b/>
          <w:bCs/>
        </w:rPr>
        <w:t>Compare Config Panel: Start the app and open the Interfaces tab. Select a Brocade device and an interface, then click “Compare Configs” for two interfaces (especially one from a Brocade switch). Confirm that the compare view opens on demand (it should no longer appear at startup). The panel should slide out and occupy a good portion of the window (not tiny). Verify that the authentication block lines are present in the config text for Brocade interfaces – they should appear under a “! GLOBAL AUTH BLOCK” heading in the compare text boxes. Check that the panel’s color scheme is navy blue/gold, matching the rest of the app (the header text and labels should be white or colored, not the default black on light gray). The close “[X]” button should be visible at the top-right of the compare panel.</w:t>
      </w:r>
    </w:p>
    <w:p w14:paraId="150A4348" w14:textId="77777777" w:rsidR="001021EC" w:rsidRPr="001021EC" w:rsidRDefault="001021EC" w:rsidP="001021EC">
      <w:pPr>
        <w:numPr>
          <w:ilvl w:val="0"/>
          <w:numId w:val="15"/>
        </w:numPr>
        <w:rPr>
          <w:b/>
          <w:bCs/>
        </w:rPr>
      </w:pPr>
      <w:r w:rsidRPr="001021EC">
        <w:rPr>
          <w:b/>
          <w:bCs/>
        </w:rPr>
        <w:t>UI Cleanliness: In the compare view header, ensure that the switch and port are not duplicated – the dropdowns themselves show the chosen devices/ports, and we removed the extra bold labels, so you should no longer see the device/port repeated below the dropdowns. The “Template: …” text for each side should now be bold. If an interface matches a template, the text might read e.g. “Template: Dual Authentication Port” in bold (and colored green); if not, it will say “Template: Non-compliant/Unknown” in bold red.</w:t>
      </w:r>
    </w:p>
    <w:p w14:paraId="45C3EBC9" w14:textId="77777777" w:rsidR="001021EC" w:rsidRPr="001021EC" w:rsidRDefault="001021EC" w:rsidP="001021EC">
      <w:pPr>
        <w:numPr>
          <w:ilvl w:val="0"/>
          <w:numId w:val="15"/>
        </w:numPr>
        <w:rPr>
          <w:b/>
          <w:bCs/>
        </w:rPr>
      </w:pPr>
      <w:r w:rsidRPr="001021EC">
        <w:rPr>
          <w:b/>
          <w:bCs/>
        </w:rPr>
        <w:t>Interface Actions with Checkboxes: Still on the Interfaces tab, test the Configure and Copy Details buttons. Select one or more interfaces by checking their boxes (without actually highlighting the row). Click Configure – it should proceed to the configuration dialog (or whatever action it triggers) using the checked interface(s) with no error popup. Do the same with Copy Details – it should copy the details of the checked interfaces to the clipboard (or open the detail view) instead of complaining “No interfaces selected.” Also try the Compare button with exactly two checkboxes checked – it should still work as before. These tests confirm that the checkbox selection is fully integrated for all three actions.</w:t>
      </w:r>
    </w:p>
    <w:p w14:paraId="08395491" w14:textId="77777777" w:rsidR="001021EC" w:rsidRPr="001021EC" w:rsidRDefault="001021EC" w:rsidP="001021EC">
      <w:pPr>
        <w:numPr>
          <w:ilvl w:val="0"/>
          <w:numId w:val="15"/>
        </w:numPr>
        <w:rPr>
          <w:b/>
          <w:bCs/>
        </w:rPr>
      </w:pPr>
      <w:r w:rsidRPr="001021EC">
        <w:rPr>
          <w:b/>
          <w:bCs/>
        </w:rPr>
        <w:lastRenderedPageBreak/>
        <w:t>Template Recognition: Lastly, test the template matching using the updated Brocade log. After rescanning/parsing the logs, check the template assignments (perhaps visible in the interface list or a summary/alerts view). Specifically:</w:t>
      </w:r>
    </w:p>
    <w:p w14:paraId="1A6DEA49" w14:textId="77777777" w:rsidR="001021EC" w:rsidRPr="001021EC" w:rsidRDefault="001021EC" w:rsidP="001021EC">
      <w:pPr>
        <w:numPr>
          <w:ilvl w:val="1"/>
          <w:numId w:val="15"/>
        </w:numPr>
        <w:rPr>
          <w:b/>
          <w:bCs/>
        </w:rPr>
      </w:pPr>
      <w:r w:rsidRPr="001021EC">
        <w:rPr>
          <w:b/>
          <w:bCs/>
        </w:rPr>
        <w:t>Ports we designated as dual-auth (e.g. port 1/1/2 or 2/1/1 with both dot1x and MAB) should be marked as “Dual Authentication Port” (and likely colored Green in the UI).</w:t>
      </w:r>
    </w:p>
    <w:p w14:paraId="05C1C16C" w14:textId="77777777" w:rsidR="001021EC" w:rsidRPr="001021EC" w:rsidRDefault="001021EC" w:rsidP="001021EC">
      <w:pPr>
        <w:numPr>
          <w:ilvl w:val="1"/>
          <w:numId w:val="15"/>
        </w:numPr>
        <w:rPr>
          <w:b/>
          <w:bCs/>
        </w:rPr>
      </w:pPr>
      <w:r w:rsidRPr="001021EC">
        <w:rPr>
          <w:b/>
          <w:bCs/>
        </w:rPr>
        <w:t>Ports with only dot1x (e.g. 1/1/42) should show as “Dot1X Only Port” (perhaps Purple).</w:t>
      </w:r>
    </w:p>
    <w:p w14:paraId="752609F9" w14:textId="77777777" w:rsidR="001021EC" w:rsidRPr="001021EC" w:rsidRDefault="001021EC" w:rsidP="001021EC">
      <w:pPr>
        <w:numPr>
          <w:ilvl w:val="1"/>
          <w:numId w:val="15"/>
        </w:numPr>
        <w:rPr>
          <w:b/>
          <w:bCs/>
        </w:rPr>
      </w:pPr>
      <w:r w:rsidRPr="001021EC">
        <w:rPr>
          <w:b/>
          <w:bCs/>
        </w:rPr>
        <w:t>Ports with only MAB (e.g. 1/1/1, 1/1/3, etc.) should show as “MAB Only Port” (perhaps another color as per JSON).</w:t>
      </w:r>
    </w:p>
    <w:p w14:paraId="4F598912" w14:textId="77777777" w:rsidR="001021EC" w:rsidRPr="001021EC" w:rsidRDefault="001021EC" w:rsidP="001021EC">
      <w:pPr>
        <w:numPr>
          <w:ilvl w:val="1"/>
          <w:numId w:val="15"/>
        </w:numPr>
        <w:rPr>
          <w:b/>
          <w:bCs/>
        </w:rPr>
      </w:pPr>
      <w:r w:rsidRPr="001021EC">
        <w:rPr>
          <w:b/>
          <w:bCs/>
        </w:rPr>
        <w:t>The port 1/1/41 (no dot1x, no MAB) should be identified as “Edge Port No Auth”.</w:t>
      </w:r>
      <w:r w:rsidRPr="001021EC">
        <w:rPr>
          <w:b/>
          <w:bCs/>
        </w:rPr>
        <w:br/>
        <w:t>Ensure these matchups occur. If any template is not recognized as expected, double-check the JSON strings and log lines – we might need to tweak the matching logic or strings further.</w:t>
      </w:r>
    </w:p>
    <w:p w14:paraId="38EC5BDE" w14:textId="77777777" w:rsidR="001021EC" w:rsidRPr="001021EC" w:rsidRDefault="001021EC" w:rsidP="001021EC">
      <w:pPr>
        <w:rPr>
          <w:b/>
          <w:bCs/>
        </w:rPr>
      </w:pPr>
      <w:r w:rsidRPr="001021EC">
        <w:rPr>
          <w:b/>
          <w:bCs/>
        </w:rPr>
        <w:t>By completing these steps, we will have streamlined the compare config feature (fixing the missing auth block and UI issues), improved the interface selection logic, and ensured our templates and data are consistent – all done in manageable increments. Let’s proceed with each step in agent mode, verifying the outcome at each stage. Good luck!</w:t>
      </w:r>
    </w:p>
    <w:p w14:paraId="5188F641" w14:textId="77777777" w:rsidR="00F919B0" w:rsidRPr="001021EC" w:rsidRDefault="00F919B0" w:rsidP="001021EC"/>
    <w:sectPr w:rsidR="00F919B0" w:rsidRPr="00102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4BE"/>
    <w:multiLevelType w:val="multilevel"/>
    <w:tmpl w:val="4278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422"/>
    <w:multiLevelType w:val="multilevel"/>
    <w:tmpl w:val="0EDE9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B7743"/>
    <w:multiLevelType w:val="multilevel"/>
    <w:tmpl w:val="211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A5E33"/>
    <w:multiLevelType w:val="multilevel"/>
    <w:tmpl w:val="1B5E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47E1C"/>
    <w:multiLevelType w:val="multilevel"/>
    <w:tmpl w:val="7AE8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6076B"/>
    <w:multiLevelType w:val="multilevel"/>
    <w:tmpl w:val="8D78D1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C768D"/>
    <w:multiLevelType w:val="multilevel"/>
    <w:tmpl w:val="BEB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33DA5"/>
    <w:multiLevelType w:val="multilevel"/>
    <w:tmpl w:val="27A4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A24B9"/>
    <w:multiLevelType w:val="multilevel"/>
    <w:tmpl w:val="F0EA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4373B"/>
    <w:multiLevelType w:val="multilevel"/>
    <w:tmpl w:val="3958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63D1D"/>
    <w:multiLevelType w:val="multilevel"/>
    <w:tmpl w:val="8FBEE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045C3"/>
    <w:multiLevelType w:val="multilevel"/>
    <w:tmpl w:val="24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C5F3F"/>
    <w:multiLevelType w:val="multilevel"/>
    <w:tmpl w:val="779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30CDE"/>
    <w:multiLevelType w:val="multilevel"/>
    <w:tmpl w:val="C98A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60A61"/>
    <w:multiLevelType w:val="multilevel"/>
    <w:tmpl w:val="969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941978">
    <w:abstractNumId w:val="6"/>
  </w:num>
  <w:num w:numId="2" w16cid:durableId="2003435880">
    <w:abstractNumId w:val="14"/>
  </w:num>
  <w:num w:numId="3" w16cid:durableId="1108889338">
    <w:abstractNumId w:val="3"/>
  </w:num>
  <w:num w:numId="4" w16cid:durableId="1089038504">
    <w:abstractNumId w:val="1"/>
  </w:num>
  <w:num w:numId="5" w16cid:durableId="1714377992">
    <w:abstractNumId w:val="7"/>
  </w:num>
  <w:num w:numId="6" w16cid:durableId="431433712">
    <w:abstractNumId w:val="9"/>
  </w:num>
  <w:num w:numId="7" w16cid:durableId="1144279004">
    <w:abstractNumId w:val="11"/>
  </w:num>
  <w:num w:numId="8" w16cid:durableId="1829440735">
    <w:abstractNumId w:val="10"/>
  </w:num>
  <w:num w:numId="9" w16cid:durableId="561255908">
    <w:abstractNumId w:val="0"/>
  </w:num>
  <w:num w:numId="10" w16cid:durableId="2099331302">
    <w:abstractNumId w:val="2"/>
  </w:num>
  <w:num w:numId="11" w16cid:durableId="1032267933">
    <w:abstractNumId w:val="12"/>
  </w:num>
  <w:num w:numId="12" w16cid:durableId="1733581483">
    <w:abstractNumId w:val="8"/>
  </w:num>
  <w:num w:numId="13" w16cid:durableId="487138849">
    <w:abstractNumId w:val="5"/>
  </w:num>
  <w:num w:numId="14" w16cid:durableId="183713406">
    <w:abstractNumId w:val="13"/>
  </w:num>
  <w:num w:numId="15" w16cid:durableId="608515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9B0"/>
    <w:rsid w:val="001021EC"/>
    <w:rsid w:val="00166F76"/>
    <w:rsid w:val="0049312C"/>
    <w:rsid w:val="005C40A3"/>
    <w:rsid w:val="00F91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2FCE1"/>
  <w15:chartTrackingRefBased/>
  <w15:docId w15:val="{DA72C9AB-57BD-42EC-8B02-9A0117AE9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9B0"/>
    <w:rPr>
      <w:rFonts w:eastAsiaTheme="majorEastAsia" w:cstheme="majorBidi"/>
      <w:color w:val="272727" w:themeColor="text1" w:themeTint="D8"/>
    </w:rPr>
  </w:style>
  <w:style w:type="paragraph" w:styleId="Title">
    <w:name w:val="Title"/>
    <w:basedOn w:val="Normal"/>
    <w:next w:val="Normal"/>
    <w:link w:val="TitleChar"/>
    <w:uiPriority w:val="10"/>
    <w:qFormat/>
    <w:rsid w:val="00F91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9B0"/>
    <w:pPr>
      <w:spacing w:before="160"/>
      <w:jc w:val="center"/>
    </w:pPr>
    <w:rPr>
      <w:i/>
      <w:iCs/>
      <w:color w:val="404040" w:themeColor="text1" w:themeTint="BF"/>
    </w:rPr>
  </w:style>
  <w:style w:type="character" w:customStyle="1" w:styleId="QuoteChar">
    <w:name w:val="Quote Char"/>
    <w:basedOn w:val="DefaultParagraphFont"/>
    <w:link w:val="Quote"/>
    <w:uiPriority w:val="29"/>
    <w:rsid w:val="00F919B0"/>
    <w:rPr>
      <w:i/>
      <w:iCs/>
      <w:color w:val="404040" w:themeColor="text1" w:themeTint="BF"/>
    </w:rPr>
  </w:style>
  <w:style w:type="paragraph" w:styleId="ListParagraph">
    <w:name w:val="List Paragraph"/>
    <w:basedOn w:val="Normal"/>
    <w:uiPriority w:val="34"/>
    <w:qFormat/>
    <w:rsid w:val="00F919B0"/>
    <w:pPr>
      <w:ind w:left="720"/>
      <w:contextualSpacing/>
    </w:pPr>
  </w:style>
  <w:style w:type="character" w:styleId="IntenseEmphasis">
    <w:name w:val="Intense Emphasis"/>
    <w:basedOn w:val="DefaultParagraphFont"/>
    <w:uiPriority w:val="21"/>
    <w:qFormat/>
    <w:rsid w:val="00F919B0"/>
    <w:rPr>
      <w:i/>
      <w:iCs/>
      <w:color w:val="0F4761" w:themeColor="accent1" w:themeShade="BF"/>
    </w:rPr>
  </w:style>
  <w:style w:type="paragraph" w:styleId="IntenseQuote">
    <w:name w:val="Intense Quote"/>
    <w:basedOn w:val="Normal"/>
    <w:next w:val="Normal"/>
    <w:link w:val="IntenseQuoteChar"/>
    <w:uiPriority w:val="30"/>
    <w:qFormat/>
    <w:rsid w:val="00F91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9B0"/>
    <w:rPr>
      <w:i/>
      <w:iCs/>
      <w:color w:val="0F4761" w:themeColor="accent1" w:themeShade="BF"/>
    </w:rPr>
  </w:style>
  <w:style w:type="character" w:styleId="IntenseReference">
    <w:name w:val="Intense Reference"/>
    <w:basedOn w:val="DefaultParagraphFont"/>
    <w:uiPriority w:val="32"/>
    <w:qFormat/>
    <w:rsid w:val="00F919B0"/>
    <w:rPr>
      <w:b/>
      <w:bCs/>
      <w:smallCaps/>
      <w:color w:val="0F4761" w:themeColor="accent1" w:themeShade="BF"/>
      <w:spacing w:val="5"/>
    </w:rPr>
  </w:style>
  <w:style w:type="character" w:styleId="Hyperlink">
    <w:name w:val="Hyperlink"/>
    <w:basedOn w:val="DefaultParagraphFont"/>
    <w:uiPriority w:val="99"/>
    <w:unhideWhenUsed/>
    <w:rsid w:val="00F919B0"/>
    <w:rPr>
      <w:color w:val="467886" w:themeColor="hyperlink"/>
      <w:u w:val="single"/>
    </w:rPr>
  </w:style>
  <w:style w:type="character" w:styleId="UnresolvedMention">
    <w:name w:val="Unresolved Mention"/>
    <w:basedOn w:val="DefaultParagraphFont"/>
    <w:uiPriority w:val="99"/>
    <w:semiHidden/>
    <w:unhideWhenUsed/>
    <w:rsid w:val="00F91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2698</Words>
  <Characters>15380</Characters>
  <Application>Microsoft Office Word</Application>
  <DocSecurity>0</DocSecurity>
  <Lines>128</Lines>
  <Paragraphs>36</Paragraphs>
  <ScaleCrop>false</ScaleCrop>
  <Company/>
  <LinksUpToDate>false</LinksUpToDate>
  <CharactersWithSpaces>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Kenten Martin</dc:creator>
  <cp:keywords/>
  <dc:description/>
  <cp:lastModifiedBy>Kenten Martin</cp:lastModifiedBy>
  <cp:revision>3</cp:revision>
  <dcterms:created xsi:type="dcterms:W3CDTF">2025-08-08T19:16:00Z</dcterms:created>
  <dcterms:modified xsi:type="dcterms:W3CDTF">2025-08-08T22:01:00Z</dcterms:modified>
</cp:coreProperties>
</file>