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E6309" w14:textId="77777777" w:rsidR="002D5106" w:rsidRDefault="002D5106"/>
    <w:p w14:paraId="300D8723" w14:textId="77777777" w:rsidR="002D5106" w:rsidRPr="002D5106" w:rsidRDefault="002D5106" w:rsidP="002D5106">
      <w:pPr>
        <w:spacing w:after="0" w:line="240" w:lineRule="auto"/>
        <w:jc w:val="center"/>
        <w:outlineLvl w:val="0"/>
        <w:rPr>
          <w:rFonts w:ascii="Libre Baskerville" w:eastAsia="Times New Roman" w:hAnsi="Libre Baskerville" w:cs="Times New Roman"/>
          <w:b/>
          <w:bCs/>
          <w:color w:val="303030"/>
          <w:kern w:val="36"/>
          <w:sz w:val="48"/>
          <w:szCs w:val="48"/>
          <w:lang w:eastAsia="pt-BR"/>
          <w14:ligatures w14:val="none"/>
        </w:rPr>
      </w:pPr>
      <w:proofErr w:type="spellStart"/>
      <w:r w:rsidRPr="002D5106">
        <w:rPr>
          <w:rFonts w:ascii="Libre Baskerville" w:eastAsia="Times New Roman" w:hAnsi="Libre Baskerville" w:cs="Times New Roman"/>
          <w:b/>
          <w:bCs/>
          <w:color w:val="303030"/>
          <w:kern w:val="36"/>
          <w:sz w:val="48"/>
          <w:szCs w:val="48"/>
          <w:lang w:eastAsia="pt-BR"/>
          <w14:ligatures w14:val="none"/>
        </w:rPr>
        <w:t>Crohn</w:t>
      </w:r>
      <w:proofErr w:type="spellEnd"/>
      <w:r w:rsidRPr="002D5106">
        <w:rPr>
          <w:rFonts w:ascii="Libre Baskerville" w:eastAsia="Times New Roman" w:hAnsi="Libre Baskerville" w:cs="Times New Roman"/>
          <w:b/>
          <w:bCs/>
          <w:color w:val="303030"/>
          <w:kern w:val="36"/>
          <w:sz w:val="48"/>
          <w:szCs w:val="48"/>
          <w:lang w:eastAsia="pt-BR"/>
          <w14:ligatures w14:val="none"/>
        </w:rPr>
        <w:t>, Doença de</w:t>
      </w:r>
    </w:p>
    <w:p w14:paraId="744B2513" w14:textId="77777777" w:rsidR="002D5106" w:rsidRDefault="002D5106"/>
    <w:p w14:paraId="2F8D51CB" w14:textId="2E25EA63" w:rsidR="002D5106" w:rsidRDefault="002D5106">
      <w:hyperlink r:id="rId5" w:history="1">
        <w:proofErr w:type="spellStart"/>
        <w:r>
          <w:rPr>
            <w:rStyle w:val="Hyperlink"/>
          </w:rPr>
          <w:t>Crohn</w:t>
        </w:r>
        <w:proofErr w:type="spellEnd"/>
        <w:r>
          <w:rPr>
            <w:rStyle w:val="Hyperlink"/>
          </w:rPr>
          <w:t>, Doença de – Instituto Viva Melhor</w:t>
        </w:r>
      </w:hyperlink>
    </w:p>
    <w:p w14:paraId="69CEAC36" w14:textId="77777777" w:rsidR="002D5106" w:rsidRPr="002D5106" w:rsidRDefault="002D5106" w:rsidP="002D5106">
      <w:pPr>
        <w:spacing w:after="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hyperlink r:id="rId6" w:anchor="content" w:history="1">
        <w:r w:rsidRPr="002D5106">
          <w:rPr>
            <w:rFonts w:ascii="Libre Baskerville" w:eastAsia="Times New Roman" w:hAnsi="Libre Baskerville" w:cs="Times New Roman"/>
            <w:color w:val="0000FF"/>
            <w:kern w:val="0"/>
            <w:sz w:val="30"/>
            <w:szCs w:val="30"/>
            <w:u w:val="single"/>
            <w:bdr w:val="none" w:sz="0" w:space="0" w:color="auto" w:frame="1"/>
            <w:lang w:eastAsia="pt-BR"/>
            <w14:ligatures w14:val="none"/>
          </w:rPr>
          <w:t>Ir para conteúdo</w:t>
        </w:r>
      </w:hyperlink>
    </w:p>
    <w:p w14:paraId="38B17C4B" w14:textId="1D4DB4EE" w:rsidR="002D5106" w:rsidRPr="002D5106" w:rsidRDefault="002D5106" w:rsidP="002D5106">
      <w:pPr>
        <w:spacing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noProof/>
          <w:color w:val="0000FF"/>
          <w:kern w:val="0"/>
          <w:sz w:val="30"/>
          <w:szCs w:val="30"/>
          <w:lang w:eastAsia="pt-BR"/>
          <w14:ligatures w14:val="none"/>
        </w:rPr>
        <w:drawing>
          <wp:inline distT="0" distB="0" distL="0" distR="0" wp14:anchorId="44D683F2" wp14:editId="0EEFB70A">
            <wp:extent cx="478790" cy="457200"/>
            <wp:effectExtent l="0" t="0" r="0" b="0"/>
            <wp:docPr id="1330869875" name="Imagem 3" descr="Instituto Viva Melhor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ituto Viva Melhor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A1993" w14:textId="77777777" w:rsidR="002D5106" w:rsidRPr="002D5106" w:rsidRDefault="002D5106" w:rsidP="002D5106">
      <w:pPr>
        <w:spacing w:after="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hyperlink r:id="rId9" w:history="1">
        <w:r w:rsidRPr="002D5106">
          <w:rPr>
            <w:rFonts w:ascii="Libre Baskerville" w:eastAsia="Times New Roman" w:hAnsi="Libre Baskerville" w:cs="Times New Roman"/>
            <w:b/>
            <w:bCs/>
            <w:color w:val="0000FF"/>
            <w:kern w:val="0"/>
            <w:sz w:val="30"/>
            <w:szCs w:val="30"/>
            <w:u w:val="single"/>
            <w:lang w:eastAsia="pt-BR"/>
            <w14:ligatures w14:val="none"/>
          </w:rPr>
          <w:t>Instituto Viva Melhor</w:t>
        </w:r>
      </w:hyperlink>
    </w:p>
    <w:p w14:paraId="14B3C517" w14:textId="77777777" w:rsidR="002D5106" w:rsidRPr="002D5106" w:rsidRDefault="002D5106" w:rsidP="002D5106">
      <w:pPr>
        <w:spacing w:after="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Cursos de Naturopatia, Iridologia e Nutrição</w:t>
      </w:r>
    </w:p>
    <w:p w14:paraId="4DBF5147" w14:textId="77777777" w:rsidR="002D5106" w:rsidRPr="002D5106" w:rsidRDefault="002D5106" w:rsidP="002D5106">
      <w:pPr>
        <w:spacing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hyperlink r:id="rId10" w:history="1">
        <w:r w:rsidRPr="002D5106">
          <w:rPr>
            <w:rFonts w:ascii="Libre Baskerville" w:eastAsia="Times New Roman" w:hAnsi="Libre Baskerville" w:cs="Times New Roman"/>
            <w:b/>
            <w:bCs/>
            <w:color w:val="0000FF"/>
            <w:kern w:val="0"/>
            <w:sz w:val="30"/>
            <w:szCs w:val="30"/>
            <w:u w:val="single"/>
            <w:bdr w:val="none" w:sz="0" w:space="0" w:color="auto" w:frame="1"/>
            <w:lang w:eastAsia="pt-BR"/>
            <w14:ligatures w14:val="none"/>
          </w:rPr>
          <w:t>Voltar ao Curso</w:t>
        </w:r>
      </w:hyperlink>
    </w:p>
    <w:p w14:paraId="3F9DF5CC" w14:textId="329ABC6C" w:rsidR="002D5106" w:rsidRPr="002D5106" w:rsidRDefault="002D5106" w:rsidP="002D5106">
      <w:pPr>
        <w:spacing w:after="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noProof/>
          <w:color w:val="303030"/>
          <w:kern w:val="0"/>
          <w:sz w:val="30"/>
          <w:szCs w:val="30"/>
          <w:lang w:eastAsia="pt-BR"/>
          <w14:ligatures w14:val="none"/>
        </w:rPr>
        <w:drawing>
          <wp:inline distT="0" distB="0" distL="0" distR="0" wp14:anchorId="7490A949" wp14:editId="33D94E39">
            <wp:extent cx="3935095" cy="2753995"/>
            <wp:effectExtent l="0" t="0" r="8255" b="8255"/>
            <wp:docPr id="184976908" name="Imagem 2" descr="Pessoa de camisa branc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6908" name="Imagem 2" descr="Pessoa de camisa branc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09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B6741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b/>
          <w:bCs/>
          <w:color w:val="303030"/>
          <w:kern w:val="0"/>
          <w:sz w:val="30"/>
          <w:szCs w:val="30"/>
          <w:lang w:eastAsia="pt-BR"/>
          <w14:ligatures w14:val="none"/>
        </w:rPr>
        <w:t> Sintomas</w:t>
      </w:r>
    </w:p>
    <w:p w14:paraId="46E501C7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A doença de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Crohn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 exibe sintomas muito parecidos com os da colite ulcerativa. Além do intestino, pode atingir o estômago e o duodeno, simulando úlcera péptica. Mas o acometimento gástrico é raro.</w:t>
      </w:r>
    </w:p>
    <w:p w14:paraId="5A820EFA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Caracteriza-se por febre, dor abdominal,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diarréia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 (com ou sem sangue), sensação de fraqueza e perda de peso. Contudo, a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diarréia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 e a dor são as mani</w:t>
      </w: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softHyphen/>
      </w: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softHyphen/>
        <w:t xml:space="preserve">festações mais </w:t>
      </w: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lastRenderedPageBreak/>
        <w:t>comuns. O sangra</w:t>
      </w: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softHyphen/>
        <w:t xml:space="preserve">mento é menos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freqüente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 que na colite ulcerativa.</w:t>
      </w:r>
    </w:p>
    <w:p w14:paraId="4A8564F0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O comprometimento da mucosa intestinal é irregular, havendo setores aparentemente normais, seguidos de outros muito afetados (por isso se diz enterite regional). No caso da colite ulcerativa o comprometimento é contínuo e quase sempre envolve o reto (por isso se diz, rotineiramente,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retocolite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 ulcerativa).</w:t>
      </w:r>
    </w:p>
    <w:p w14:paraId="7A7E160A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Pode haver sérias complicações no ânus, como abscessos, fissuras e fístulas, as quais devem levantar a suspeita de doença de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Crohn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. Aliás, em muitos casos, fissuras rebeldes e fístulas na região do reto são o primeiro sinal dessa doença.</w:t>
      </w:r>
    </w:p>
    <w:p w14:paraId="52206914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Há vários segmentos de dilatação e espessamento no intestino. Isto costuma provocar obstrução intestinal de grau variável. Inicialmente, a obstrução é provocada pelo próprio edema do proces</w:t>
      </w: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softHyphen/>
        <w:t>so inflamatório. Com a croni</w:t>
      </w: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softHyphen/>
        <w:t>fi</w:t>
      </w: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softHyphen/>
        <w:t>cação, entretanto, há estreita</w:t>
      </w: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softHyphen/>
        <w:t>mento por fibrose (“endurecimento” do tecido, com perda total de função).</w:t>
      </w:r>
    </w:p>
    <w:p w14:paraId="406C1063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Comprometimento no intestino delgado</w:t>
      </w:r>
    </w:p>
    <w:p w14:paraId="0CBD83EE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A doença de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Crohn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 ataca habitualmente o intestino grosso. Mas também é possível que afete o intestino delgado. Nesse caso, na maioria das vezes, o paciente é jovem, com história inicial de cansaço, emagrecimento,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diarréia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, anemia moderada e dor na parte inferior direita do abdome, que pode ser contínua ou espasmódica, como cólica. Em alguns casos, há náusea, vômito e febre baixa. Às vezes, os sintomas são idênticos aos da apendi</w:t>
      </w: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softHyphen/>
        <w:t>cite.</w:t>
      </w:r>
    </w:p>
    <w:p w14:paraId="5D7AEC65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lastRenderedPageBreak/>
        <w:t>Complicações</w:t>
      </w:r>
    </w:p>
    <w:p w14:paraId="4FCBBB9A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Entre as complicações está a possibilidade de perfuração intestinal, dado o espessamento e enfraquecimento da parede intestinal.</w:t>
      </w:r>
    </w:p>
    <w:p w14:paraId="55E8E5C6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Das lesões de cólon e intestino delgado, produzidas pelo mal de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Crohn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, pode surgir, mais tarde, um câncer.</w:t>
      </w:r>
    </w:p>
    <w:p w14:paraId="62C3CD2C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A formação de fístulas é comum. Fístulas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enterovesicais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 (que ligam o intestino à bexiga) podem provocar infecção urinária. Massas inflamatórias do intestino comprimem outras estruturas, como canais urinários, provocando retenção urinária.</w:t>
      </w:r>
    </w:p>
    <w:p w14:paraId="0CA2EE93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Quando a área atingida é grande, pode haver má absorção significativa, com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conseqüente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 desnutrição e emagrecimento.</w:t>
      </w:r>
    </w:p>
    <w:p w14:paraId="61A72BDB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Cálculos renais e cálculos da vesícula</w:t>
      </w:r>
    </w:p>
    <w:p w14:paraId="654A6213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Verifica-se maior absorção de oxalatos, com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conseqüente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 aumento na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freqüência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 de cálculos renais por oxalato.</w:t>
      </w:r>
    </w:p>
    <w:p w14:paraId="71A153DB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A má absorção conduz a problemas de vesícula, onde mais facilmente surgem cálculos. No fígado ocorrem perturbações metabólicas dignas de nota. Há casos de amiloidose secundária ao mal de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Crohn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, com aumento de fígado e baço, e perda de proteína pela urina (proteinúria).</w:t>
      </w:r>
    </w:p>
    <w:p w14:paraId="551AFA69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Retocolite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 ulcerativa</w:t>
      </w:r>
    </w:p>
    <w:p w14:paraId="07055FBF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lastRenderedPageBreak/>
        <w:t xml:space="preserve">Falemos um pouco da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retocolite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 ulcerativa, cujos sintomas são quase os mesmos da doença de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Crohn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. No intestino verifica-se que a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retocolite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 afeta extensas áreas, ao passo que a doença de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Crohn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 afeta segmentos, de modo descontínuo. No mal de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Crohn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 pode haver uma área de uns 10cm completamente intumescida, seguida de um longo trecho normal para, abruptamente, aparecer outro segmento doente.</w:t>
      </w:r>
    </w:p>
    <w:p w14:paraId="7436CE71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A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retocolite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 acomete principalmente o reto e o cólon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sigmóide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. Há múltiplas possibilidades de manifestações: leve, moderada e severa. Na forma severa pode haver hemorragia importante,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diarréia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 contínua de dez ou mais dejeções de fezes líquidas ao dia, contendo muco, pus, sangue e alimentos mal digeridos. Ocorrem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freqüentemente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 falsa sensação de evacuar (tenesmo), cólicas abdominais, acompanhadas de ruídos e meteo</w:t>
      </w: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softHyphen/>
        <w:t>rismo (grande formação de gases). As fezes, ácidas, provocam dor, queimação e prurido na região próxima ao ânus, que às vezes fica em carne viva. Há emagrecimento, por vezes febre, desnutrição profunda, ane</w:t>
      </w: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softHyphen/>
        <w:t>mia, sonolência, angústia e depressão.</w:t>
      </w:r>
    </w:p>
    <w:p w14:paraId="759ABDC2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O paciente, tipicamente de meia-idade e bom nível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sócio-econômico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, cos</w:t>
      </w: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softHyphen/>
        <w:t>tuma exibir personalidade obsessiva e ansiosa.</w:t>
      </w:r>
    </w:p>
    <w:p w14:paraId="4C6EAD4B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O exame da parede intestinal mostra intensa irritação, avermelhamento e úlceras, que aparecem primeiramente no reto, e se alastram para cima (por isso se diz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retocolite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).</w:t>
      </w:r>
    </w:p>
    <w:p w14:paraId="4CFAECCA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Causas da doença de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Crohn</w:t>
      </w:r>
      <w:proofErr w:type="spellEnd"/>
    </w:p>
    <w:p w14:paraId="515AD35B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Ainda são obscuras. Para os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estudosos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 da vida natural, entretanto, é resultado do casamento de susceti</w:t>
      </w: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softHyphen/>
        <w:t>bi</w:t>
      </w: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softHyphen/>
        <w:t>li</w:t>
      </w: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softHyphen/>
        <w:t xml:space="preserve">dade </w:t>
      </w: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lastRenderedPageBreak/>
        <w:t>individual com estilo de vida insalubre, responsável por más digestões crônicas. Há outros fatores que consideramos possibilidades dignas de atenção:</w:t>
      </w:r>
    </w:p>
    <w:p w14:paraId="246B18F6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1. Como na colite nervosa, falhas na regência do sistema nervoso autônomo produzem padrão anormal de funcionamento do intestino. Para tanto, é decisiva a influência do fator emocional.</w:t>
      </w:r>
    </w:p>
    <w:p w14:paraId="3BA9531C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2. Falta de fibra dietética, sempre relacionada a alterações químicas, mecânicas e biológicas no intestino.</w:t>
      </w:r>
    </w:p>
    <w:p w14:paraId="69E6266C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3. Má alimentação. Excesso de gordura e açúcar, carnes, fast-food, maio</w:t>
      </w: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softHyphen/>
        <w:t>nese, lanches ligeiros, guloseimas, frituras, muito laticínio, embutidos etc.</w:t>
      </w:r>
    </w:p>
    <w:p w14:paraId="3D5CE17D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4. Distúrbios digestivos, como acloridria (falta de suco gástrico), que permitem a passagem de alimentos mal digeridos ao intestino e propiciam fermentações.</w:t>
      </w:r>
    </w:p>
    <w:p w14:paraId="2F435399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5. Medicamentos e substâncias inorgânicas. Salicilatos (aspirina e outros analgésicos), xaropes que contenham creosoto; arsênico, mercúrio e chumbo são exemplos de substâncias que podem ocasionar reação inflamatória no intestino. Não há evidências claras da relação com o mal de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Crohn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, mas é uma possibilidade que merece investigação, pois o ponto de partida é um processo inflamatório.</w:t>
      </w:r>
    </w:p>
    <w:p w14:paraId="44EAF098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6. Proliferação de certas bactérias, como a Escherichia coli no intestino, ou qualquer perturbação da microbiota, que favoreça produção de gases, fermentação, putrefação e irritação.</w:t>
      </w:r>
    </w:p>
    <w:p w14:paraId="041CD329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lastRenderedPageBreak/>
        <w:t xml:space="preserve">Nossa dieta, de péssima qualidade, cria ambiente intestinal favorável ao desenvolvimento de bactérias que, ao agirem sobre os resíduos alimentares, convertem-nos em substâncias irritantes. A causa alimentar atua com os fatores psíquicos. Se a esses fatores soma-se suscetibilidade individual, está “fechado o ciclo” da doença de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Crohn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.</w:t>
      </w:r>
    </w:p>
    <w:p w14:paraId="60DD7A80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Indicações naturais</w:t>
      </w:r>
    </w:p>
    <w:p w14:paraId="2BB15997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Informações sobre outras indicações tradicionais e naturais contra a doença de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Crohn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, ver colite, página 386.</w:t>
      </w:r>
    </w:p>
    <w:p w14:paraId="4DC6CE92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Desintoxicação dietética</w:t>
      </w:r>
    </w:p>
    <w:p w14:paraId="5EEF9346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Tratamentos</w:t>
      </w:r>
    </w:p>
    <w:p w14:paraId="27F1D546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Alimentação</w:t>
      </w:r>
    </w:p>
    <w:p w14:paraId="038FA70A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A Medicina oficial trata principalmente os sintomas. Repõem-se perdas nutricionais e usam-se medicamentos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antiinflamatórios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 e antibióticos, a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sulfasalazina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, e os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corticosteróides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supra-renais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. A dieta é “leve”. Em caso de complicação, prescreve-se a cirurgia. Na anemia grave, transfunde-se sangue.</w:t>
      </w:r>
    </w:p>
    <w:p w14:paraId="3907DE7C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O tratamento médico-naturista da doença de </w:t>
      </w:r>
      <w:proofErr w:type="spellStart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Crohn</w:t>
      </w:r>
      <w:proofErr w:type="spellEnd"/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 tem como principal objetivo específico tentar normalizar a função intestinal. O inespecífico é fortalecer o sistema imunitário através da reestruturação de hábitos e abordagem dos distúrbios emocionais. Para atingir esse alvo, a primeira providência prática é replanejar a dieta, que deve contribuir para o desenvolvimento de microbiota </w:t>
      </w: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lastRenderedPageBreak/>
        <w:t>intestinal sadia. Prescrevem-se psicoterapia, plantas, banhos e, mais tarde, exercícios físicos apropriados, como auxiliares do tratamento.</w:t>
      </w:r>
    </w:p>
    <w:p w14:paraId="7DEF0932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Para prevenir ataques agudos, recomenda-se dieta saudável. Convencionalmente, fala-se de dieta pobre em resíduos. Na fase aguda, é necessário diminuir os resíduos alimentares, limitando a dieta a suco de maçã, ou caldo de legumes e maçã cozida com torradas.</w:t>
      </w:r>
    </w:p>
    <w:p w14:paraId="5640AE4F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Evitar frituras, carnes, embutidos, laticínios, café, molhos, maioneses, alimentos gordurosos, condimentos fortes, lanches ligeiros, refrigerantes etc. Quando surgem manifestações devem-se também evitar frutas muito ácidas, como cítricos, abacaxi e limão, e folhas cruas.</w:t>
      </w:r>
    </w:p>
    <w:p w14:paraId="0A6C0350" w14:textId="77777777" w:rsidR="002D5106" w:rsidRPr="002D5106" w:rsidRDefault="002D5106" w:rsidP="002D5106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Uma das regras mais básicas na prevenção e no tratamento dietético das doenças intestinais inflamatórias é mastigar completamente cada bocado, comendo sem pressa.</w:t>
      </w:r>
    </w:p>
    <w:p w14:paraId="6CC7DC24" w14:textId="77777777" w:rsidR="002D5106" w:rsidRPr="002D5106" w:rsidRDefault="002D5106" w:rsidP="002D5106">
      <w:pPr>
        <w:spacing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hyperlink r:id="rId12" w:history="1">
        <w:r w:rsidRPr="002D5106">
          <w:rPr>
            <w:rFonts w:ascii="Libre Baskerville" w:eastAsia="Times New Roman" w:hAnsi="Libre Baskerville" w:cs="Times New Roman"/>
            <w:b/>
            <w:bCs/>
            <w:color w:val="0000FF"/>
            <w:kern w:val="0"/>
            <w:sz w:val="30"/>
            <w:szCs w:val="30"/>
            <w:u w:val="single"/>
            <w:bdr w:val="none" w:sz="0" w:space="0" w:color="auto" w:frame="1"/>
            <w:lang w:eastAsia="pt-BR"/>
            <w14:ligatures w14:val="none"/>
          </w:rPr>
          <w:t>Voltar ao Curso</w:t>
        </w:r>
      </w:hyperlink>
    </w:p>
    <w:p w14:paraId="4A55473D" w14:textId="77777777" w:rsidR="002D5106" w:rsidRPr="002D5106" w:rsidRDefault="002D5106" w:rsidP="002D5106">
      <w:pPr>
        <w:spacing w:after="240" w:line="240" w:lineRule="auto"/>
        <w:outlineLvl w:val="2"/>
        <w:rPr>
          <w:rFonts w:ascii="Libre Baskerville" w:eastAsia="Times New Roman" w:hAnsi="Libre Baskerville" w:cs="Times New Roman"/>
          <w:b/>
          <w:bCs/>
          <w:color w:val="303030"/>
          <w:kern w:val="0"/>
          <w:sz w:val="18"/>
          <w:szCs w:val="18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b/>
          <w:bCs/>
          <w:color w:val="303030"/>
          <w:kern w:val="0"/>
          <w:sz w:val="18"/>
          <w:szCs w:val="18"/>
          <w:lang w:eastAsia="pt-BR"/>
          <w14:ligatures w14:val="none"/>
        </w:rPr>
        <w:t>Compartilhe isso:</w:t>
      </w:r>
    </w:p>
    <w:p w14:paraId="449ADA3C" w14:textId="77777777" w:rsidR="002D5106" w:rsidRPr="002D5106" w:rsidRDefault="002D5106" w:rsidP="002D5106">
      <w:pPr>
        <w:numPr>
          <w:ilvl w:val="0"/>
          <w:numId w:val="1"/>
        </w:numPr>
        <w:spacing w:after="180" w:line="240" w:lineRule="auto"/>
        <w:ind w:right="120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hyperlink r:id="rId13" w:tgtFrame="_blank" w:tooltip="Clique para compartilhar no Twitter" w:history="1">
        <w:r w:rsidRPr="002D5106">
          <w:rPr>
            <w:rFonts w:ascii="Open Sans" w:eastAsia="Times New Roman" w:hAnsi="Open Sans" w:cs="Open Sans"/>
            <w:color w:val="2C3338"/>
            <w:kern w:val="0"/>
            <w:sz w:val="20"/>
            <w:szCs w:val="20"/>
            <w:u w:val="single"/>
            <w:shd w:val="clear" w:color="auto" w:fill="FFFFFF"/>
            <w:lang w:eastAsia="pt-BR"/>
            <w14:ligatures w14:val="none"/>
          </w:rPr>
          <w:t>Twitter</w:t>
        </w:r>
      </w:hyperlink>
    </w:p>
    <w:p w14:paraId="03B2F8EE" w14:textId="77777777" w:rsidR="002D5106" w:rsidRPr="002D5106" w:rsidRDefault="002D5106" w:rsidP="002D5106">
      <w:pPr>
        <w:numPr>
          <w:ilvl w:val="0"/>
          <w:numId w:val="1"/>
        </w:numPr>
        <w:spacing w:after="180" w:line="240" w:lineRule="auto"/>
        <w:ind w:right="120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hyperlink r:id="rId14" w:tgtFrame="_blank" w:tooltip="Clique para compartilhar no Facebook" w:history="1">
        <w:r w:rsidRPr="002D5106">
          <w:rPr>
            <w:rFonts w:ascii="Open Sans" w:eastAsia="Times New Roman" w:hAnsi="Open Sans" w:cs="Open Sans"/>
            <w:color w:val="2C3338"/>
            <w:kern w:val="0"/>
            <w:sz w:val="20"/>
            <w:szCs w:val="20"/>
            <w:u w:val="single"/>
            <w:shd w:val="clear" w:color="auto" w:fill="FFFFFF"/>
            <w:lang w:eastAsia="pt-BR"/>
            <w14:ligatures w14:val="none"/>
          </w:rPr>
          <w:t>Facebook</w:t>
        </w:r>
      </w:hyperlink>
    </w:p>
    <w:p w14:paraId="040480BB" w14:textId="77777777" w:rsidR="002D5106" w:rsidRPr="002D5106" w:rsidRDefault="002D5106" w:rsidP="002D5106">
      <w:pPr>
        <w:numPr>
          <w:ilvl w:val="0"/>
          <w:numId w:val="1"/>
        </w:numPr>
        <w:spacing w:line="240" w:lineRule="auto"/>
        <w:ind w:right="120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</w:p>
    <w:p w14:paraId="3BCB373D" w14:textId="77777777" w:rsidR="002D5106" w:rsidRPr="002D5106" w:rsidRDefault="002D5106" w:rsidP="002D5106">
      <w:pPr>
        <w:spacing w:after="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Libre Baskerville" w:eastAsia="Times New Roman" w:hAnsi="Libre Baskerville" w:cs="Times New Roman"/>
          <w:color w:val="999999"/>
          <w:kern w:val="0"/>
          <w:sz w:val="18"/>
          <w:szCs w:val="18"/>
          <w:lang w:eastAsia="pt-BR"/>
          <w14:ligatures w14:val="none"/>
        </w:rPr>
        <w:t>Carregando...</w:t>
      </w:r>
    </w:p>
    <w:p w14:paraId="7E12E690" w14:textId="77777777" w:rsidR="002D5106" w:rsidRPr="002D5106" w:rsidRDefault="002D5106" w:rsidP="002D5106">
      <w:pPr>
        <w:spacing w:after="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hyperlink r:id="rId15" w:history="1">
        <w:r w:rsidRPr="002D5106">
          <w:rPr>
            <w:rFonts w:ascii="Libre Baskerville" w:eastAsia="Times New Roman" w:hAnsi="Libre Baskerville" w:cs="Times New Roman"/>
            <w:b/>
            <w:bCs/>
            <w:color w:val="0000FF"/>
            <w:kern w:val="0"/>
            <w:sz w:val="30"/>
            <w:szCs w:val="30"/>
            <w:u w:val="single"/>
            <w:lang w:eastAsia="pt-BR"/>
            <w14:ligatures w14:val="none"/>
          </w:rPr>
          <w:t>Instituto Viva Melhor</w:t>
        </w:r>
      </w:hyperlink>
      <w:r w:rsidRPr="002D5106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, </w:t>
      </w:r>
      <w:hyperlink r:id="rId16" w:history="1">
        <w:r w:rsidRPr="002D5106">
          <w:rPr>
            <w:rFonts w:ascii="Libre Baskerville" w:eastAsia="Times New Roman" w:hAnsi="Libre Baskerville" w:cs="Times New Roman"/>
            <w:color w:val="0000FF"/>
            <w:kern w:val="0"/>
            <w:sz w:val="30"/>
            <w:szCs w:val="30"/>
            <w:u w:val="single"/>
            <w:lang w:eastAsia="pt-BR"/>
            <w14:ligatures w14:val="none"/>
          </w:rPr>
          <w:t>Blog no WordPress.com.</w:t>
        </w:r>
      </w:hyperlink>
    </w:p>
    <w:p w14:paraId="3624267D" w14:textId="77777777" w:rsidR="002D5106" w:rsidRPr="002D5106" w:rsidRDefault="002D5106" w:rsidP="002D5106">
      <w:pPr>
        <w:numPr>
          <w:ilvl w:val="0"/>
          <w:numId w:val="2"/>
        </w:numPr>
        <w:shd w:val="clear" w:color="auto" w:fill="FFFFFF"/>
        <w:spacing w:after="0" w:line="240" w:lineRule="auto"/>
        <w:ind w:left="810" w:right="30"/>
        <w:textAlignment w:val="center"/>
        <w:rPr>
          <w:rFonts w:ascii="Segoe UI" w:eastAsia="Times New Roman" w:hAnsi="Segoe UI" w:cs="Segoe UI"/>
          <w:color w:val="303030"/>
          <w:kern w:val="0"/>
          <w:sz w:val="30"/>
          <w:szCs w:val="30"/>
          <w:lang w:eastAsia="pt-BR"/>
          <w14:ligatures w14:val="none"/>
        </w:rPr>
      </w:pPr>
      <w:hyperlink r:id="rId17" w:history="1">
        <w:r w:rsidRPr="002D5106">
          <w:rPr>
            <w:rFonts w:ascii="Segoe UI" w:eastAsia="Times New Roman" w:hAnsi="Segoe UI" w:cs="Segoe UI"/>
            <w:color w:val="787C82"/>
            <w:kern w:val="0"/>
            <w:sz w:val="20"/>
            <w:szCs w:val="20"/>
            <w:u w:val="single"/>
            <w:bdr w:val="none" w:sz="0" w:space="0" w:color="auto" w:frame="1"/>
            <w:lang w:eastAsia="pt-BR"/>
            <w14:ligatures w14:val="none"/>
          </w:rPr>
          <w:t>Assinar</w:t>
        </w:r>
      </w:hyperlink>
    </w:p>
    <w:p w14:paraId="23E54CC6" w14:textId="77777777" w:rsidR="002D5106" w:rsidRPr="002D5106" w:rsidRDefault="002D5106" w:rsidP="002D510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303030"/>
          <w:kern w:val="0"/>
          <w:sz w:val="30"/>
          <w:szCs w:val="30"/>
          <w:lang w:eastAsia="pt-BR"/>
          <w14:ligatures w14:val="none"/>
        </w:rPr>
      </w:pPr>
      <w:r w:rsidRPr="002D5106">
        <w:rPr>
          <w:rFonts w:ascii="Segoe UI" w:eastAsia="Times New Roman" w:hAnsi="Segoe UI" w:cs="Segoe UI"/>
          <w:color w:val="303030"/>
          <w:kern w:val="0"/>
          <w:sz w:val="30"/>
          <w:szCs w:val="30"/>
          <w:lang w:eastAsia="pt-BR"/>
          <w14:ligatures w14:val="none"/>
        </w:rPr>
        <w:t> </w:t>
      </w:r>
    </w:p>
    <w:p w14:paraId="2EBF06B9" w14:textId="77777777" w:rsidR="002D5106" w:rsidRPr="002D5106" w:rsidRDefault="002D5106" w:rsidP="002D5106">
      <w:pPr>
        <w:numPr>
          <w:ilvl w:val="0"/>
          <w:numId w:val="2"/>
        </w:numPr>
        <w:shd w:val="clear" w:color="auto" w:fill="FFFFFF"/>
        <w:spacing w:after="0" w:line="240" w:lineRule="auto"/>
        <w:textAlignment w:val="center"/>
        <w:rPr>
          <w:rFonts w:ascii="Segoe UI" w:eastAsia="Times New Roman" w:hAnsi="Segoe UI" w:cs="Segoe UI"/>
          <w:color w:val="303030"/>
          <w:kern w:val="0"/>
          <w:sz w:val="30"/>
          <w:szCs w:val="30"/>
          <w:lang w:eastAsia="pt-BR"/>
          <w14:ligatures w14:val="none"/>
        </w:rPr>
      </w:pPr>
    </w:p>
    <w:p w14:paraId="7F09369B" w14:textId="574AAAF3" w:rsidR="002D5106" w:rsidRDefault="002D5106" w:rsidP="002D5106">
      <w:r w:rsidRPr="002D5106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drawing>
          <wp:inline distT="0" distB="0" distL="0" distR="0" wp14:anchorId="6CBB5592" wp14:editId="407B5A79">
            <wp:extent cx="59690" cy="48895"/>
            <wp:effectExtent l="0" t="0" r="0" b="8255"/>
            <wp:docPr id="8889679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pstat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" cy="4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51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D52CD"/>
    <w:multiLevelType w:val="multilevel"/>
    <w:tmpl w:val="8D4C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25416"/>
    <w:multiLevelType w:val="multilevel"/>
    <w:tmpl w:val="1B5E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759285">
    <w:abstractNumId w:val="0"/>
  </w:num>
  <w:num w:numId="2" w16cid:durableId="1365524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106"/>
    <w:rsid w:val="002D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92985"/>
  <w15:chartTrackingRefBased/>
  <w15:docId w15:val="{8A8F9505-D8B7-4FF6-A68D-8D67FA5C8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5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5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D5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5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5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5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5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5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5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5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5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D5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51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51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51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51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51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51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5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5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5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5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5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51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51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51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5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51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51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semiHidden/>
    <w:unhideWhenUsed/>
    <w:rsid w:val="002D5106"/>
    <w:rPr>
      <w:color w:val="0000FF"/>
      <w:u w:val="single"/>
    </w:rPr>
  </w:style>
  <w:style w:type="paragraph" w:customStyle="1" w:styleId="site-title">
    <w:name w:val="site-title"/>
    <w:basedOn w:val="Normal"/>
    <w:rsid w:val="002D5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site-description">
    <w:name w:val="site-description"/>
    <w:basedOn w:val="Normal"/>
    <w:rsid w:val="002D5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5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D5106"/>
    <w:rPr>
      <w:b/>
      <w:bCs/>
    </w:rPr>
  </w:style>
  <w:style w:type="paragraph" w:customStyle="1" w:styleId="share-twitter">
    <w:name w:val="share-twitter"/>
    <w:basedOn w:val="Normal"/>
    <w:rsid w:val="002D5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share-facebook">
    <w:name w:val="share-facebook"/>
    <w:basedOn w:val="Normal"/>
    <w:rsid w:val="002D5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share-end">
    <w:name w:val="share-end"/>
    <w:basedOn w:val="Normal"/>
    <w:rsid w:val="002D5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loading">
    <w:name w:val="loading"/>
    <w:basedOn w:val="Fontepargpadro"/>
    <w:rsid w:val="002D5106"/>
  </w:style>
  <w:style w:type="character" w:customStyle="1" w:styleId="comma">
    <w:name w:val="comma"/>
    <w:basedOn w:val="Fontepargpadro"/>
    <w:rsid w:val="002D5106"/>
  </w:style>
  <w:style w:type="paragraph" w:customStyle="1" w:styleId="actnbr-btn">
    <w:name w:val="actnbr-btn"/>
    <w:basedOn w:val="Normal"/>
    <w:rsid w:val="002D5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actnbr-ellipsis">
    <w:name w:val="actnbr-ellipsis"/>
    <w:basedOn w:val="Normal"/>
    <w:rsid w:val="002D5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21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689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14243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869245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52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417800">
                  <w:marLeft w:val="0"/>
                  <w:marRight w:val="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2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975863">
                  <w:marLeft w:val="0"/>
                  <w:marRight w:val="0"/>
                  <w:marTop w:val="4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9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7239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28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857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14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23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4926">
          <w:marLeft w:val="0"/>
          <w:marRight w:val="0"/>
          <w:marTop w:val="0"/>
          <w:marBottom w:val="0"/>
          <w:divBdr>
            <w:top w:val="single" w:sz="6" w:space="0" w:color="DCDCDE"/>
            <w:left w:val="single" w:sz="6" w:space="0" w:color="DCDCDE"/>
            <w:bottom w:val="single" w:sz="6" w:space="0" w:color="DCDCDE"/>
            <w:right w:val="single" w:sz="6" w:space="0" w:color="DCDCDE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institutovivamelhor.online/crohn-doenca-de/?share=twitter&amp;nb=1" TargetMode="External"/><Relationship Id="rId18" Type="http://schemas.openxmlformats.org/officeDocument/2006/relationships/image" Target="media/image3.gif"/><Relationship Id="rId3" Type="http://schemas.openxmlformats.org/officeDocument/2006/relationships/settings" Target="settings.xml"/><Relationship Id="rId7" Type="http://schemas.openxmlformats.org/officeDocument/2006/relationships/hyperlink" Target="https://institutovivamelhor.online/" TargetMode="External"/><Relationship Id="rId12" Type="http://schemas.openxmlformats.org/officeDocument/2006/relationships/hyperlink" Target="https://ocursovivamelhor.club.hotmart.com/lesson/14okgrj94p/guia-por-enfermidades-de-a-a-z" TargetMode="External"/><Relationship Id="rId17" Type="http://schemas.openxmlformats.org/officeDocument/2006/relationships/hyperlink" Target="https://institutovivamelhor.online/crohn-doenca-d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ordpress.com/?ref=footer_blog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institutovivamelhor.online/crohn-doenca-de/" TargetMode="External"/><Relationship Id="rId11" Type="http://schemas.openxmlformats.org/officeDocument/2006/relationships/image" Target="media/image2.jpeg"/><Relationship Id="rId5" Type="http://schemas.openxmlformats.org/officeDocument/2006/relationships/hyperlink" Target="https://institutovivamelhor.online/crohn-doenca-de/" TargetMode="External"/><Relationship Id="rId15" Type="http://schemas.openxmlformats.org/officeDocument/2006/relationships/hyperlink" Target="https://institutovivamelhor.online/" TargetMode="External"/><Relationship Id="rId10" Type="http://schemas.openxmlformats.org/officeDocument/2006/relationships/hyperlink" Target="https://ocursovivamelhor.club.hotmart.com/lesson/14okgrj94p/guia-por-enfermidades-de-a-a-z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nstitutovivamelhor.online/" TargetMode="External"/><Relationship Id="rId14" Type="http://schemas.openxmlformats.org/officeDocument/2006/relationships/hyperlink" Target="https://institutovivamelhor.online/crohn-doenca-de/?share=facebook&amp;nb=1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1378</Words>
  <Characters>7443</Characters>
  <Application>Microsoft Office Word</Application>
  <DocSecurity>0</DocSecurity>
  <Lines>62</Lines>
  <Paragraphs>17</Paragraphs>
  <ScaleCrop>false</ScaleCrop>
  <Company/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2024-03-04T23:55:00Z</dcterms:created>
  <dcterms:modified xsi:type="dcterms:W3CDTF">2024-03-04T23:55:00Z</dcterms:modified>
</cp:coreProperties>
</file>