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66EB3" w14:textId="372F258A" w:rsidR="00A4421A" w:rsidRDefault="00A4421A" w:rsidP="00A4421A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  <w:r w:rsidRPr="00A4421A">
        <w:rPr>
          <w:rFonts w:ascii="Times New Roman" w:hAnsi="Times New Roman" w:cs="Times New Roman"/>
          <w:b/>
          <w:bCs/>
          <w:caps/>
        </w:rPr>
        <w:t>enxaqueca</w:t>
      </w:r>
    </w:p>
    <w:p w14:paraId="77E465D6" w14:textId="77777777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  <w:b/>
          <w:bCs/>
          <w:caps/>
        </w:rPr>
      </w:pPr>
    </w:p>
    <w:p w14:paraId="1A3F4037" w14:textId="505E4221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gramStart"/>
      <w:r w:rsidRPr="00A4421A">
        <w:rPr>
          <w:rFonts w:ascii="Times New Roman" w:hAnsi="Times New Roman" w:cs="Times New Roman"/>
        </w:rPr>
        <w:t>excesso</w:t>
      </w:r>
      <w:proofErr w:type="gramEnd"/>
      <w:r w:rsidRPr="00A4421A">
        <w:rPr>
          <w:rFonts w:ascii="Times New Roman" w:hAnsi="Times New Roman" w:cs="Times New Roman"/>
        </w:rPr>
        <w:t xml:space="preserve"> de estímulos sensoriais (ficar em frente à telas, ler por longos períodos, sentir cheiros muito fortes, passar um tempo em um local muito barulhento);</w:t>
      </w:r>
    </w:p>
    <w:p w14:paraId="078F3282" w14:textId="4B1BCB99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hyperlink r:id="rId5" w:tgtFrame="_blank" w:history="1">
        <w:r w:rsidRPr="00A4421A">
          <w:rPr>
            <w:rStyle w:val="Hyperlink"/>
            <w:rFonts w:ascii="Times New Roman" w:hAnsi="Times New Roman" w:cs="Times New Roman"/>
          </w:rPr>
          <w:t>insônia</w:t>
        </w:r>
      </w:hyperlink>
      <w:r w:rsidRPr="00A4421A">
        <w:rPr>
          <w:rFonts w:ascii="Times New Roman" w:hAnsi="Times New Roman" w:cs="Times New Roman"/>
        </w:rPr>
        <w:t> ou a má qualidade de sono;</w:t>
      </w:r>
    </w:p>
    <w:p w14:paraId="1B91655E" w14:textId="045E8933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gramStart"/>
      <w:r w:rsidRPr="00A4421A">
        <w:rPr>
          <w:rFonts w:ascii="Times New Roman" w:hAnsi="Times New Roman" w:cs="Times New Roman"/>
        </w:rPr>
        <w:t>desidratação</w:t>
      </w:r>
      <w:proofErr w:type="gramEnd"/>
      <w:r w:rsidRPr="00A4421A">
        <w:rPr>
          <w:rFonts w:ascii="Times New Roman" w:hAnsi="Times New Roman" w:cs="Times New Roman"/>
        </w:rPr>
        <w:t>;</w:t>
      </w:r>
    </w:p>
    <w:p w14:paraId="33EA8D35" w14:textId="39C20A1F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gramStart"/>
      <w:r w:rsidRPr="00A4421A">
        <w:rPr>
          <w:rFonts w:ascii="Times New Roman" w:hAnsi="Times New Roman" w:cs="Times New Roman"/>
        </w:rPr>
        <w:t>jejum</w:t>
      </w:r>
      <w:proofErr w:type="gramEnd"/>
      <w:r w:rsidRPr="00A4421A">
        <w:rPr>
          <w:rFonts w:ascii="Times New Roman" w:hAnsi="Times New Roman" w:cs="Times New Roman"/>
        </w:rPr>
        <w:t xml:space="preserve"> (passar muitas horas sem se alimentar);</w:t>
      </w:r>
    </w:p>
    <w:p w14:paraId="4837FDB9" w14:textId="640B21A0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gramStart"/>
      <w:r w:rsidRPr="00A4421A">
        <w:rPr>
          <w:rFonts w:ascii="Times New Roman" w:hAnsi="Times New Roman" w:cs="Times New Roman"/>
        </w:rPr>
        <w:t>excesso</w:t>
      </w:r>
      <w:proofErr w:type="gramEnd"/>
      <w:r w:rsidRPr="00A4421A">
        <w:rPr>
          <w:rFonts w:ascii="Times New Roman" w:hAnsi="Times New Roman" w:cs="Times New Roman"/>
        </w:rPr>
        <w:t xml:space="preserve"> de estimulantes (como a cafeína e os energéticos);</w:t>
      </w:r>
    </w:p>
    <w:p w14:paraId="270D8963" w14:textId="1A15D337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gramStart"/>
      <w:r w:rsidRPr="00A4421A">
        <w:rPr>
          <w:rFonts w:ascii="Times New Roman" w:hAnsi="Times New Roman" w:cs="Times New Roman"/>
        </w:rPr>
        <w:t>má</w:t>
      </w:r>
      <w:proofErr w:type="gramEnd"/>
      <w:r w:rsidRPr="00A4421A">
        <w:rPr>
          <w:rFonts w:ascii="Times New Roman" w:hAnsi="Times New Roman" w:cs="Times New Roman"/>
        </w:rPr>
        <w:t xml:space="preserve"> postura (pode comprometer a região do crânio);</w:t>
      </w:r>
    </w:p>
    <w:p w14:paraId="4D5C5303" w14:textId="5254A186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gramStart"/>
      <w:r w:rsidRPr="00A4421A">
        <w:rPr>
          <w:rFonts w:ascii="Times New Roman" w:hAnsi="Times New Roman" w:cs="Times New Roman"/>
        </w:rPr>
        <w:t>estresse e ansiedade</w:t>
      </w:r>
      <w:proofErr w:type="gramEnd"/>
      <w:r w:rsidRPr="00A4421A">
        <w:rPr>
          <w:rFonts w:ascii="Times New Roman" w:hAnsi="Times New Roman" w:cs="Times New Roman"/>
        </w:rPr>
        <w:t xml:space="preserve"> (provocam tensão e consequente dor);</w:t>
      </w:r>
    </w:p>
    <w:p w14:paraId="69E96ED5" w14:textId="13C56288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gramStart"/>
      <w:r w:rsidRPr="00A4421A">
        <w:rPr>
          <w:rFonts w:ascii="Times New Roman" w:hAnsi="Times New Roman" w:cs="Times New Roman"/>
        </w:rPr>
        <w:t>alterações</w:t>
      </w:r>
      <w:proofErr w:type="gramEnd"/>
      <w:r w:rsidRPr="00A4421A">
        <w:rPr>
          <w:rFonts w:ascii="Times New Roman" w:hAnsi="Times New Roman" w:cs="Times New Roman"/>
        </w:rPr>
        <w:t xml:space="preserve"> hormonais (como TPM, período menstrual e gestação);</w:t>
      </w:r>
    </w:p>
    <w:p w14:paraId="3B4DCBED" w14:textId="1661AE83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gramStart"/>
      <w:r w:rsidRPr="00A4421A">
        <w:rPr>
          <w:rFonts w:ascii="Times New Roman" w:hAnsi="Times New Roman" w:cs="Times New Roman"/>
        </w:rPr>
        <w:t>consumo</w:t>
      </w:r>
      <w:proofErr w:type="gramEnd"/>
      <w:r w:rsidRPr="00A4421A">
        <w:rPr>
          <w:rFonts w:ascii="Times New Roman" w:hAnsi="Times New Roman" w:cs="Times New Roman"/>
        </w:rPr>
        <w:t xml:space="preserve"> excessivo de álcool;</w:t>
      </w:r>
    </w:p>
    <w:p w14:paraId="3295282D" w14:textId="3C70866C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gramStart"/>
      <w:r w:rsidRPr="00A4421A">
        <w:rPr>
          <w:rFonts w:ascii="Times New Roman" w:hAnsi="Times New Roman" w:cs="Times New Roman"/>
        </w:rPr>
        <w:t>causas</w:t>
      </w:r>
      <w:proofErr w:type="gramEnd"/>
      <w:r w:rsidRPr="00A4421A">
        <w:rPr>
          <w:rFonts w:ascii="Times New Roman" w:hAnsi="Times New Roman" w:cs="Times New Roman"/>
        </w:rPr>
        <w:t xml:space="preserve"> secundárias associadas (inúmeras doenças podem provocar sintomas de enxaqueca, como hipertensão, aneurisma e infecções).</w:t>
      </w:r>
    </w:p>
    <w:p w14:paraId="0DE32214" w14:textId="77777777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45C318E" w14:textId="30AC074C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4421A">
        <w:rPr>
          <w:rFonts w:ascii="Times New Roman" w:hAnsi="Times New Roman" w:cs="Times New Roman"/>
          <w:b/>
          <w:bCs/>
        </w:rPr>
        <w:t>1</w:t>
      </w:r>
      <w:r w:rsidRPr="00A4421A">
        <w:rPr>
          <w:rFonts w:ascii="Times New Roman" w:hAnsi="Times New Roman" w:cs="Times New Roman"/>
          <w:b/>
          <w:bCs/>
        </w:rPr>
        <w:t>. Chá de gengibre</w:t>
      </w:r>
    </w:p>
    <w:p w14:paraId="213FEEC2" w14:textId="77777777" w:rsidR="00A4421A" w:rsidRPr="00A4421A" w:rsidRDefault="00A4421A" w:rsidP="00A4421A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A4421A">
        <w:rPr>
          <w:rFonts w:ascii="Times New Roman" w:hAnsi="Times New Roman" w:cs="Times New Roman"/>
        </w:rPr>
        <w:t>1 colher (de chá) de gengibre em pó;</w:t>
      </w:r>
    </w:p>
    <w:p w14:paraId="2CB73CB4" w14:textId="77777777" w:rsidR="00A4421A" w:rsidRPr="00A4421A" w:rsidRDefault="00A4421A" w:rsidP="00A4421A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A4421A">
        <w:rPr>
          <w:rFonts w:ascii="Times New Roman" w:hAnsi="Times New Roman" w:cs="Times New Roman"/>
        </w:rPr>
        <w:t>250 ml de água.</w:t>
      </w:r>
    </w:p>
    <w:p w14:paraId="0CA09006" w14:textId="77777777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4421A">
        <w:rPr>
          <w:rFonts w:ascii="Times New Roman" w:hAnsi="Times New Roman" w:cs="Times New Roman"/>
          <w:b/>
          <w:bCs/>
        </w:rPr>
        <w:t>Modo de preparo</w:t>
      </w:r>
    </w:p>
    <w:p w14:paraId="06C1E65D" w14:textId="77777777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421A">
        <w:rPr>
          <w:rFonts w:ascii="Times New Roman" w:hAnsi="Times New Roman" w:cs="Times New Roman"/>
        </w:rPr>
        <w:t>Colocar os ingredientes para ferver juntos numa panela. Depois, deixar amornar, mexer bem a mistura e beber até 3 vezes por dia.</w:t>
      </w:r>
    </w:p>
    <w:p w14:paraId="57AF2964" w14:textId="77777777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421A">
        <w:rPr>
          <w:rFonts w:ascii="Times New Roman" w:hAnsi="Times New Roman" w:cs="Times New Roman"/>
        </w:rPr>
        <w:t>O gengibre deve ser usado com supervisão médico nos casos de grávidas ou pessoas com diabetes, pressão alta ou que usam anticoagulantes.</w:t>
      </w:r>
    </w:p>
    <w:p w14:paraId="7A7C34DF" w14:textId="77777777" w:rsid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20D7ACF" w14:textId="56CEEDB5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A4421A">
        <w:rPr>
          <w:rFonts w:ascii="Times New Roman" w:hAnsi="Times New Roman" w:cs="Times New Roman"/>
          <w:b/>
          <w:bCs/>
        </w:rPr>
        <w:t>. Chá de coentro</w:t>
      </w:r>
    </w:p>
    <w:p w14:paraId="08DB529F" w14:textId="77777777" w:rsidR="00A4421A" w:rsidRPr="00A4421A" w:rsidRDefault="00A4421A" w:rsidP="00A4421A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A4421A">
        <w:rPr>
          <w:rFonts w:ascii="Times New Roman" w:hAnsi="Times New Roman" w:cs="Times New Roman"/>
        </w:rPr>
        <w:t>1 colher (de sopa) das sementes de </w:t>
      </w:r>
      <w:hyperlink r:id="rId6" w:history="1">
        <w:r w:rsidRPr="00A4421A">
          <w:rPr>
            <w:rStyle w:val="Hyperlink"/>
            <w:rFonts w:ascii="Times New Roman" w:hAnsi="Times New Roman" w:cs="Times New Roman"/>
          </w:rPr>
          <w:t>coentro</w:t>
        </w:r>
      </w:hyperlink>
      <w:r w:rsidRPr="00A4421A">
        <w:rPr>
          <w:rFonts w:ascii="Times New Roman" w:hAnsi="Times New Roman" w:cs="Times New Roman"/>
        </w:rPr>
        <w:t>;</w:t>
      </w:r>
    </w:p>
    <w:p w14:paraId="60FD5DF9" w14:textId="77777777" w:rsidR="00A4421A" w:rsidRPr="00A4421A" w:rsidRDefault="00A4421A" w:rsidP="00A4421A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A4421A">
        <w:rPr>
          <w:rFonts w:ascii="Times New Roman" w:hAnsi="Times New Roman" w:cs="Times New Roman"/>
        </w:rPr>
        <w:t xml:space="preserve">500 </w:t>
      </w:r>
      <w:proofErr w:type="spellStart"/>
      <w:r w:rsidRPr="00A4421A">
        <w:rPr>
          <w:rFonts w:ascii="Times New Roman" w:hAnsi="Times New Roman" w:cs="Times New Roman"/>
        </w:rPr>
        <w:t>mL</w:t>
      </w:r>
      <w:proofErr w:type="spellEnd"/>
      <w:r w:rsidRPr="00A4421A">
        <w:rPr>
          <w:rFonts w:ascii="Times New Roman" w:hAnsi="Times New Roman" w:cs="Times New Roman"/>
        </w:rPr>
        <w:t xml:space="preserve"> de água.</w:t>
      </w:r>
    </w:p>
    <w:p w14:paraId="730B0CD8" w14:textId="77777777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421A">
        <w:rPr>
          <w:rFonts w:ascii="Times New Roman" w:hAnsi="Times New Roman" w:cs="Times New Roman"/>
        </w:rPr>
        <w:t>Modo de preparo</w:t>
      </w:r>
    </w:p>
    <w:p w14:paraId="09F8B02F" w14:textId="77777777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421A">
        <w:rPr>
          <w:rFonts w:ascii="Times New Roman" w:hAnsi="Times New Roman" w:cs="Times New Roman"/>
        </w:rPr>
        <w:t>Colocar a água para ferver, e assim que levantar fervura, adicionar as sementes de coentro, deixando ferver por 2 minutos na água. Em seguida, desligar o fogo e deixar descansar por cerca de 10 minutos. Após esse tempo, coar, esperar amornar e beber o chá ao longo do dia.</w:t>
      </w:r>
    </w:p>
    <w:p w14:paraId="248BBC57" w14:textId="77777777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421A">
        <w:rPr>
          <w:rFonts w:ascii="Times New Roman" w:hAnsi="Times New Roman" w:cs="Times New Roman"/>
        </w:rPr>
        <w:t xml:space="preserve">Esse chá não deve ser usado por pessoas alérgicas ao coentro, </w:t>
      </w:r>
      <w:proofErr w:type="spellStart"/>
      <w:r w:rsidRPr="00A4421A">
        <w:rPr>
          <w:rFonts w:ascii="Times New Roman" w:hAnsi="Times New Roman" w:cs="Times New Roman"/>
        </w:rPr>
        <w:t>artemísia</w:t>
      </w:r>
      <w:proofErr w:type="spellEnd"/>
      <w:r w:rsidRPr="00A4421A">
        <w:rPr>
          <w:rFonts w:ascii="Times New Roman" w:hAnsi="Times New Roman" w:cs="Times New Roman"/>
        </w:rPr>
        <w:t xml:space="preserve">, anis, </w:t>
      </w:r>
      <w:proofErr w:type="spellStart"/>
      <w:r w:rsidRPr="00A4421A">
        <w:rPr>
          <w:rFonts w:ascii="Times New Roman" w:hAnsi="Times New Roman" w:cs="Times New Roman"/>
        </w:rPr>
        <w:t>alcaravia</w:t>
      </w:r>
      <w:proofErr w:type="spellEnd"/>
      <w:r w:rsidRPr="00A4421A">
        <w:rPr>
          <w:rFonts w:ascii="Times New Roman" w:hAnsi="Times New Roman" w:cs="Times New Roman"/>
        </w:rPr>
        <w:t>, erva-doce ou endro, além de ser contraindicado para mulheres grávidas ou em amamentação.</w:t>
      </w:r>
    </w:p>
    <w:p w14:paraId="1FC5111A" w14:textId="77777777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421A">
        <w:rPr>
          <w:rFonts w:ascii="Times New Roman" w:hAnsi="Times New Roman" w:cs="Times New Roman"/>
        </w:rPr>
        <w:t>O chá de coentro deve ser usado com cautela por pessoas diabéticas, pois pode causar diminuição do açúcar do sangue ou interferir nos remédios para diabetes, e causa </w:t>
      </w:r>
      <w:hyperlink r:id="rId7" w:history="1">
        <w:r w:rsidRPr="00A4421A">
          <w:rPr>
            <w:rStyle w:val="Hyperlink"/>
            <w:rFonts w:ascii="Times New Roman" w:hAnsi="Times New Roman" w:cs="Times New Roman"/>
          </w:rPr>
          <w:t>hipoglicemia</w:t>
        </w:r>
      </w:hyperlink>
      <w:r w:rsidRPr="00A4421A">
        <w:rPr>
          <w:rFonts w:ascii="Times New Roman" w:hAnsi="Times New Roman" w:cs="Times New Roman"/>
        </w:rPr>
        <w:t>.</w:t>
      </w:r>
    </w:p>
    <w:p w14:paraId="30DCA644" w14:textId="77777777" w:rsid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20E26E3" w14:textId="0173BE75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A4421A">
        <w:rPr>
          <w:rFonts w:ascii="Times New Roman" w:hAnsi="Times New Roman" w:cs="Times New Roman"/>
          <w:b/>
          <w:bCs/>
        </w:rPr>
        <w:t>. Chá de camomila</w:t>
      </w:r>
    </w:p>
    <w:p w14:paraId="5714323D" w14:textId="77777777" w:rsidR="00A4421A" w:rsidRPr="00A4421A" w:rsidRDefault="00A4421A" w:rsidP="00A4421A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A4421A">
        <w:rPr>
          <w:rFonts w:ascii="Times New Roman" w:hAnsi="Times New Roman" w:cs="Times New Roman"/>
        </w:rPr>
        <w:t>1 colher (chá) de flores de camomila frescas ou desidratadas;</w:t>
      </w:r>
    </w:p>
    <w:p w14:paraId="3CD83B68" w14:textId="77777777" w:rsidR="00A4421A" w:rsidRPr="00A4421A" w:rsidRDefault="00A4421A" w:rsidP="00A4421A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A4421A">
        <w:rPr>
          <w:rFonts w:ascii="Times New Roman" w:hAnsi="Times New Roman" w:cs="Times New Roman"/>
        </w:rPr>
        <w:t>1 xícara de água fervente.</w:t>
      </w:r>
    </w:p>
    <w:p w14:paraId="4E6BD82D" w14:textId="77777777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421A">
        <w:rPr>
          <w:rFonts w:ascii="Times New Roman" w:hAnsi="Times New Roman" w:cs="Times New Roman"/>
        </w:rPr>
        <w:t>Modo de preparo</w:t>
      </w:r>
    </w:p>
    <w:p w14:paraId="1A51168F" w14:textId="77777777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421A">
        <w:rPr>
          <w:rFonts w:ascii="Times New Roman" w:hAnsi="Times New Roman" w:cs="Times New Roman"/>
        </w:rPr>
        <w:t>Acrescentar as flores da camomila na xícara de água fervente, tampar e deixar em infusão por 5 a 10 minutos. Após, retirar as flores da água. Deixar amornar e beber a seguir. Pode beber o chá de 2 a 3 vezes ao dia ou assim que a dor de cabeça começar.</w:t>
      </w:r>
    </w:p>
    <w:p w14:paraId="33DB281E" w14:textId="77777777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421A">
        <w:rPr>
          <w:rFonts w:ascii="Times New Roman" w:hAnsi="Times New Roman" w:cs="Times New Roman"/>
        </w:rPr>
        <w:t>O chá de camomila (</w:t>
      </w:r>
      <w:proofErr w:type="spellStart"/>
      <w:r w:rsidRPr="00A4421A">
        <w:rPr>
          <w:rFonts w:ascii="Times New Roman" w:hAnsi="Times New Roman" w:cs="Times New Roman"/>
          <w:i/>
          <w:iCs/>
        </w:rPr>
        <w:t>Matricaria</w:t>
      </w:r>
      <w:proofErr w:type="spellEnd"/>
      <w:r w:rsidRPr="00A4421A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A4421A">
        <w:rPr>
          <w:rFonts w:ascii="Times New Roman" w:hAnsi="Times New Roman" w:cs="Times New Roman"/>
          <w:i/>
          <w:iCs/>
        </w:rPr>
        <w:t>recutita</w:t>
      </w:r>
      <w:proofErr w:type="spellEnd"/>
      <w:r w:rsidRPr="00A4421A">
        <w:rPr>
          <w:rFonts w:ascii="Times New Roman" w:hAnsi="Times New Roman" w:cs="Times New Roman"/>
        </w:rPr>
        <w:t>)é</w:t>
      </w:r>
      <w:proofErr w:type="gramEnd"/>
      <w:r w:rsidRPr="00A4421A">
        <w:rPr>
          <w:rFonts w:ascii="Times New Roman" w:hAnsi="Times New Roman" w:cs="Times New Roman"/>
        </w:rPr>
        <w:t xml:space="preserve"> seguro e pode ser ingerido até mesmo por mulheres grávidas e crianças. Entretanto, o chá de camomila-romana (</w:t>
      </w:r>
      <w:proofErr w:type="spellStart"/>
      <w:r w:rsidRPr="00A4421A">
        <w:rPr>
          <w:rFonts w:ascii="Times New Roman" w:hAnsi="Times New Roman" w:cs="Times New Roman"/>
          <w:i/>
          <w:iCs/>
        </w:rPr>
        <w:t>Chamaemelum</w:t>
      </w:r>
      <w:proofErr w:type="spellEnd"/>
      <w:r w:rsidRPr="00A4421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421A">
        <w:rPr>
          <w:rFonts w:ascii="Times New Roman" w:hAnsi="Times New Roman" w:cs="Times New Roman"/>
          <w:i/>
          <w:iCs/>
        </w:rPr>
        <w:t>nobile</w:t>
      </w:r>
      <w:proofErr w:type="spellEnd"/>
      <w:r w:rsidRPr="00A4421A">
        <w:rPr>
          <w:rFonts w:ascii="Times New Roman" w:hAnsi="Times New Roman" w:cs="Times New Roman"/>
        </w:rPr>
        <w:t>) deve ser evitado, pois ainda não existem estudos que comprovem a segurança do uso desse tipo da planta durante a gravidez e a amamentação.</w:t>
      </w:r>
    </w:p>
    <w:p w14:paraId="7548C099" w14:textId="77777777" w:rsidR="00A4421A" w:rsidRPr="00A4421A" w:rsidRDefault="00A4421A" w:rsidP="00A4421A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A4421A" w:rsidRPr="00A4421A" w:rsidSect="00A4421A">
      <w:pgSz w:w="11906" w:h="16838"/>
      <w:pgMar w:top="709" w:right="707" w:bottom="1134" w:left="709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402AE"/>
    <w:multiLevelType w:val="multilevel"/>
    <w:tmpl w:val="FED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A17A2"/>
    <w:multiLevelType w:val="multilevel"/>
    <w:tmpl w:val="CDBC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221633"/>
    <w:multiLevelType w:val="multilevel"/>
    <w:tmpl w:val="8CA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969B5"/>
    <w:multiLevelType w:val="multilevel"/>
    <w:tmpl w:val="43DA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388110">
    <w:abstractNumId w:val="3"/>
  </w:num>
  <w:num w:numId="2" w16cid:durableId="1751196421">
    <w:abstractNumId w:val="0"/>
  </w:num>
  <w:num w:numId="3" w16cid:durableId="2089303059">
    <w:abstractNumId w:val="2"/>
  </w:num>
  <w:num w:numId="4" w16cid:durableId="1907492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1A"/>
    <w:rsid w:val="00082B25"/>
    <w:rsid w:val="00462166"/>
    <w:rsid w:val="0046421B"/>
    <w:rsid w:val="004B3256"/>
    <w:rsid w:val="005711AF"/>
    <w:rsid w:val="00667BA0"/>
    <w:rsid w:val="00681056"/>
    <w:rsid w:val="006F7469"/>
    <w:rsid w:val="00762376"/>
    <w:rsid w:val="009302E7"/>
    <w:rsid w:val="00A4421A"/>
    <w:rsid w:val="00AD0D58"/>
    <w:rsid w:val="00C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4A4EA"/>
  <w15:chartTrackingRefBased/>
  <w15:docId w15:val="{1D979B31-C514-4608-8342-6109AA3D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4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4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4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4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4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4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4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4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4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4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4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4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42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42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42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42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42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42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4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4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4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42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42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42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4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42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42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4421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44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020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98033">
          <w:marLeft w:val="3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073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2405">
          <w:marLeft w:val="3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uasaude.com/sintomas-de-hipoglicemi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asaude.com/beneficios-do-coentro/" TargetMode="External"/><Relationship Id="rId5" Type="http://schemas.openxmlformats.org/officeDocument/2006/relationships/hyperlink" Target="https://www.oceandrop.com.br/blog/insoni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412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cp:lastPrinted>2024-08-28T18:44:00Z</cp:lastPrinted>
  <dcterms:created xsi:type="dcterms:W3CDTF">2024-08-28T18:34:00Z</dcterms:created>
  <dcterms:modified xsi:type="dcterms:W3CDTF">2024-08-28T18:44:00Z</dcterms:modified>
</cp:coreProperties>
</file>