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A cis-regulatory annotation of the feline renal cortex and the tissue-specificity shift in chronic kidney disease</w:t>
      </w:r>
    </w:p>
    <w:p>
      <w:pPr>
        <w:spacing w:after="400"/>
        <w:jc w:val="center"/>
      </w:pPr>
      <w:r>
        <w:rPr>
          <w:color w:val="8B0000"/>
          <w:sz w:val="22"/>
          <w:szCs w:val="22"/>
        </w:rPr>
        <w:t xml:space="preserve">[Authors and affiliations]</w:t>
      </w:r>
    </w:p>
    <w:p>
      <w:pPr>
        <w:pStyle w:val="Heading1"/>
        <w:spacing w:after="160" w:before="320"/>
      </w:pPr>
      <w:r>
        <w:rPr>
          <w:b/>
          <w:bCs/>
          <w:sz w:val="26"/>
          <w:szCs w:val="26"/>
        </w:rPr>
        <w:t xml:space="preserve">Abstract</w:t>
      </w:r>
    </w:p>
    <w:p>
      <w:pPr>
        <w:spacing w:after="160" w:line="320"/>
        <w:jc w:val="both"/>
      </w:pPr>
      <w:r>
        <w:rPr>
          <w:b/>
          <w:bCs/>
          <w:sz w:val="22"/>
          <w:szCs w:val="22"/>
        </w:rPr>
        <w:t xml:space="preserve">Background. </w:t>
      </w:r>
      <w:r>
        <w:rPr>
          <w:sz w:val="22"/>
          <w:szCs w:val="22"/>
        </w:rPr>
        <w:t xml:space="preserve">Chronic kidney disease is the leading cause of mortality in aged cats, and bulk transcriptomic studies of feline renal tissue have described extensive metabolic reprogramming. A genome-wide map of regulatory regions across seven feline tissues has been available since 2021, produced to interpret non-coding sequence variants, but has not been applied to disease expression. Bulk tissue confounds change in cell proportion with change in transcription, and previous analyses of feline renal transcriptomes have raised this concern without measuring it.</w:t>
      </w:r>
    </w:p>
    <w:p>
      <w:pPr>
        <w:spacing w:after="160" w:line="320"/>
        <w:jc w:val="both"/>
      </w:pPr>
      <w:r>
        <w:rPr>
          <w:b/>
          <w:bCs/>
          <w:sz w:val="22"/>
          <w:szCs w:val="22"/>
        </w:rPr>
        <w:t xml:space="preserve">Results. </w:t>
      </w:r>
      <w:r>
        <w:rPr>
          <w:sz w:val="22"/>
          <w:szCs w:val="22"/>
        </w:rPr>
        <w:t xml:space="preserve">We annotated promoter and enhancer architecture for 34,747 genes of the feline renal cortex by combining replicated ChIP-seq peak sets for H3K4me3, H3K27ac and CTCF with the RefSeq annotation of the F.catus_Fca126_mat1.0 assembly, and joined this annotation to published expression matrices for 21 cortical and 18 medullary samples. Promoter H3K4me3 was enriched 8.59-fold over permuted expectation, whereas naive harmonisation of the two datasets by chromosome name retained 99.96% of intervals while yielding 1.55-fold, close to chance. Differential expression reproduced the compartment asymmetry of the source study. Coexpression modules were not reproducible under subsampling of animals except for a single axis correlating with proximal tubule marker expression at rho = 0.891 and accounting for 78% of the variance of two thirds of the repressed programme. Motif enrichment against a background matched for expression and regulatory activity was close to null. Scoring each cortical regulatory element by the number of tissues in which it is active showed that the fraction of a gene's enhancers confined to the kidney was associated with repression (odds ratio 2.27, 95% CI 1.86-2.77) and inversely with induction (0.33, 0.25-0.43), and these estimates were unchanged after adjustment for enhancer number and signal intensity.</w:t>
      </w:r>
    </w:p>
    <w:p>
      <w:pPr>
        <w:spacing w:after="160" w:line="320"/>
        <w:jc w:val="both"/>
      </w:pPr>
      <w:r>
        <w:rPr>
          <w:b/>
          <w:bCs/>
          <w:sz w:val="22"/>
          <w:szCs w:val="22"/>
        </w:rPr>
        <w:t xml:space="preserve">Conclusions. </w:t>
      </w:r>
      <w:r>
        <w:rPr>
          <w:sz w:val="22"/>
          <w:szCs w:val="22"/>
        </w:rPr>
        <w:t xml:space="preserve">The cortical transcriptome of feline chronic kidney disease reflects a shift from kidney-specific to ubiquitous regulatory programmes, measured in chromatin from healthy animals and independent of the expression data that defined the gene classes. This shift is consistent with replacement of tubular epithelium by infiltrating and stromal cells, and bulk tissue cannot separate that interpretation from transcriptional change within surviving cells. The annotation is provided as a resource, together with a practical warning about assembly discordance between feline datasets that produces no error and no warning.</w:t>
      </w:r>
    </w:p>
    <w:p>
      <w:pPr>
        <w:spacing w:after="320"/>
      </w:pPr>
      <w:r>
        <w:rPr>
          <w:b/>
          <w:bCs/>
          <w:sz w:val="22"/>
          <w:szCs w:val="22"/>
        </w:rPr>
        <w:t xml:space="preserve">Keywords: </w:t>
      </w:r>
      <w:r>
        <w:rPr>
          <w:sz w:val="22"/>
          <w:szCs w:val="22"/>
        </w:rPr>
        <w:t xml:space="preserve">feline chronic kidney disease; cis-regulatory elements; ChIP-seq; tissue specificity; cell composition; renal cortex; Felis catus</w:t>
      </w:r>
    </w:p>
    <w:p>
      <w:r>
        <w:br w:type="page"/>
      </w:r>
    </w:p>
    <w:p>
      <w:pPr>
        <w:pStyle w:val="Heading1"/>
        <w:spacing w:after="160" w:before="320"/>
      </w:pPr>
      <w:r>
        <w:rPr>
          <w:b/>
          <w:bCs/>
          <w:sz w:val="26"/>
          <w:szCs w:val="26"/>
        </w:rPr>
        <w:t xml:space="preserve">1. Background</w:t>
      </w:r>
    </w:p>
    <w:p>
      <w:pPr>
        <w:spacing w:after="160" w:line="320"/>
        <w:jc w:val="both"/>
      </w:pPr>
      <w:r>
        <w:rPr>
          <w:sz w:val="22"/>
          <w:szCs w:val="22"/>
        </w:rPr>
        <w:t xml:space="preserve">Chronic kidney disease is the leading cause of mortality in aged domestic cats, and its histological substrate is well described: progressive loss of tubular epithelium, interstitial fibrosis and mononuclear infiltration. The molecular description has advanced more recently. A multi-omics study of naturally occurring feline chronic kidney disease integrated serum metabolomics with cortical and medullary transcriptomes and proteomes, reporting deranged bioenergetics with reduced fatty acid transport and oxidation, altered glucose and glutamine metabolism, reduced redox enzyme expression and upregulated hypoxia signalling [REF Li]. A subsequent secondary analysis of the cortical data examined iron handling, lipid oxygenation and hypoxia response as a panel and found that transcripts assigned to those categories moved in opposing directions rather than as a coordinated pathway, concluding that the data did not support inference of ferroptotic cell death, pathway activation or cell-specific mechanism, and noting that shifts in cellular composition might contribute materially to the observed associations [REF VetSci].</w:t>
      </w:r>
    </w:p>
    <w:p>
      <w:pPr>
        <w:spacing w:after="160" w:line="320"/>
        <w:jc w:val="both"/>
      </w:pPr>
      <w:r>
        <w:rPr>
          <w:sz w:val="22"/>
          <w:szCs w:val="22"/>
        </w:rPr>
        <w:t xml:space="preserve">That concern is general to bulk tissue. When a disease process replaces one cell type with others, every gene characteristic of the lost population falls and every gene characteristic of the arriving populations rises, without any change in transcription within a surviving cell. Gene sets defined by functional annotation cut across cell types, so in a tissue whose cellular proportions are changing they will contain genes moving in opposite directions for reasons unrelated to pathway regulation. Distinguishing the two requires either cell-resolved measurement or an external measure of composition, neither of which is available for existing feline renal datasets.</w:t>
      </w:r>
    </w:p>
    <w:p>
      <w:pPr>
        <w:spacing w:after="160" w:line="320"/>
        <w:jc w:val="both"/>
      </w:pPr>
      <w:r>
        <w:rPr>
          <w:sz w:val="22"/>
          <w:szCs w:val="22"/>
        </w:rPr>
        <w:t xml:space="preserve">A resource exists that has not been brought to bear on this problem. Chromatin immunoprecipitation profiling of H3K4me3, H3K27ac, H3K27me3 and CTCF has been deposited for seven tissues of the domestic cat, including renal cortex, with two biological replicates per tissue [REF ChIPcat]. That atlas was generated to support interpretation of non-coding sequence variants, by determining whether a variant falls within a promoter, an enhancer or an insulator, and it has not been described in a publication of its own. Its only previous reuse of which we are aware applied it to epigenetic signatures of retroviral integrants [REF LaMere]. Application to disease expression has not been attempted, and the resource offers something the expression data cannot: a measurement of regulatory architecture made in healthy animals, entirely independent of the disease transcriptome.</w:t>
      </w:r>
    </w:p>
    <w:p>
      <w:pPr>
        <w:spacing w:after="160" w:line="320"/>
        <w:jc w:val="both"/>
      </w:pPr>
      <w:r>
        <w:rPr>
          <w:sz w:val="22"/>
          <w:szCs w:val="22"/>
        </w:rPr>
        <w:t xml:space="preserve">We had three objectives. The first was to annotate the cis-regulatory architecture of genes expressed in the feline renal cortex, assigning each gene to a promoter class and to a set of distal enhancers delimited by CTCF occupancy. The second was to test whether the transcriptomic signature of chronic kidney disease has coregulatory structure recoverable from these data, using coexpression modules with explicit stability assessment and motif enrichment against a matched background. The third was to characterise the tissue breadth of the regulatory elements associated with genes that change, asking whether repressed and induced genes differ in the extent to which their regulation is confined to the kidney. This study was exploratory and was not conducted under a prespecified analysis plan; decisions made in response to intermediate results are enumerated in the Methods.</w:t>
      </w:r>
    </w:p>
    <w:p>
      <w:r>
        <w:br w:type="page"/>
      </w:r>
    </w:p>
    <w:p>
      <w:pPr>
        <w:pStyle w:val="Heading1"/>
        <w:spacing w:after="160" w:before="320"/>
      </w:pPr>
      <w:r>
        <w:rPr>
          <w:b/>
          <w:bCs/>
          <w:sz w:val="26"/>
          <w:szCs w:val="26"/>
        </w:rPr>
        <w:t xml:space="preserve">2. Methods</w:t>
      </w:r>
    </w:p>
    <w:p>
      <w:pPr>
        <w:pStyle w:val="Heading2"/>
        <w:spacing w:after="120" w:before="240"/>
      </w:pPr>
      <w:r>
        <w:rPr>
          <w:b/>
          <w:bCs/>
          <w:sz w:val="23"/>
          <w:szCs w:val="23"/>
        </w:rPr>
        <w:t xml:space="preserve">2.1 Data sources</w:t>
      </w:r>
    </w:p>
    <w:p>
      <w:pPr>
        <w:spacing w:after="160" w:line="320"/>
        <w:jc w:val="both"/>
      </w:pPr>
      <w:r>
        <w:rPr>
          <w:sz w:val="22"/>
          <w:szCs w:val="22"/>
        </w:rPr>
        <w:t xml:space="preserve">Gene expression data were obtained from the multi-omics study of naturally occurring feline CKD deposited under GEO accession GSE303653 and published by Li and colleagues (doi:10.1038/s42003-025-09164-8). Rather than reprocessing the raw sequencing data, we used the normalised gene-level expression matrices distributed as Supplementary Data 3 (renal cortex) and Supplementary Data 4 (renal medulla) of that publication. In the source study, total RNA was extracted from renal cortex and medulla of cats classified by IRIS stage, libraries were prepared with an Illumina stranded mRNA protocol and sequenced on a NextSeq 2000 platform to approximately 100 million reads per sample, reads were aligned to Felis_catus_9.0 with RNAstar v2.5.3 in two-pass mode, per-gene counts were generated with htseq-count v2.16.2, counts were converted to counts per million with edgeR, genes with fewer than 2 counts per million in at least 5 samples were discarded, and the remaining values were normalised by the trimmed mean of M-values method. The deposited matrices are therefore log2-transformed, TMM-normalised counts per million indexed by gene symbol, not raw counts. The cortex matrix contained 15,149 genes across 21 samples (6 control, 8 CKD 1/2, 7 CKD 3/4) and the medulla matrix 15,267 genes across 18 samples (6 control, 7 CKD 1/2, 5 CKD 3/4). Sample identifiers, disease group, sex, age and breed are embedded in the header rows of each sheet. Group means computed from the age row reproduce the values reported in the demographic table of the source publication to one decimal place in every group and compartment, confirming that the metadata rows correspond to the published cohort. The deposited cortical matrix contains 21 of the 22 cortical samples present in the GEO series; the remaining sample was excluded by the source authors. Cohort characteristics are given in Table 1.</w:t>
      </w:r>
    </w:p>
    <w:p>
      <w:pPr>
        <w:spacing w:after="160" w:line="320"/>
        <w:jc w:val="both"/>
      </w:pPr>
      <w:r>
        <w:rPr>
          <w:sz w:val="22"/>
          <w:szCs w:val="22"/>
        </w:rPr>
        <w:t xml:space="preserve">Chromatin data were obtained from GEO accession GSE182952 (BioProject PRJNA758414), which reports genome-wide mapping of regulatory regions in seven tissues of adult male domestic shorthair cats with two biological replicates per tissue. The series is deposited without an associated publication, so the processing details below are taken from the sample metadata of the deposit rather than from a peer-reviewed methods section. Sample metadata identify the renal samples as kidney cortex. We used the final replicated peak sets distributed as series-level supplementary files for CTCF, H3K27ac and H3K4me3 in all seven tissues (heart, kidney, liver, lung, small intestine, testis, thyroid). In the source study, chromatin immunoprecipitation followed the ENCODE3 pipeline v1 specification for histone modifications, reads were mapped with Bowtie2 v2.4.2, relaxed peaks were called with MACS2 v2.2.5, and peaks from the pooled replicate set were retained in the final replicated set when they overlapped by at least half their length with peaks from both biological replicates. Peak files are not filtered against a blacklist because none exists for *Felis catus*.</w:t>
      </w:r>
    </w:p>
    <w:p>
      <w:pPr>
        <w:spacing w:after="160" w:line="320"/>
        <w:jc w:val="both"/>
      </w:pPr>
      <w:r>
        <w:rPr>
          <w:sz w:val="22"/>
          <w:szCs w:val="22"/>
        </w:rPr>
        <w:t xml:space="preserve">Genome annotation and sequence were obtained from the NCBI RefSeq assembly GCF_018350175.1 (F.catus_Fca126_mat1.0), NCBI *Felis catus* Annotation Release 105, comprising 39,307 genes of which 20,453 are protein-coding. The corresponding assembly report and genomic FASTA were downloaded from the same accession.</w:t>
      </w:r>
    </w:p>
    <w:p>
      <w:pPr>
        <w:pStyle w:val="Heading2"/>
        <w:spacing w:after="120" w:before="240"/>
      </w:pPr>
      <w:r>
        <w:rPr>
          <w:b/>
          <w:bCs/>
          <w:sz w:val="23"/>
          <w:szCs w:val="23"/>
        </w:rPr>
        <w:t xml:space="preserve">2.2 Assembly discordance and coordinate harmonisation</w:t>
      </w:r>
    </w:p>
    <w:p>
      <w:pPr>
        <w:spacing w:after="160" w:line="320"/>
        <w:jc w:val="both"/>
      </w:pPr>
      <w:r>
        <w:rPr>
          <w:sz w:val="22"/>
          <w:szCs w:val="22"/>
        </w:rPr>
        <w:t xml:space="preserve">The expression and chromatin datasets are aligned to different assemblies. The source expression study used Felis_catus_9.0, whereas the chromatin study declares GCA_018350175.1 (F.catus_Fca126_mat1.0, provisionally felCat10) as its genome build. Both assemblies use the same chromosome names (A1, A2, B1 and so on), so peak coordinates translate onto a Felis_catus_9.0 annotation without any name mismatch and without warning: in our initial attempt, 99.96% of peaks mapped successfully. That harmonisation is nevertheless incorrect, and we detected it only through a permutation control (Section 2.4), which showed promoter H3K4me3 enrichment of 1.55-fold, close to the value expected by chance. We report this because the same two datasets are likely to be combined by other groups and the failure is silent.</w:t>
      </w:r>
    </w:p>
    <w:p>
      <w:pPr>
        <w:spacing w:after="160" w:line="320"/>
        <w:jc w:val="both"/>
      </w:pPr>
      <w:r>
        <w:rPr>
          <w:sz w:val="22"/>
          <w:szCs w:val="22"/>
        </w:rPr>
        <w:t xml:space="preserve">Because the expression matrices are indexed by gene symbol rather than by coordinate, the assembly used for expression quantification does not constrain the regulatory annotation. We therefore annotated all genomic features on F.catus_Fca126_mat1.0, the assembly of the chromatin data, and joined the two layers by gene symbol. Peak chromosome names were translated to RefSeq accessions in two steps: the `chr` prefix was removed, and the resulting name was matched against the Sequence-Name, Assigned-Molecule and UCSC-style-name columns of the assembly report. Peaks on sequences absent from the chromosome-level annotation were discarded. narrowPeak intervals are zero-based and half-open, and were converted to one-based inclusive coordinates by adding one to the start. Because no blacklist exists for this species, we additionally discarded peaks in the upper 0.5% of the width distribution of each mark, where mapping artefacts concentrate. Retention after all filters was 99.46% for H3K4me3, 99.48% for H3K27ac and 99.46% for CTCF. Gene symbols in the expression matrices matched the RefSeq annotation for 99.87% of cortex genes and 99.88% of medulla genes.</w:t>
      </w:r>
    </w:p>
    <w:p>
      <w:pPr>
        <w:pStyle w:val="Heading2"/>
        <w:spacing w:after="120" w:before="240"/>
      </w:pPr>
      <w:r>
        <w:rPr>
          <w:b/>
          <w:bCs/>
          <w:sz w:val="23"/>
          <w:szCs w:val="23"/>
        </w:rPr>
        <w:t xml:space="preserve">2.3 Regulatory annotation</w:t>
      </w:r>
    </w:p>
    <w:p>
      <w:pPr>
        <w:spacing w:after="160" w:line="320"/>
        <w:jc w:val="both"/>
      </w:pPr>
      <w:r>
        <w:rPr>
          <w:sz w:val="22"/>
          <w:szCs w:val="22"/>
        </w:rPr>
        <w:t xml:space="preserve">Promoters were defined as the interval from 2,000 bp upstream to 500 bp downstream of the annotated transcription start site, oriented by strand. Distal regulatory space was delimited by CTCF occupancy rather than by a fixed window: for each gene, the domain extended from the midpoint of the nearest CTCF peak upstream of the transcription start site to the midpoint of the nearest CTCF peak downstream, capped at 250 kb on each side to avoid unbounded domains in CTCF-poor regions. This follows the approach used by the FAANG consortium for domain prediction in domestic animal genomes. Resulting domains had a median width of 39.4 kb (interquartile range 12.8–102.3 kb; mean 79.2 kb), with a minority of genes reaching the 250 kb cap.</w:t>
      </w:r>
    </w:p>
    <w:p>
      <w:pPr>
        <w:spacing w:after="160" w:line="320"/>
        <w:jc w:val="both"/>
      </w:pPr>
      <w:r>
        <w:rPr>
          <w:sz w:val="22"/>
          <w:szCs w:val="22"/>
        </w:rPr>
        <w:t xml:space="preserve">Each gene was assigned to one of four mutually exclusive classes in a fixed hierarchy: active promoter when both H3K4me3 and H3K27ac peaks overlapped the promoter window; primed promoter when H3K4me3 overlapped the promoter without H3K27ac; distal enhancer only when an H3K27ac peak fell within the CTCF-delimited domain outside any promoter window; and no active mark otherwise. Peak counts per mark within promoter and domain were retained as separate columns so that classes can be redefined without reprocessing.</w:t>
      </w:r>
    </w:p>
    <w:p>
      <w:pPr>
        <w:pStyle w:val="Heading2"/>
        <w:spacing w:after="120" w:before="240"/>
      </w:pPr>
      <w:r>
        <w:rPr>
          <w:b/>
          <w:bCs/>
          <w:sz w:val="23"/>
          <w:szCs w:val="23"/>
        </w:rPr>
        <w:t xml:space="preserve">2.4 Validation of the annotation</w:t>
      </w:r>
    </w:p>
    <w:p>
      <w:pPr>
        <w:spacing w:after="160" w:line="320"/>
        <w:jc w:val="both"/>
      </w:pPr>
      <w:r>
        <w:rPr>
          <w:sz w:val="22"/>
          <w:szCs w:val="22"/>
        </w:rPr>
        <w:t xml:space="preserve">Because coordinate discordance between datasets is silent, we validated the annotation by permutation before any downstream analysis. For each mark, peaks were shuffled within chromosome, preserving peak number and width distribution, and the number of genes with at least one promoter-overlapping peak was recomputed; 100 permutations were used. Observed values were 17,419 genes for H3K4me3 (49.2% of annotated genes; 8.59-fold over the permuted mean), 17,256 for H3K27ac (3.92-fold) and 14,358 for CTCF (5.09-fold). The analysis pipeline aborts if H3K4me3 promoter enrichment falls below fivefold. The lower observed fold for H3K4me3 relative to values typical of human ENCODE-grade data reflects dilution by the large fraction of predicted and non-coding genes in the RefSeq annotation with imprecisely defined transcription start sites.</w:t>
      </w:r>
    </w:p>
    <w:p>
      <w:pPr>
        <w:pStyle w:val="Heading2"/>
        <w:spacing w:after="120" w:before="240"/>
      </w:pPr>
      <w:r>
        <w:rPr>
          <w:b/>
          <w:bCs/>
          <w:sz w:val="23"/>
          <w:szCs w:val="23"/>
        </w:rPr>
        <w:t xml:space="preserve">2.5 Differential expression</w:t>
      </w:r>
    </w:p>
    <w:p>
      <w:pPr>
        <w:spacing w:after="160" w:line="320"/>
        <w:jc w:val="both"/>
      </w:pPr>
      <w:r>
        <w:rPr>
          <w:sz w:val="22"/>
          <w:szCs w:val="22"/>
        </w:rPr>
        <w:t xml:space="preserve">Because the deposited matrices are log2 counts per million rather than integer counts, negative-binomial frameworks are not applicable. Differential expression was assessed with limma, fitting a linear model per gene and applying empirical Bayes moderation with an intensity-dependent trend and robust estimation of the hyperparameters. The design included disease group without intercept and sex as a covariate; sex was retained because the medulla set is unbalanced (10 female, 8 male) even though the source study reported no sex effect. Age was not included in the primary model, for comparability with the source study and because it is balanced across disease groups (Kruskal-Wallis P = 0.87 in the cortex and 0.86 in the medulla), but its influence was assessed by refitting each contrast with age as an additional covariate. In the cortex the two models agree closely, sharing 4,950 of the genes called by either at a false discovery rate below 0.10 (Jaccard index 0.94) with a Spearman correlation of 0.999 between fold changes. In the medulla the effect estimates are equally stable (correlation 0.998) but the age-adjusted model detects 3,578 genes against 1,908, retaining all genes called by the unadjusted model. Age therefore accounts for an appreciable share of residual variance in the medulla without altering the direction or magnitude of disease effects, and medullary counts should be read as conservative. Three contrasts were evaluated in each compartment: CKD 1/2 versus control, CKD 3/4 versus control, and CKD 3/4 versus CKD 1/2. Following the threshold used in the source study, genes were called differentially expressed at a Benjamini–Hochberg false discovery rate below 0.10.</w:t>
      </w:r>
    </w:p>
    <w:p>
      <w:pPr>
        <w:spacing w:after="160" w:line="320"/>
        <w:jc w:val="both"/>
      </w:pPr>
      <w:r>
        <w:rPr>
          <w:sz w:val="22"/>
          <w:szCs w:val="22"/>
        </w:rPr>
        <w:t xml:space="preserve">At that threshold the cortex yielded 3 genes for the early contrast, 5,087 for the late contrast and none between stages; the medulla yielded 1,908, 2,821 and 8 respectively. These counts are concordant with the source study, which reported 6 and 4,616 for the cortical contrasts and approximately 2,000 and 2,484 for the medullary contrasts using edgeR with a quasi-likelihood negative binomial model. The between-stage contrast was near-empty in both compartments and was not carried forward; this decision was made after inspecting the result and is reported as such.</w:t>
      </w:r>
    </w:p>
    <w:p>
      <w:pPr>
        <w:pStyle w:val="Heading2"/>
        <w:spacing w:after="120" w:before="240"/>
      </w:pPr>
      <w:r>
        <w:rPr>
          <w:b/>
          <w:bCs/>
          <w:sz w:val="23"/>
          <w:szCs w:val="23"/>
        </w:rPr>
        <w:t xml:space="preserve">2.6 Coexpression module detection and stability</w:t>
      </w:r>
    </w:p>
    <w:p>
      <w:pPr>
        <w:spacing w:after="160" w:line="320"/>
        <w:jc w:val="both"/>
      </w:pPr>
      <w:r>
        <w:rPr>
          <w:sz w:val="22"/>
          <w:szCs w:val="22"/>
        </w:rPr>
        <w:t xml:space="preserve">Coexpression structure was sought separately among induced and repressed genes, because correlation between a repressed and an induced gene is negative for reasons of direction rather than coregulation. Gene–gene distance was defined as one minus the Spearman correlation across samples of the relevant compartment, hierarchical clustering used average linkage, and modules were cut with the dynamic tree cut algorithm (deepSplit 2, minimum module size 30 genes).</w:t>
      </w:r>
    </w:p>
    <w:p>
      <w:pPr>
        <w:spacing w:after="160" w:line="320"/>
        <w:jc w:val="both"/>
      </w:pPr>
      <w:r>
        <w:rPr>
          <w:sz w:val="22"/>
          <w:szCs w:val="22"/>
        </w:rPr>
        <w:t xml:space="preserve">Module reproducibility was assessed by subsampling animals rather than genes. In each of 200 iterations, 80% of samples were drawn without replacement, the clustering was recomputed, and each reference module was scored by its maximum Jaccard index against any module of the resampled solution. Modules with a mean Jaccard index below 0.6 were discarded. Module eigengenes were defined as the first principal component of the scaled expression of member genes, with sign fixed so that the eigengene increases when member genes increase, and their association with disease group was tested by Kruskal–Wallis with Benjamini–Hochberg correction.</w:t>
      </w:r>
    </w:p>
    <w:p>
      <w:pPr>
        <w:spacing w:after="160" w:line="320"/>
        <w:jc w:val="both"/>
      </w:pPr>
      <w:r>
        <w:rPr>
          <w:sz w:val="22"/>
          <w:szCs w:val="22"/>
        </w:rPr>
        <w:t xml:space="preserve">In the cortex, using genes with a false discovery rate below 0.05 and absolute log2 fold change above 1 (1,798 genes: 1,221 induced, 577 repressed), 13 modules were detected and 2 were retained: a 396-gene repressed module (mean Jaccard 0.731; first component explaining 78.4% of variance) and a 78-gene repressed module (0.631; 60.4%). No induced module reached the threshold. In the medulla, using the 1,908 genes of the early contrast, 21 modules were detected and none was retained.</w:t>
      </w:r>
    </w:p>
    <w:p>
      <w:pPr>
        <w:spacing w:after="160" w:line="320"/>
        <w:jc w:val="both"/>
      </w:pPr>
      <w:r>
        <w:rPr>
          <w:sz w:val="22"/>
          <w:szCs w:val="22"/>
        </w:rPr>
        <w:t xml:space="preserve">We tested whether the asymmetry between directions was explained by measurement precision. Repressed genes were more abundant than induced genes (median average expression 4.61 versus 3.00; Wilcoxon P &lt; 10⁻¹⁵), but module stability was uncorrelated with module-level abundance (Spearman rho = −0.06, P = 0.85), and a low-abundance repressed module was stable while a high-abundance induced module was not.</w:t>
      </w:r>
    </w:p>
    <w:p>
      <w:pPr>
        <w:pStyle w:val="Heading2"/>
        <w:spacing w:after="120" w:before="240"/>
      </w:pPr>
      <w:r>
        <w:rPr>
          <w:b/>
          <w:bCs/>
          <w:sz w:val="23"/>
          <w:szCs w:val="23"/>
        </w:rPr>
        <w:t xml:space="preserve">2.7 Cell-composition assessment</w:t>
      </w:r>
    </w:p>
    <w:p>
      <w:pPr>
        <w:spacing w:after="160" w:line="320"/>
        <w:jc w:val="both"/>
      </w:pPr>
      <w:r>
        <w:rPr>
          <w:sz w:val="22"/>
          <w:szCs w:val="22"/>
        </w:rPr>
        <w:t xml:space="preserve">Composition was estimated with compartment-appropriate marker sets scored as the mean per-gene z-score across samples. For the cortex, the epithelial set comprised proximal tubule markers (LRP2, CUBN, SLC34A1, SLC5A2, SLC5A12, MIOX, GGT1, SLC22A6, SLC22A8, SLC3A1, SLC7A9, HNF4A). For the medulla, it comprised thick ascending limb, collecting duct, intercalated cell and thin limb markers (UMOD, SLC12A1, CLDN16, CLDN10, KCNJ1, ESRRB, AQP2, AQP3, SCNN1G, SCNN1B, GATA3, ELF5, ATP6V1B1, ATP6V0D2, SLC4A1, FOXI1, AQP1). Immune (PTPRC, CD68, CSF1R, ITGAM, AIF1, LYZ, C1QA, C1QB, TYROBP, FCER1G) and fibroblast (COL1A1, COL1A2, COL3A1, ACTA2, PDGFRB, FN1, LUM, DCN) sets were common to both compartments. Marker recovery is reported in the supplement.</w:t>
      </w:r>
    </w:p>
    <w:p>
      <w:pPr>
        <w:spacing w:after="160" w:line="320"/>
        <w:jc w:val="both"/>
      </w:pPr>
      <w:r>
        <w:rPr>
          <w:sz w:val="22"/>
          <w:szCs w:val="22"/>
        </w:rPr>
        <w:t xml:space="preserve">Because the cohort spans 2 to 20 years of age, we also tested whether composition scores vary with age. None did, either marginally (Spearman rho = 0.04 for the tubular score, -0.19 for immune and -0.08 for fibroblast) or conditional on disease group (P = 0.29, 0.56 and 0.99). With 21 animals these tests have limited power, but the point estimates are close to zero.</w:t>
      </w:r>
    </w:p>
    <w:p>
      <w:pPr>
        <w:spacing w:after="160" w:line="320"/>
        <w:jc w:val="both"/>
      </w:pPr>
      <w:r>
        <w:rPr>
          <w:sz w:val="22"/>
          <w:szCs w:val="22"/>
        </w:rPr>
        <w:t xml:space="preserve">The eigengene of the larger stable cortical module correlated with the proximal tubule score at rho = 0.891 (P = 2.3 × 10⁻⁶), with the immune score at −0.809 and with the fibroblast score at −0.869. Disease group explained 29.0% of the variance in the cortical tubule score and 18.5% of the variance in the medullary epithelial score (P = 0.215), so composition and stage are not collinear at the level of animals.</w:t>
      </w:r>
    </w:p>
    <w:p>
      <w:pPr>
        <w:spacing w:after="160" w:line="320"/>
        <w:jc w:val="both"/>
      </w:pPr>
      <w:r>
        <w:rPr>
          <w:sz w:val="22"/>
          <w:szCs w:val="22"/>
        </w:rPr>
        <w:t xml:space="preserve">We considered adjusting differential expression for the marker-derived composition score and rejected the approach. The score is computed from the same expression matrix as the outcome and correlates with the dominant module eigengene at 0.891; including it as a covariate removes the principal axis of disease-related variation rather than a confounder, and the resulting loss of 97.5% of differentially expressed genes is an arithmetic consequence of that endogeneity rather than evidence about composition. No composition-adjusted differential expression is reported.</w:t>
      </w:r>
    </w:p>
    <w:p>
      <w:pPr>
        <w:pStyle w:val="Heading2"/>
        <w:spacing w:after="120" w:before="240"/>
      </w:pPr>
      <w:r>
        <w:rPr>
          <w:b/>
          <w:bCs/>
          <w:sz w:val="23"/>
          <w:szCs w:val="23"/>
        </w:rPr>
        <w:t xml:space="preserve">2.8 Motif enrichment</w:t>
      </w:r>
    </w:p>
    <w:p>
      <w:pPr>
        <w:spacing w:after="160" w:line="320"/>
        <w:jc w:val="both"/>
      </w:pPr>
      <w:r>
        <w:rPr>
          <w:sz w:val="22"/>
          <w:szCs w:val="22"/>
        </w:rPr>
        <w:t xml:space="preserve">Position weight matrices were obtained from the JASPAR2020 CORE vertebrate collection via TFBSTools and restricted to matrices whose name corresponded to at least one gene present in the expression matrix of the compartment under analysis, leaving 401 of 633 matrices. Regulatory regions were defined as 300 bp windows centred on the peak summit, taken from the tenth column of the narrowPeak files; fixing the window width prevents differences in peak width between marks from being read as differences in motif content. Promoter foreground regions were H3K4me3 summits within the promoter window of genes in the query set; enhancer foreground regions were H3K27ac summits within the CTCF-delimited domain of those genes and outside any promoter window. Background regions were the corresponding regions of expressed protein-coding genes not differentially expressed in the same contrast, which controls simultaneously for base composition, for regulatory activity and for expression in the tissue. Sequences containing ambiguous bases were removed, sequences were assigned unique coordinate-derived names, foreground was capped at 1,500 regions and background at three times the foreground or 4,500 regions, whichever was smaller.</w:t>
      </w:r>
    </w:p>
    <w:p>
      <w:pPr>
        <w:spacing w:after="160" w:line="320"/>
        <w:jc w:val="both"/>
      </w:pPr>
      <w:r>
        <w:rPr>
          <w:sz w:val="22"/>
          <w:szCs w:val="22"/>
        </w:rPr>
        <w:t xml:space="preserve">Enrichment was computed with monaLisa v1.18.0 using binned motif enrichment with the background bin as reference, Fisher testing and Benjamini–Hochberg correction within each analysis. GC bins were extended to span the full range from 0 to 1, because the default upper bound of 0.8 excludes CpG-island promoters; with the default breaks, 98 of 1,929 cortical repressed promoter regions fell outside the binned range and were silently discarded. Each analysis was repeated after removing immune and fibroblast marker genes from the query set as a sensitivity analysis; because foreground regions are subsampled, the two runs draw different subsets and the comparison should be read as approximate.</w:t>
      </w:r>
    </w:p>
    <w:p>
      <w:pPr>
        <w:spacing w:after="160" w:line="320"/>
        <w:jc w:val="both"/>
      </w:pPr>
      <w:r>
        <w:rPr>
          <w:sz w:val="22"/>
          <w:szCs w:val="22"/>
        </w:rPr>
        <w:t xml:space="preserve">Across twelve analyses covering two compartments, two directions and two region types, enrichment was largely null. Motif hits reaching a corrected P below 0.05 were confined to promoters and had log2 enrichment values below 1.1, well below the range typical of driver motifs. Directional coherence between motif enrichment and the expression change of the corresponding factor was required for any candidate to be carried forward.</w:t>
      </w:r>
    </w:p>
    <w:p>
      <w:pPr>
        <w:pStyle w:val="Heading2"/>
        <w:spacing w:after="120" w:before="240"/>
      </w:pPr>
      <w:r>
        <w:rPr>
          <w:b/>
          <w:bCs/>
          <w:sz w:val="23"/>
          <w:szCs w:val="23"/>
        </w:rPr>
        <w:t xml:space="preserve">2.9 Characterisation of ERR-motif genes</w:t>
      </w:r>
    </w:p>
    <w:p>
      <w:pPr>
        <w:spacing w:after="160" w:line="320"/>
        <w:jc w:val="both"/>
      </w:pPr>
      <w:r>
        <w:rPr>
          <w:sz w:val="22"/>
          <w:szCs w:val="22"/>
        </w:rPr>
        <w:t xml:space="preserve">Repressed cortical genes were partitioned by the presence of an ESRRA, ESRRB or ESRRG motif in the H3K4me3-marked portion of their promoter, identified with monaLisa motif scanning at a minimum log-odds score of 10; 136 of 2,158 repressed genes carried such a site. Functional enrichment of the ERR-positive subset was tested with g:Profiler using the g:SCS correction and human orthologs, with all repressed genes as the custom background, so that the comparison is internal to the repressed programme rather than against the transcriptome. CTCF and SP1 motifs were processed identically as negative controls.</w:t>
      </w:r>
    </w:p>
    <w:p>
      <w:pPr>
        <w:spacing w:after="160" w:line="320"/>
        <w:jc w:val="both"/>
      </w:pPr>
      <w:r>
        <w:rPr>
          <w:sz w:val="22"/>
          <w:szCs w:val="22"/>
        </w:rPr>
        <w:t xml:space="preserve">Because promoters of mitochondrial genes carry ERR elements constitutively, we tested whether the association is specific to the disease state. The odds of mitochondrial annotation (GO:0005739, including descendant terms, retrieved from org.Hs.eg.db) given an ERR site were 2.34 (95% CI 1.60–3.41) among repressed genes and 1.76 (1.34–2.30) among genes that were not repressed, with no evidence of interaction (P = 0.213); ERR-positive genes among the non-repressed were themselves enriched for aerobic respiration and the citrate cycle. We therefore inverted the outcome and modelled repression as a function of ERR-site presence by logistic regression, conditioning on mitochondrial annotation and on the logarithm of the number of scanned promoter regions per gene, the latter because genes with more promoter sequence have a higher probability of containing any motif.</w:t>
      </w:r>
    </w:p>
    <w:p>
      <w:pPr>
        <w:pStyle w:val="Heading2"/>
        <w:spacing w:after="120" w:before="240"/>
      </w:pPr>
      <w:r>
        <w:rPr>
          <w:b/>
          <w:bCs/>
          <w:sz w:val="23"/>
          <w:szCs w:val="23"/>
        </w:rPr>
        <w:t xml:space="preserve">2.10 Tissue breadth of regulatory elements</w:t>
      </w:r>
    </w:p>
    <w:p>
      <w:pPr>
        <w:spacing w:after="160" w:line="320"/>
        <w:jc w:val="both"/>
      </w:pPr>
      <w:r>
        <w:rPr>
          <w:sz w:val="22"/>
          <w:szCs w:val="22"/>
        </w:rPr>
        <w:t xml:space="preserve">Each kidney peak was scored by the number of the seven profiled tissues in which an overlapping peak of the same mark was called, and classified as kidney-specific (one tissue), restricted (two to three), shared (four to five) or ubiquitous (six to seven). Genes were characterised by the mean tissue breadth of the H3K27ac peaks within their CTCF-delimited domain and outside promoter windows, by the fraction of those peaks that were kidney-specific, by the mean fold-enrichment of those peaks and by their number. Genes were classified as repressed, induced or unchanged from the cortical late contrast at a false discovery rate below 0.10.</w:t>
      </w:r>
    </w:p>
    <w:p>
      <w:pPr>
        <w:spacing w:after="160" w:line="320"/>
        <w:jc w:val="both"/>
      </w:pPr>
      <w:r>
        <w:rPr>
          <w:sz w:val="22"/>
          <w:szCs w:val="22"/>
        </w:rPr>
        <w:t xml:space="preserve">Association with expression state was assessed by Kruskal–Wallis across the three states, by pairwise Wilcoxon tests against the unchanged set, and by logistic regression of expression state on the kidney-specific fraction adjusted for the logarithm of enhancer number. Because peak signal intensity correlates with apparent tissue breadth (Spearman rho = 0.424, P &lt; 10⁻¹⁵), models were refitted with mean enhancer fold-enrichment as an additional covariate.</w:t>
      </w:r>
    </w:p>
    <w:p>
      <w:pPr>
        <w:pStyle w:val="Heading2"/>
        <w:spacing w:after="120" w:before="240"/>
      </w:pPr>
      <w:r>
        <w:rPr>
          <w:b/>
          <w:bCs/>
          <w:sz w:val="23"/>
          <w:szCs w:val="23"/>
        </w:rPr>
        <w:t xml:space="preserve">2.11 Reporting of analytical decisions</w:t>
      </w:r>
    </w:p>
    <w:p>
      <w:pPr>
        <w:spacing w:after="160" w:line="320"/>
        <w:jc w:val="both"/>
      </w:pPr>
      <w:r>
        <w:rPr>
          <w:sz w:val="22"/>
          <w:szCs w:val="22"/>
        </w:rPr>
        <w:t xml:space="preserve">This study was not conducted under a prespecified analysis plan and is reported as exploratory. Several analytical decisions were made in response to intermediate results and are disclosed here: the between-stage contrast was dropped after it returned almost no genes in either compartment; the primary compartment for the regulatory analyses was chosen after examining differential expression in both; coexpression modules were abandoned as an organising unit after they failed the stability criterion; and the false discovery threshold of 0.10 was adopted to match the source study rather than selected on the basis of our own results. The stability threshold of 0.6, the promoter and domain window parameters, the permutation validation and the confounder adjustments were fixed before the analyses they govern.</w:t>
      </w:r>
    </w:p>
    <w:p>
      <w:pPr>
        <w:pStyle w:val="Heading2"/>
        <w:spacing w:after="120" w:before="240"/>
      </w:pPr>
      <w:r>
        <w:rPr>
          <w:b/>
          <w:bCs/>
          <w:sz w:val="23"/>
          <w:szCs w:val="23"/>
        </w:rPr>
        <w:t xml:space="preserve">2.12 Software and availability</w:t>
      </w:r>
    </w:p>
    <w:p>
      <w:pPr>
        <w:spacing w:after="160" w:line="320"/>
        <w:jc w:val="both"/>
      </w:pPr>
      <w:r>
        <w:rPr>
          <w:sz w:val="22"/>
          <w:szCs w:val="22"/>
        </w:rPr>
        <w:t xml:space="preserve">All analyses were performed in R [version]. Genomic intervals were handled with GenomicRanges and rtracklayer, sequence retrieval with Rsamtools and Biostrings, differential expression with limma, clustering with dynamicTreeCut, motif analysis with monaLisa v1.18.0, TFBSTools and JASPAR2020, functional enrichment with gprofiler2 against the human namespace, gene ontology retrieval with org.Hs.eg.db, and figures with ggplot2 and patchwork. Analysis code is organised as sequentially numbered modules and is available at [repository URL] with a persistent identifier at [DOI].</w:t>
      </w:r>
    </w:p>
    <w:p>
      <w:r>
        <w:br w:type="page"/>
      </w:r>
    </w:p>
    <w:p>
      <w:pPr>
        <w:pStyle w:val="Heading1"/>
        <w:spacing w:after="160" w:before="320"/>
      </w:pPr>
      <w:r>
        <w:rPr>
          <w:b/>
          <w:bCs/>
          <w:sz w:val="26"/>
          <w:szCs w:val="26"/>
        </w:rPr>
        <w:t xml:space="preserve">3. Results</w:t>
      </w:r>
    </w:p>
    <w:p>
      <w:pPr>
        <w:pStyle w:val="Heading2"/>
        <w:spacing w:after="120" w:before="240"/>
      </w:pPr>
      <w:r>
        <w:rPr>
          <w:b/>
          <w:bCs/>
          <w:sz w:val="23"/>
          <w:szCs w:val="23"/>
        </w:rPr>
        <w:t xml:space="preserve">3.1 Cis-regulatory annotation of the feline renal cortex</w:t>
      </w:r>
    </w:p>
    <w:p>
      <w:pPr>
        <w:spacing w:after="160" w:line="320"/>
        <w:jc w:val="both"/>
      </w:pPr>
      <w:r>
        <w:rPr>
          <w:sz w:val="22"/>
          <w:szCs w:val="22"/>
        </w:rPr>
        <w:t xml:space="preserve">Combining the chromatin and expression datasets required resolving an assembly discordance that produces no error and no warning. The replicated peak sets of GSE182952 were called against F.catus_Fca126_mat1.0, whereas the expression study used Felis_catus_9.0. Both assemblies name their chromosomes identically, so translating peak coordinates onto a Felis_catus_9.0 annotation retained 99.96% of peaks and appeared successful. Permutation testing showed that it was not: promoter H3K4me3 overlap under that harmonisation reached 1.55-fold over the permuted expectation, with H3K27ac at 1.15-fold and CTCF at 1.34-fold, values indistinguishable from the coincidence expected when intervals and annotation occupy unrelated coordinate systems. Annotating on the assembly of the chromatin data instead raised promoter H3K4me3 enrichment to 8.59-fold, with H3K27ac at 3.92-fold and CTCF at 5.09-fold (Figure 1A, Table 2). Because the expression matrices are indexed by gene symbol rather than by coordinate, this substitution carries no cost: gene symbols matched the RefSeq annotation for 99.87% of cortical and 99.88% of medullary genes.</w:t>
      </w:r>
    </w:p>
    <w:p>
      <w:pPr>
        <w:spacing w:after="160" w:line="320"/>
        <w:jc w:val="both"/>
      </w:pPr>
      <w:r>
        <w:rPr>
          <w:sz w:val="22"/>
          <w:szCs w:val="22"/>
        </w:rPr>
        <w:t xml:space="preserve">After coordinate translation and removal of the widest 0.5% of intervals, 29,718 H3K4me3, 81,182 H3K27ac and 60,277 CTCF peaks were retained, corresponding to 99.46%, 99.48% and 99.46% of the deposited sets. Promoter marks covered close to half of annotated genes, with H3K4me3 present at the promoters of 17,419 genes and H3K27ac at 17,256.</w:t>
      </w:r>
    </w:p>
    <w:p>
      <w:pPr>
        <w:spacing w:after="160" w:line="320"/>
        <w:jc w:val="both"/>
      </w:pPr>
      <w:r>
        <w:rPr>
          <w:sz w:val="22"/>
          <w:szCs w:val="22"/>
        </w:rPr>
        <w:t xml:space="preserve">Delimiting distal regulatory space by CTCF occupancy rather than by a fixed window produced domains with a median width of 39.4 kb and an interquartile range of 12.8 to 102.3 kb (Figure 1C). A minority of genes reached the 250 kb cap imposed to bound domains in CTCF-poor regions, visible as the terminal accumulation of the distribution. Classifying genes by the marks present at their promoter and within their domain assigned 15,586 genes to an active promoter state, 1,591 to a primed promoter state carrying H3K4me3 without acetylation, 10,057 to a state in which the only active mark is a distal enhancer, and 7,513 to no active mark (Figure 1B).</w:t>
      </w:r>
    </w:p>
    <w:p>
      <w:pPr>
        <w:pStyle w:val="Heading2"/>
        <w:spacing w:after="120" w:before="240"/>
      </w:pPr>
      <w:r>
        <w:rPr>
          <w:b/>
          <w:bCs/>
          <w:sz w:val="23"/>
          <w:szCs w:val="23"/>
        </w:rPr>
        <w:t xml:space="preserve">3.2 Differential expression reproduces the source study</w:t>
      </w:r>
    </w:p>
    <w:p>
      <w:pPr>
        <w:spacing w:after="160" w:line="320"/>
        <w:jc w:val="both"/>
      </w:pPr>
      <w:r>
        <w:rPr>
          <w:sz w:val="22"/>
          <w:szCs w:val="22"/>
        </w:rPr>
        <w:t xml:space="preserve">The analysed cohort comprises 22 cats, 17 of which contributed both cortex and medulla, with four contributing cortex only and one medulla only (Table 1). Age, sex and breed did not differ across disease groups in either compartment. Age ranged from 2 to 20 years, and three animals were younger than seven, including one cat of two years in the CKD 3/4 group and one of three years in CKD 1/2, a distribution that indicates aetiological heterogeneity within a cohort otherwise characteristic of age-associated disease.</w:t>
      </w:r>
    </w:p>
    <w:p>
      <w:pPr>
        <w:spacing w:after="160" w:line="320"/>
        <w:jc w:val="both"/>
      </w:pPr>
      <w:r>
        <w:rPr>
          <w:sz w:val="22"/>
          <w:szCs w:val="22"/>
        </w:rPr>
        <w:t xml:space="preserve">Differential expression computed with limma on the deposited log2 counts per million recovered the compartment asymmetry described in the source study (Figure 2A, Table 1). In the renal cortex, the early contrast yielded 3 genes at a false discovery rate below 0.10 while the late contrast yielded 5,087; in the medulla, the early contrast yielded 1,908 and the late contrast 2,821. The source study, using a quasi-likelihood negative binomial model, reported 6 genes for the early cortical contrast, nearly 2,000 for the early medullary contrast and more than 4,000 for the late cortical contrast. Agreement across a different statistical framework applied to the same normalised matrices indicates that the compartment asymmetry is a property of the data rather than of the analytical engine.</w:t>
      </w:r>
    </w:p>
    <w:p>
      <w:pPr>
        <w:spacing w:after="160" w:line="320"/>
        <w:jc w:val="both"/>
      </w:pPr>
      <w:r>
        <w:rPr>
          <w:sz w:val="22"/>
          <w:szCs w:val="22"/>
        </w:rPr>
        <w:t xml:space="preserve">The early cortical contrast is worth noting for a different reason. A previously published secondary analysis of the same accession, which requantified the raw reads with pseudo-alignment and applied a negative binomial model at a stricter significance threshold, reported 539 genes for that contrast. Our value of 3 and the source study's value of 6 agree with each other and differ from that estimate by two orders of magnitude. The comparison is not a clean adjudication, since the three analyses differ in quantification, model and threshold, but it indicates that the early cortical signal is not a stable object.</w:t>
      </w:r>
    </w:p>
    <w:p>
      <w:pPr>
        <w:spacing w:after="160" w:line="320"/>
        <w:jc w:val="both"/>
      </w:pPr>
      <w:r>
        <w:rPr>
          <w:sz w:val="22"/>
          <w:szCs w:val="22"/>
        </w:rPr>
        <w:t xml:space="preserve">The contrast between disease stages was near-empty in both compartments, with no gene in the cortex and 8 in the medulla. Because the late cortical contrast is large while the early one is not, and neither differs from the intermediate group, the pattern is consistent with high within-group dispersion at CKD 1/2 rather than with absence of biological difference. This contrast was not carried into subsequent analyses.</w:t>
      </w:r>
    </w:p>
    <w:p>
      <w:pPr>
        <w:spacing w:after="160" w:line="320"/>
        <w:jc w:val="both"/>
      </w:pPr>
      <w:r>
        <w:rPr>
          <w:sz w:val="22"/>
          <w:szCs w:val="22"/>
        </w:rPr>
        <w:t xml:space="preserve">Adding age to the model left the cortical analysis essentially unchanged, with a Jaccard index of 0.94 between gene sets and a correlation of 0.999 between fold changes. In the medulla the fold changes were equally stable but the number of genes detected rose from 1,908 to 3,578, with every gene of the unadjusted analysis retained. Age therefore explains an appreciable share of residual variance in the medulla. Because all subsequent analyses use the cortex, and because the source study did not adjust for age, the unadjusted model is reported throughout and medullary counts are conservative.</w:t>
      </w:r>
    </w:p>
    <w:p>
      <w:pPr>
        <w:spacing w:after="160" w:line="320"/>
        <w:jc w:val="both"/>
      </w:pPr>
      <w:r>
        <w:rPr>
          <w:sz w:val="22"/>
          <w:szCs w:val="22"/>
        </w:rPr>
        <w:t xml:space="preserve">The volcano distribution of the late cortical contrast (Figure 2B) shows comparable numbers of induced and repressed genes with no asymmetry in effect magnitude, which motivated analysing the two directions separately in all subsequent steps.</w:t>
      </w:r>
    </w:p>
    <w:p>
      <w:pPr>
        <w:pStyle w:val="Heading2"/>
        <w:spacing w:after="120" w:before="240"/>
      </w:pPr>
      <w:r>
        <w:rPr>
          <w:b/>
          <w:bCs/>
          <w:sz w:val="23"/>
          <w:szCs w:val="23"/>
        </w:rPr>
        <w:t xml:space="preserve">3.3 Coexpression structure is not reproducible, and the single stable axis tracks tubular content</w:t>
      </w:r>
    </w:p>
    <w:p>
      <w:pPr>
        <w:spacing w:after="160" w:line="320"/>
        <w:jc w:val="both"/>
      </w:pPr>
      <w:r>
        <w:rPr>
          <w:sz w:val="22"/>
          <w:szCs w:val="22"/>
        </w:rPr>
        <w:t xml:space="preserve">Applying hierarchical clustering with dynamic tree cutting to the 1,798 cortical genes passing both a false discovery rate below 0.05 and an absolute log2 fold change above 1 yielded 13 candidate modules. Under subsampling of animals, only two exceeded a mean Jaccard index of 0.6, and both consisted of repressed genes: a 396-gene module at 0.731 and a 78-gene module at 0.631 (Figure 3A, Table S1). The most stable induced module reached 0.565 and the majority fell between 0.19 and 0.39. Both retained modules were associated with disease group, with first principal components explaining 78.4% and 60.4% of the variance of their member genes.</w:t>
      </w:r>
    </w:p>
    <w:p>
      <w:pPr>
        <w:spacing w:after="160" w:line="320"/>
        <w:jc w:val="both"/>
      </w:pPr>
      <w:r>
        <w:rPr>
          <w:sz w:val="22"/>
          <w:szCs w:val="22"/>
        </w:rPr>
        <w:t xml:space="preserve">The asymmetry between directions is not explained by measurement precision. Repressed genes were expressed at higher levels than induced genes (median average expression 4.61 against 3.00), but module stability was unrelated to module-level abundance across the 13 modules (Spearman rho = −0.06, P = 0.85). The dissociation is visible in individual cases: the stable 78-gene repressed module had one of the lowest median abundances of the set, while an unstable 90-gene induced module had one of the highest.</w:t>
      </w:r>
    </w:p>
    <w:p>
      <w:pPr>
        <w:spacing w:after="160" w:line="320"/>
        <w:jc w:val="both"/>
      </w:pPr>
      <w:r>
        <w:rPr>
          <w:sz w:val="22"/>
          <w:szCs w:val="22"/>
        </w:rPr>
        <w:t xml:space="preserve">The eigengene of the larger stable module correlated with the proximal tubule marker score at rho = 0.891, and inversely with the immune and fibroblast scores at −0.809 and −0.869 (Figure 3B). A module comprising 69% of the repressed programme, with a single component accounting for 78% of its variance and tracking epithelial content this closely, is more parsimoniously described as the proportion of surviving tubular epithelium in the cortical fragment than as a coregulated transcriptional programme. The smaller module was less strongly associated with epithelial content, at rho = 0.484.</w:t>
      </w:r>
    </w:p>
    <w:p>
      <w:pPr>
        <w:spacing w:after="160" w:line="320"/>
        <w:jc w:val="both"/>
      </w:pPr>
      <w:r>
        <w:rPr>
          <w:sz w:val="22"/>
          <w:szCs w:val="22"/>
        </w:rPr>
        <w:t xml:space="preserve">Composition and disease stage are nevertheless not collinear at the level of animals: disease group explained 29.0% of the variance in the cortical tubule score, so cats at comparable stages differed appreciably in tubular preservation. Nor is composition explained by age: none of the three marker scores varied with age, either marginally or conditional on disease group, with point estimates close to zero despite a cohort spanning 2 to 20 years.</w:t>
      </w:r>
    </w:p>
    <w:p>
      <w:pPr>
        <w:spacing w:after="160" w:line="320"/>
        <w:jc w:val="both"/>
      </w:pPr>
      <w:r>
        <w:rPr>
          <w:sz w:val="22"/>
          <w:szCs w:val="22"/>
        </w:rPr>
        <w:t xml:space="preserve">Because the medulla shows differential expression at the early stage in a compartment that has not undergone the structural loss dominating the late cortex, the same procedure was applied there. Among the 1,908 genes of the early medullary contrast, 21 candidate modules were detected and none reached the stability threshold, the highest reaching 0.442. Restricting to the 141 genes passing the stricter effect-size filter produced a single module per direction, a configuration in which the subsampling test is uninformative because each module can only be matched against itself. Medullary epithelial content did not differ across disease groups (18.5% of variance explained, P = 0.215), confirming that the compartment had not lost structure, but the induced medullary genes tracked the immune marker score at rho = 0.831.</w:t>
      </w:r>
    </w:p>
    <w:p>
      <w:pPr>
        <w:spacing w:after="160" w:line="320"/>
        <w:jc w:val="both"/>
      </w:pPr>
      <w:r>
        <w:rPr>
          <w:sz w:val="22"/>
          <w:szCs w:val="22"/>
        </w:rPr>
        <w:t xml:space="preserve">Across both compartments, therefore, the only reproducible structure in the bulk transcriptome corresponds to cellular composition.</w:t>
      </w:r>
    </w:p>
    <w:p>
      <w:pPr>
        <w:pStyle w:val="Heading2"/>
        <w:spacing w:after="120" w:before="240"/>
      </w:pPr>
      <w:r>
        <w:rPr>
          <w:b/>
          <w:bCs/>
          <w:sz w:val="23"/>
          <w:szCs w:val="23"/>
        </w:rPr>
        <w:t xml:space="preserve">3.4 Motif enrichment is largely null, and the ERR observation reduces to promoter architecture</w:t>
      </w:r>
    </w:p>
    <w:p>
      <w:pPr>
        <w:spacing w:after="160" w:line="320"/>
        <w:jc w:val="both"/>
      </w:pPr>
      <w:r>
        <w:rPr>
          <w:sz w:val="22"/>
          <w:szCs w:val="22"/>
        </w:rPr>
        <w:t xml:space="preserve">Motif enrichment was tested across two compartments, two directions and two region types, using 401 of 633 JASPAR vertebrate matrices whose corresponding factor was expressed in the compartment analysed, against a background of regulatory regions belonging to expressed but unchanged genes. Of 4,812 tests, seven reached a corrected P below 0.05, all in promoters and none in enhancers, with log2 enrichment values not exceeding 1.06. This distribution is close to what repeated testing of null hypotheses would produce, and no enhancer analysis yielded a single significant motif.</w:t>
      </w:r>
    </w:p>
    <w:p>
      <w:pPr>
        <w:spacing w:after="160" w:line="320"/>
        <w:jc w:val="both"/>
      </w:pPr>
      <w:r>
        <w:rPr>
          <w:sz w:val="22"/>
          <w:szCs w:val="22"/>
        </w:rPr>
        <w:t xml:space="preserve">Within that near-null background, the promoters of repressed cortical genes were enriched for nuclear receptor half-site motifs. Two members of the oestrogen-related receptor family showed enrichment together with reduced expression of the corresponding transcript: ESRRB at 0.87 log2 enrichment with the factor at −1.24 log2 fold change, and ESRRA at 0.48 with the factor at −0.62. Two further nuclear receptor motifs in the same set, NR2F2 and RARA::RXRG, were enriched while their factors increased, and were excluded by the directional coherence criterion. The promoters of induced genes in both compartments were enriched for interferon regulatory and signal transducer motifs, consistent with the inflammatory character of that programme.</w:t>
      </w:r>
    </w:p>
    <w:p>
      <w:pPr>
        <w:spacing w:after="160" w:line="320"/>
        <w:jc w:val="both"/>
      </w:pPr>
      <w:r>
        <w:rPr>
          <w:sz w:val="22"/>
          <w:szCs w:val="22"/>
        </w:rPr>
        <w:t xml:space="preserve">Partitioning repressed cortical genes by the presence of an ERR motif in the marked portion of their promoter separated 136 of 2,158 genes. Against a background of all repressed genes, that subset was enriched for respiratory chain complex, mitochondrial inner membrane, aerobic respiration and oxidative phosphorylation, while the same procedure applied to CTCF and SP1 motifs returned no enriched term. The partition was defined by regulatory sequence and the functional annotation was applied afterwards, so the coherence is not a consequence of gene selection.</w:t>
      </w:r>
    </w:p>
    <w:p>
      <w:pPr>
        <w:spacing w:after="160" w:line="320"/>
        <w:jc w:val="both"/>
      </w:pPr>
      <w:r>
        <w:rPr>
          <w:sz w:val="22"/>
          <w:szCs w:val="22"/>
        </w:rPr>
        <w:t xml:space="preserve">That result does not, however, establish regulation. Promoters of mitochondrial genes carry ERR elements constitutively, and the association between ERR sites and mitochondrial annotation was present among genes that did not change: the odds ratio was 2.34 among repressed genes and 1.76 among the remainder, with no evidence of heterogeneity between strata (P = 0.213), and ERR-positive genes among the unchanged were themselves enriched for aerobic respiration and the citrate cycle. The functional enrichment of the ERR-positive repressed subset is therefore a property of promoter architecture rather than of the disease state.</w:t>
      </w:r>
    </w:p>
    <w:p>
      <w:pPr>
        <w:spacing w:after="160" w:line="320"/>
        <w:jc w:val="both"/>
      </w:pPr>
      <w:r>
        <w:rPr>
          <w:sz w:val="22"/>
          <w:szCs w:val="22"/>
        </w:rPr>
        <w:t xml:space="preserve">Inverting the outcome recovers a residual association. Modelling repression as a function of ERR-site presence across 10,959 genes with at least one scanned promoter region, conditioning on mitochondrial annotation and on the amount of promoter sequence scanned, gave an odds ratio of 1.42 for the ERR term (P = 8.4 × 10⁻⁴; likelihood ratio P = 0.0011), with no interaction with mitochondrial status. Genes carrying an ERR site were also no more strongly repressed than other repressed genes (median log2 fold change −0.69 against −0.75, P = 0.16), so the site is associated with membership in the repressed programme rather than with the magnitude of repression.</w:t>
      </w:r>
    </w:p>
    <w:p>
      <w:pPr>
        <w:pStyle w:val="Heading2"/>
        <w:spacing w:after="120" w:before="240"/>
      </w:pPr>
      <w:r>
        <w:rPr>
          <w:b/>
          <w:bCs/>
          <w:sz w:val="23"/>
          <w:szCs w:val="23"/>
        </w:rPr>
        <w:t xml:space="preserve">3.5 Repressed genes are regulated by kidney-specific enhancers and induced genes by ubiquitous ones</w:t>
      </w:r>
    </w:p>
    <w:p>
      <w:pPr>
        <w:spacing w:after="160" w:line="320"/>
        <w:jc w:val="both"/>
      </w:pPr>
      <w:r>
        <w:rPr>
          <w:sz w:val="22"/>
          <w:szCs w:val="22"/>
        </w:rPr>
        <w:t xml:space="preserve">Scoring each kidney regulatory element by the number of the seven profiled tissues in which a corresponding peak was called reproduced the expected contrast between mark classes: 64.4% of H3K4me3 peaks were present in six or seven tissues against 26.8% of H3K27ac peaks, while 20.0% of H3K27ac peaks were confined to the kidney against 10.6% of H3K4me3 peaks (Figure 4A, Table 3). Promoter marks are largely constitutive and enhancer marks largely tissue-restricted, which serves as an internal control on the classification before it is applied.</w:t>
      </w:r>
    </w:p>
    <w:p>
      <w:pPr>
        <w:spacing w:after="160" w:line="320"/>
        <w:jc w:val="both"/>
      </w:pPr>
      <w:r>
        <w:rPr>
          <w:sz w:val="22"/>
          <w:szCs w:val="22"/>
        </w:rPr>
        <w:t xml:space="preserve">Genes differed by expression state in the tissue breadth of the enhancers within their CTCF-delimited domains (Figure 4B). Median breadth was 2.82 tissues for repressed genes, 3.80 for unchanged genes and 4.33 for induced genes, with the three distributions differing overall (P = 1.2 × 10⁻⁴⁹) and each disease-associated group differing from the unchanged set. In logistic regression adjusted for the number of enhancers per gene, the fraction of a gene's enhancers confined to the kidney was associated with repression at an odds ratio of 2.27 (95% CI 1.86–2.77; P = 5.2 × 10⁻¹⁶) and inversely with induction at 0.33 (0.25–0.43; P = 3.1 × 10⁻¹⁵) (Figure 4C, Table 4). These odds ratios compare the extremes of the range, a gene whose enhancers are all kidney-specific against a gene with none; the median fraction is zero in all three groups, so the effect is carried by the minority of genes that possess such elements.</w:t>
      </w:r>
    </w:p>
    <w:p>
      <w:pPr>
        <w:spacing w:after="160" w:line="320"/>
        <w:jc w:val="both"/>
      </w:pPr>
      <w:r>
        <w:rPr>
          <w:sz w:val="22"/>
          <w:szCs w:val="22"/>
        </w:rPr>
        <w:t xml:space="preserve">Two features of the peak data could produce this association artefactually, and neither does. Peak signal intensity correlates with apparent tissue breadth (rho = 0.423), since weakly marked elements are less likely to be detected in other tissues and therefore appear kidney-specific. Enhancer signal intensity was nevertheless almost identical across the three expression states (median fold-enrichment 4.27, 4.18 and 4.21), and adding it as a covariate left the estimates unchanged, at 2.25 for repression and 0.30 for induction. Separately, the kidney has the largest H3K27ac peak set of the seven tissues, exceeding the smallest by a factor of 2.30 (Table S2), so the absolute figure of 20.0% kidney-specific enhancers is an upper bound; this inflation applies uniformly to all kidney peaks and cannot generate a differential association between gene classes.</w:t>
      </w:r>
    </w:p>
    <w:p>
      <w:pPr>
        <w:spacing w:after="160" w:line="320"/>
        <w:jc w:val="both"/>
      </w:pPr>
      <w:r>
        <w:rPr>
          <w:sz w:val="22"/>
          <w:szCs w:val="22"/>
        </w:rPr>
        <w:t xml:space="preserve">The direction of the association is consistent across every analysis in this study. Genes that lose expression in the diseased cortex are those whose regulation depends on elements active in the kidney and nowhere else, and genes that gain expression are those regulated by elements shared across organs. Measured in chromatin from healthy animals, without reference to the expression matrix, this is the same phenomenon that the composition analysis describes in expression terms.</w:t>
      </w:r>
    </w:p>
    <w:p>
      <w:r>
        <w:br w:type="page"/>
      </w:r>
    </w:p>
    <w:p>
      <w:pPr>
        <w:pStyle w:val="Heading1"/>
        <w:spacing w:after="160" w:before="320"/>
      </w:pPr>
      <w:r>
        <w:rPr>
          <w:b/>
          <w:bCs/>
          <w:sz w:val="26"/>
          <w:szCs w:val="26"/>
        </w:rPr>
        <w:t xml:space="preserve">4. Discussion</w:t>
      </w:r>
    </w:p>
    <w:p>
      <w:pPr>
        <w:spacing w:after="160" w:line="320"/>
        <w:jc w:val="both"/>
      </w:pPr>
      <w:r>
        <w:rPr>
          <w:sz w:val="22"/>
          <w:szCs w:val="22"/>
        </w:rPr>
        <w:t xml:space="preserve">The principal finding of this study is that the cortical transcriptome of feline chronic kidney disease reflects a shift in the tissue breadth of regulatory programmes. Genes that lose expression as disease advances are disproportionately those whose enhancers are active in the kidney and in no other profiled organ, while genes that gain expression are disproportionately those regulated by elements shared across organs. The association is substantial in both directions, survives adjustment for the number and signal intensity of enhancers per gene, and is measured in chromatin from healthy animals without reference to the expression data in which the gene classes were defined. It therefore constitutes evidence from a modality independent of the one that generated the question.</w:t>
      </w:r>
    </w:p>
    <w:p>
      <w:pPr>
        <w:spacing w:after="160" w:line="320"/>
        <w:jc w:val="both"/>
      </w:pPr>
      <w:r>
        <w:rPr>
          <w:sz w:val="22"/>
          <w:szCs w:val="22"/>
        </w:rPr>
        <w:t xml:space="preserve">The most economical interpretation of that shift is cellular. Chronic kidney disease replaces tubular epithelium with immune infiltrate and fibrotic stroma, and the genes that define renal identity are precisely those regulated by kidney-restricted elements, while genes expressed by infiltrating leukocytes and fibroblasts are expressed in many tissues and regulated accordingly. Three analyses in this study converge on that reading. Coexpression modules were not reproducible under resampling except for a single axis that tracks proximal tubule marker expression at rho = 0.891 and accounts for 78% of the variance of two thirds of the repressed programme. Motif enrichment, tested against a background matched for expression and regulatory activity, was close to null. And the tissue-breadth association reproduces the same statement in chromatin. One alternative source of the composition signal can be excluded: although the cohort spans 2 to 20 years of age, none of the three marker scores varied with age, either marginally or conditional on disease group, so the loss of epithelial content is not an ageing effect within this sample. What the study does not establish is that the shift is only compositional, because bulk tissue cannot separate a change in the proportion of a cell type from a change in transcription within that cell type. The two hypotheses make the same prediction for every measurement available here.</w:t>
      </w:r>
    </w:p>
    <w:p>
      <w:pPr>
        <w:spacing w:after="160" w:line="320"/>
        <w:jc w:val="both"/>
      </w:pPr>
      <w:r>
        <w:rPr>
          <w:sz w:val="22"/>
          <w:szCs w:val="22"/>
        </w:rPr>
        <w:t xml:space="preserve">This position is stronger than, but consistent with, the two previous analyses of the same dataset. The source study described metabolic reprogramming in feline CKD, reporting downregulation of fatty acid transport and oxidation, altered glucose and glutamine metabolism and upregulated hypoxia signalling. A subsequent secondary analysis of the cortical data reported that iron-handling, lipid-oxygenation and hypoxia-response transcripts moved in opposing directions rather than as a coordinated pathway, concluded that the data did not support inference of cell-specific mechanism, and noted that composition shifts might contribute materially. Neither study measured composition. The present analysis quantifies it, and in doing so offers an explanation for the incoherence the second study observed: gene sets defined by functional annotation cut across cell types, so in a tissue whose cellular proportions are changing they will contain genes moving in opposite directions for reasons unrelated to pathway regulation.</w:t>
      </w:r>
    </w:p>
    <w:p>
      <w:pPr>
        <w:spacing w:after="160" w:line="320"/>
        <w:jc w:val="both"/>
      </w:pPr>
      <w:r>
        <w:rPr>
          <w:sz w:val="22"/>
          <w:szCs w:val="22"/>
        </w:rPr>
        <w:t xml:space="preserve">The observation concerning oestrogen-related receptors illustrates how narrow the inferential room is. Promoters of repressed cortical genes were enriched for ERR motifs, the ERRA and ERRB transcripts were themselves reduced, and the ERR-positive subset of repressed genes was specifically enriched for respiratory chain and mitochondrial inner membrane terms against a background of all repressed genes, while equivalent partitions on CTCF and SP1 motifs returned nothing. That configuration is what a genuine upstream regulator of the bioenergetic programme would produce. It is also what constitutive promoter architecture produces, since ERR elements occupy mitochondrial gene promoters irrespective of disease, and the stratified analysis showed the ERR–mitochondria association to be present with comparable strength among genes that did not change. Conditioning on mitochondrial annotation leaves a modest residual association between ERR-site presence and repression, at an odds ratio of 1.42. We report this as a constrained observation rather than a finding, because one named alternative remains untested: ERRA is highly expressed in proximal tubule, and the residual association could reflect tubular identity rather than regulatory activity. Mitochondrial annotation does not condition on tubular identity, and no external measure of tubular content was available for these animals.</w:t>
      </w:r>
    </w:p>
    <w:p>
      <w:pPr>
        <w:spacing w:after="160" w:line="320"/>
        <w:jc w:val="both"/>
      </w:pPr>
      <w:r>
        <w:rPr>
          <w:sz w:val="22"/>
          <w:szCs w:val="22"/>
        </w:rPr>
        <w:t xml:space="preserve">Independently of the disease analysis, this study contributes the first application of the feline kidney regulatory atlas to a disease transcriptome, together with a gene-level annotation of promoter and enhancer architecture for the species. The atlas was deposited to support interpretation of non-coding sequence variants and has not been described in a publication of its own; its only previous reuse of which we are aware characterised epigenetic signatures of retroviral integrants [REF LaMere]. Applying it to disease expression is therefore a distinct use, and one that the resource supports without modification. The accompanying description of tissue breadth, in which 64% of promoter marks but 27% of enhancer marks are present in six or seven organs, reproduces in the cat a pattern established in better-characterised mammals and provides an internal validation of the classification.</w:t>
      </w:r>
    </w:p>
    <w:p>
      <w:pPr>
        <w:spacing w:after="160" w:line="320"/>
        <w:jc w:val="both"/>
      </w:pPr>
      <w:r>
        <w:rPr>
          <w:sz w:val="22"/>
          <w:szCs w:val="22"/>
        </w:rPr>
        <w:t xml:space="preserve">One practical result deserves emphasis because it is a trap rather than a finding. The chromatin and expression datasets are aligned to different assemblies of the same genome, and those assemblies share chromosome names. Harmonising them by chromosome name retains 99.96% of intervals and produces no error, while yielding overlap statistics at the level of coincidence. We detected this only through a permutation control comparing observed promoter overlap against shuffled intervals, which returned 1.55-fold where the corrected annotation returns 8.59-fold. Any study combining these two resources, and more generally any study combining feline datasets deposited before and after 2021, should verify coordinate compatibility empirically rather than by inspecting identifier retention.</w:t>
      </w:r>
    </w:p>
    <w:p>
      <w:pPr>
        <w:spacing w:after="160" w:line="320"/>
        <w:jc w:val="both"/>
      </w:pPr>
      <w:r>
        <w:rPr>
          <w:sz w:val="22"/>
          <w:szCs w:val="22"/>
        </w:rPr>
        <w:t xml:space="preserve">Several limitations constrain what these results support. The expression data derive from 21 cortical and 18 medullary samples collected at a single facility, and all inference about disease rests on that cohort. The chromatin data derive from two healthy adult male cats and describe the regulatory landscape of the normal cortex; no chromatin was profiled in diseased tissue, so no statement about remodelling of regulatory elements is possible, and the annotation describes the baseline architecture of loci that change rather than the state of those loci during disease. The chromatin and expression datasets come from entirely different animals. Peak sets were not filtered against a blacklist because none exists for this species, and we substituted a width-based filter. The kidney has the largest H3K27ac peak set among the seven profiled tissues, exceeding the smallest by a factor of 2.3, so the absolute proportion of kidney-specific enhancers is an upper bound, although this inflation is uniform across gene classes and cannot generate the differential association. Enhancer-to-gene assignment is topological, based on proximity within CTCF-delimited intervals, and was not validated by chromatin conformation data. Motif analysis used human position weight matrices and functional enrichment used human orthologs, since neither resource exists for the cat. The cohort spans a wide age range and includes animals of two and three years in the disease groups, which indicates aetiological heterogeneity within a sample otherwise characteristic of age-associated disease; the clinical entity captured here may therefore not be uniform. Adding age to the differential expression model leaves the cortical analysis unchanged but nearly doubles medullary detection while preserving effect estimates, so medullary counts reported here are conservative. Finally, the study was not conducted under a prespecified analysis plan, and several decisions were made in response to intermediate results; these are enumerated in the Methods.</w:t>
      </w:r>
    </w:p>
    <w:p>
      <w:pPr>
        <w:spacing w:after="160" w:line="320"/>
        <w:jc w:val="both"/>
      </w:pPr>
      <w:r>
        <w:rPr>
          <w:sz w:val="22"/>
          <w:szCs w:val="22"/>
        </w:rPr>
        <w:t xml:space="preserve">Resolving the ambiguity that remains requires data of a kind not yet available for this species. Single-nucleus RNA sequencing of feline kidney across disease stages would separate change in cell proportion from change in transcription within cell type, and is the measurement the previous analysis of this dataset recommended without being able to perform. Per-animal histopathological scoring of glomerulosclerosis, interstitial fibrosis, inflammation and tubular atrophy, which was performed in the source study but reported only as group summaries, would provide an external measure of composition and permit adjustment that does not depend on the expression matrix itself. Chromatin profiling of diseased feline kidney would convert the annotation used here from a static reference into a comparison. Until such data exist, transcriptomic studies of bulk feline kidney should be read as descriptions of tissue composition as much as of cellular regulation.</w:t>
      </w:r>
    </w:p>
    <w:p>
      <w:pPr>
        <w:pStyle w:val="Heading1"/>
        <w:spacing w:after="160" w:before="320"/>
      </w:pPr>
      <w:r>
        <w:rPr>
          <w:b/>
          <w:bCs/>
          <w:sz w:val="26"/>
          <w:szCs w:val="26"/>
        </w:rPr>
        <w:t xml:space="preserve">5. Conclusions</w:t>
      </w:r>
    </w:p>
    <w:p>
      <w:pPr>
        <w:spacing w:after="160" w:line="320"/>
        <w:jc w:val="both"/>
      </w:pPr>
      <w:r>
        <w:rPr>
          <w:sz w:val="22"/>
          <w:szCs w:val="22"/>
        </w:rPr>
        <w:t xml:space="preserve">In bulk renal tissue, the transcriptional signature of chronic kidney disease is inseparable from the cellular composition of the sample. Genes whose regulation depends on elements active only in the kidney fall as the organ loses its characteristic epithelium, and genes regulated by elements shared across organs rise as populations common to many tissues arrive. This is not a limitation peculiar to one dataset or one species: it follows from the fact that regulatory specificity and cellular identity are the same property viewed from two directions, and it will hold wherever a disease process substantially remodels tissue architecture.</w:t>
      </w:r>
    </w:p>
    <w:p>
      <w:pPr>
        <w:spacing w:after="160" w:line="320"/>
        <w:jc w:val="both"/>
      </w:pPr>
      <w:r>
        <w:rPr>
          <w:sz w:val="22"/>
          <w:szCs w:val="22"/>
        </w:rPr>
        <w:t xml:space="preserve">The consequence for feline renal transcriptomics is that pathway-level statements drawn from bulk tissue describe what the tissue is made of at least as much as what its cells are doing. Interpreting such data as evidence of altered regulation within tubular cells requires either measurement at cellular resolution or an external, non-transcriptomic estimate of tissue composition. Where neither is available, the appropriate reading of a differential expression list is descriptive.</w:t>
      </w:r>
    </w:p>
    <w:p>
      <w:pPr>
        <w:spacing w:after="160" w:line="320"/>
        <w:jc w:val="both"/>
      </w:pPr>
      <w:r>
        <w:rPr>
          <w:sz w:val="22"/>
          <w:szCs w:val="22"/>
        </w:rPr>
        <w:t xml:space="preserve">Regulatory annotation offers a partial route forward even without cell-resolved data, because chromatin measured in healthy tissue provides a reference frame that the disease expression data cannot contaminate. The tissue breadth of a gene's regulatory elements is a stable property, and it separates the two directions of transcriptional change in a way that gene function does not. Extending such annotation to diseased tissue, and to the cell types that populate it, is the measurement that would convert this description into a mechanism.</w:t>
      </w:r>
    </w:p>
    <w:p>
      <w:r>
        <w:br w:type="page"/>
      </w:r>
    </w:p>
    <w:p>
      <w:pPr>
        <w:pStyle w:val="Heading1"/>
        <w:spacing w:after="160" w:before="320"/>
      </w:pPr>
      <w:r>
        <w:rPr>
          <w:b/>
          <w:bCs/>
          <w:sz w:val="26"/>
          <w:szCs w:val="26"/>
        </w:rPr>
        <w:t xml:space="preserve">Figure legends</w:t>
      </w:r>
    </w:p>
    <w:p>
      <w:pPr>
        <w:spacing w:after="160" w:line="320"/>
        <w:jc w:val="both"/>
      </w:pPr>
      <w:r>
        <w:rPr>
          <w:b/>
          <w:bCs/>
          <w:sz w:val="22"/>
          <w:szCs w:val="22"/>
        </w:rPr>
        <w:t xml:space="preserve">Figure 1. </w:t>
      </w:r>
      <w:r>
        <w:rPr>
          <w:sz w:val="22"/>
          <w:szCs w:val="22"/>
        </w:rPr>
        <w:t xml:space="preserve">Cis-regulatory annotation of the feline renal cortex. (A) Number of genes with at least one promoter-overlapping peak for each mark, compared with the mean of 100 permutations in which peaks were shuffled within chromosome preserving number and width; fold enrichment is annotated above each pair. (B) Distribution of genes across the four regulatory classes. (C) Width distribution of CTCF-delimited domains on a logarithmic scale; the dashed line marks the 250 kb per-side cap imposed by the method, and the terminal accumulation corresponds to genes without a flanking CTCF peak within that distance.</w:t>
      </w:r>
    </w:p>
    <w:p>
      <w:pPr>
        <w:spacing w:after="160" w:line="320"/>
        <w:jc w:val="both"/>
      </w:pPr>
      <w:r>
        <w:rPr>
          <w:b/>
          <w:bCs/>
          <w:sz w:val="22"/>
          <w:szCs w:val="22"/>
        </w:rPr>
        <w:t xml:space="preserve">Figure 2. </w:t>
      </w:r>
      <w:r>
        <w:rPr>
          <w:sz w:val="22"/>
          <w:szCs w:val="22"/>
        </w:rPr>
        <w:t xml:space="preserve">Differential expression across compartments and disease stages. (A) Number of differentially expressed genes at a false discovery rate below 0.10 for each contrast and compartment. (B) Volcano plot of the late cortical contrast, with genes coloured by direction and significance.</w:t>
      </w:r>
    </w:p>
    <w:p>
      <w:pPr>
        <w:spacing w:after="160" w:line="320"/>
        <w:jc w:val="both"/>
      </w:pPr>
      <w:r>
        <w:rPr>
          <w:b/>
          <w:bCs/>
          <w:sz w:val="22"/>
          <w:szCs w:val="22"/>
        </w:rPr>
        <w:t xml:space="preserve">Figure 3. </w:t>
      </w:r>
      <w:r>
        <w:rPr>
          <w:sz w:val="22"/>
          <w:szCs w:val="22"/>
        </w:rPr>
        <w:t xml:space="preserve">Coexpression structure and its relation to cell composition in the renal cortex. (A) Mean Jaccard index of each candidate module under 200 subsamplings of 80% of animals, with standard deviation; the dashed line marks the retention threshold of 0.6 and retained modules are highlighted. (B) Eigengene of the larger retained module against the proximal tubule marker score, coloured by disease group, with the Spearman correlation annotated.</w:t>
      </w:r>
    </w:p>
    <w:p>
      <w:pPr>
        <w:spacing w:after="160" w:line="320"/>
        <w:jc w:val="both"/>
      </w:pPr>
      <w:r>
        <w:rPr>
          <w:b/>
          <w:bCs/>
          <w:sz w:val="22"/>
          <w:szCs w:val="22"/>
        </w:rPr>
        <w:t xml:space="preserve">Figure 4. </w:t>
      </w:r>
      <w:r>
        <w:rPr>
          <w:sz w:val="22"/>
          <w:szCs w:val="22"/>
        </w:rPr>
        <w:t xml:space="preserve">Tissue breadth of regulatory elements and its association with expression state. (A) Distribution of kidney regulatory elements across tissue-breadth classes for each mark. (B) Mean tissue breadth of the enhancers within each gene's CTCF-delimited domain, by expression state in the late cortical contrast. (C) Odds ratios with 95% confidence intervals from logistic regression of expression state on the fraction of a gene's enhancers that are kidney-specific, adjusted for the number of enhancers per gene; the estimate contrasts a gene whose enhancers are all kidney-specific with a gene having none.</w:t>
      </w:r>
    </w:p>
    <w:p>
      <w:pPr>
        <w:spacing w:after="160" w:line="320"/>
        <w:jc w:val="both"/>
      </w:pPr>
      <w:r>
        <w:rPr>
          <w:b/>
          <w:bCs/>
          <w:sz w:val="22"/>
          <w:szCs w:val="22"/>
        </w:rPr>
        <w:t xml:space="preserve">Supplementary Figure S1. </w:t>
      </w:r>
      <w:r>
        <w:rPr>
          <w:sz w:val="22"/>
          <w:szCs w:val="22"/>
        </w:rPr>
        <w:t xml:space="preserve">Replicated peak counts as deposited, by tissue and mark; the kidney is highlighted. Counts are shown before coordinate translation and width filtering, and therefore describe the balance of the source resource rather than the analysed set.</w:t>
      </w:r>
    </w:p>
    <w:p>
      <w:pPr>
        <w:spacing w:after="160" w:line="320"/>
        <w:jc w:val="both"/>
      </w:pPr>
      <w:r>
        <w:rPr>
          <w:b/>
          <w:bCs/>
          <w:sz w:val="22"/>
          <w:szCs w:val="22"/>
        </w:rPr>
        <w:t xml:space="preserve">Supplementary Figure S2. </w:t>
      </w:r>
      <w:r>
        <w:rPr>
          <w:sz w:val="22"/>
          <w:szCs w:val="22"/>
        </w:rPr>
        <w:t xml:space="preserve">Concordance of log2 fold changes between differential expression models with and without age as a covariate, by compartment, with the Spearman correlation annotated; the dashed line is the identity.</w:t>
      </w:r>
    </w:p>
    <w:p>
      <w:pPr>
        <w:pStyle w:val="Heading1"/>
        <w:spacing w:after="160" w:before="320"/>
      </w:pPr>
      <w:r>
        <w:rPr>
          <w:b/>
          <w:bCs/>
          <w:sz w:val="26"/>
          <w:szCs w:val="26"/>
        </w:rPr>
        <w:t xml:space="preserve">Table legends</w:t>
      </w:r>
    </w:p>
    <w:p>
      <w:pPr>
        <w:spacing w:after="160" w:line="320"/>
        <w:jc w:val="both"/>
      </w:pPr>
      <w:r>
        <w:rPr>
          <w:b/>
          <w:bCs/>
          <w:sz w:val="22"/>
          <w:szCs w:val="22"/>
        </w:rPr>
        <w:t xml:space="preserve">Table 1. </w:t>
      </w:r>
      <w:r>
        <w:rPr>
          <w:sz w:val="22"/>
          <w:szCs w:val="22"/>
        </w:rPr>
        <w:t xml:space="preserve">Characteristics of the analysed cohort by compartment and disease group: number of animals, age as mean with standard deviation and as median with range, sex and breed, with tests of homogeneity across groups.</w:t>
      </w:r>
    </w:p>
    <w:p>
      <w:pPr>
        <w:spacing w:after="160" w:line="320"/>
        <w:jc w:val="both"/>
      </w:pPr>
      <w:r>
        <w:rPr>
          <w:b/>
          <w:bCs/>
          <w:sz w:val="22"/>
          <w:szCs w:val="22"/>
        </w:rPr>
        <w:t xml:space="preserve">Table 2. </w:t>
      </w:r>
      <w:r>
        <w:rPr>
          <w:sz w:val="22"/>
          <w:szCs w:val="22"/>
        </w:rPr>
        <w:t xml:space="preserve">Differentially expressed genes by compartment and contrast at three significance thresholds.</w:t>
      </w:r>
    </w:p>
    <w:p>
      <w:pPr>
        <w:spacing w:after="160" w:line="320"/>
        <w:jc w:val="both"/>
      </w:pPr>
      <w:r>
        <w:rPr>
          <w:b/>
          <w:bCs/>
          <w:sz w:val="22"/>
          <w:szCs w:val="22"/>
        </w:rPr>
        <w:t xml:space="preserve">Table 3. </w:t>
      </w:r>
      <w:r>
        <w:rPr>
          <w:sz w:val="22"/>
          <w:szCs w:val="22"/>
        </w:rPr>
        <w:t xml:space="preserve">Permutation validation of promoter mark enrichment, showing observed and expected numbers of genes with a promoter-overlapping peak.</w:t>
      </w:r>
    </w:p>
    <w:p>
      <w:pPr>
        <w:spacing w:after="160" w:line="320"/>
        <w:jc w:val="both"/>
      </w:pPr>
      <w:r>
        <w:rPr>
          <w:b/>
          <w:bCs/>
          <w:sz w:val="22"/>
          <w:szCs w:val="22"/>
        </w:rPr>
        <w:t xml:space="preserve">Table 4. </w:t>
      </w:r>
      <w:r>
        <w:rPr>
          <w:sz w:val="22"/>
          <w:szCs w:val="22"/>
        </w:rPr>
        <w:t xml:space="preserve">Tissue breadth of renal cortical regulatory elements after coordinate translation and width filtering.</w:t>
      </w:r>
    </w:p>
    <w:p>
      <w:pPr>
        <w:spacing w:after="160" w:line="320"/>
        <w:jc w:val="both"/>
      </w:pPr>
      <w:r>
        <w:rPr>
          <w:b/>
          <w:bCs/>
          <w:sz w:val="22"/>
          <w:szCs w:val="22"/>
        </w:rPr>
        <w:t xml:space="preserve">Table 5. </w:t>
      </w:r>
      <w:r>
        <w:rPr>
          <w:sz w:val="22"/>
          <w:szCs w:val="22"/>
        </w:rPr>
        <w:t xml:space="preserve">Logistic regression of expression state on the kidney-specific fraction of gene enhancers, adjusted for enhancer number.</w:t>
      </w:r>
    </w:p>
    <w:p>
      <w:pPr>
        <w:spacing w:after="160" w:line="320"/>
        <w:jc w:val="both"/>
      </w:pPr>
      <w:r>
        <w:rPr>
          <w:b/>
          <w:bCs/>
          <w:sz w:val="22"/>
          <w:szCs w:val="22"/>
        </w:rPr>
        <w:t xml:space="preserve">Supplementary Table S1. </w:t>
      </w:r>
      <w:r>
        <w:rPr>
          <w:sz w:val="22"/>
          <w:szCs w:val="22"/>
        </w:rPr>
        <w:t xml:space="preserve">Stability of candidate coexpression modules under subsampling.</w:t>
      </w:r>
    </w:p>
    <w:p>
      <w:pPr>
        <w:spacing w:after="160" w:line="320"/>
        <w:jc w:val="both"/>
      </w:pPr>
      <w:r>
        <w:rPr>
          <w:b/>
          <w:bCs/>
          <w:sz w:val="22"/>
          <w:szCs w:val="22"/>
        </w:rPr>
        <w:t xml:space="preserve">Supplementary Table S2. </w:t>
      </w:r>
      <w:r>
        <w:rPr>
          <w:sz w:val="22"/>
          <w:szCs w:val="22"/>
        </w:rPr>
        <w:t xml:space="preserve">Replicated peak counts as deposited, by tissue and mark.</w:t>
      </w:r>
    </w:p>
    <w:p>
      <w:pPr>
        <w:spacing w:after="160" w:line="320"/>
        <w:jc w:val="both"/>
      </w:pPr>
      <w:r>
        <w:rPr>
          <w:b/>
          <w:bCs/>
          <w:sz w:val="22"/>
          <w:szCs w:val="22"/>
        </w:rPr>
        <w:t xml:space="preserve">Supplementary Table S3. </w:t>
      </w:r>
      <w:r>
        <w:rPr>
          <w:sz w:val="22"/>
          <w:szCs w:val="22"/>
        </w:rPr>
        <w:t xml:space="preserve">Concordance between differential expression models with and without age as a covariate.</w:t>
      </w:r>
    </w:p>
    <w:p>
      <w:pPr>
        <w:pStyle w:val="Heading1"/>
        <w:spacing w:after="160" w:before="320"/>
      </w:pPr>
      <w:r>
        <w:rPr>
          <w:b/>
          <w:bCs/>
          <w:sz w:val="26"/>
          <w:szCs w:val="26"/>
        </w:rPr>
        <w:t xml:space="preserve">Declarations</w:t>
      </w:r>
    </w:p>
    <w:p>
      <w:pPr>
        <w:spacing w:after="160" w:line="320"/>
        <w:jc w:val="both"/>
      </w:pPr>
      <w:r>
        <w:rPr>
          <w:sz w:val="22"/>
          <w:szCs w:val="22"/>
        </w:rPr>
        <w:t xml:space="preserve">Availability of data and materials. This study reanalyses publicly deposited data. Expression matrices were obtained from the supplementary material of the source publication associated with GEO accession GSE303653. Chromatin data were obtained from GEO accession GSE182952. Genome annotation and sequence were obtained from NCBI RefSeq assembly GCF_018350175.1. Analysis code is available at [repository] with a persistent identifier at [DOI].</w:t>
      </w:r>
    </w:p>
    <w:p>
      <w:pPr>
        <w:spacing w:after="160" w:line="320"/>
        <w:jc w:val="both"/>
      </w:pPr>
      <w:r>
        <w:rPr>
          <w:sz w:val="22"/>
          <w:szCs w:val="22"/>
        </w:rPr>
        <w:t xml:space="preserve">Ethics approval. Not applicable; no animals were handled in the course of this study.</w:t>
      </w:r>
    </w:p>
    <w:p>
      <w:pPr>
        <w:spacing w:after="160" w:line="320"/>
        <w:jc w:val="both"/>
      </w:pPr>
      <w:r>
        <w:rPr>
          <w:sz w:val="22"/>
          <w:szCs w:val="22"/>
        </w:rPr>
        <w:t xml:space="preserve">Competing interests. The authors declare no competing interests.</w:t>
      </w:r>
    </w:p>
    <w:p>
      <w:pPr>
        <w:pStyle w:val="Heading1"/>
        <w:spacing w:after="160" w:before="320"/>
      </w:pPr>
      <w:r>
        <w:rPr>
          <w:b/>
          <w:bCs/>
          <w:sz w:val="26"/>
          <w:szCs w:val="26"/>
        </w:rPr>
        <w:t xml:space="preserve">References</w:t>
      </w:r>
    </w:p>
    <w:p>
      <w:pPr>
        <w:spacing w:after="120"/>
        <w:jc w:val="left"/>
      </w:pPr>
      <w:r>
        <w:rPr>
          <w:i/>
          <w:iCs/>
          <w:color w:val="8B0000"/>
          <w:sz w:val="20"/>
          <w:szCs w:val="20"/>
        </w:rPr>
        <w:t xml:space="preserve">VERIFIED - use as written:</w:t>
      </w:r>
    </w:p>
    <w:p>
      <w:pPr>
        <w:spacing w:after="160" w:line="320"/>
        <w:jc w:val="both"/>
      </w:pPr>
      <w:r>
        <w:rPr>
          <w:sz w:val="22"/>
          <w:szCs w:val="22"/>
        </w:rPr>
        <w:t xml:space="preserve">Li Q, et al. Integrated landscape of renal metabolism in domestic cats with spontaneous chronic kidney disease: a multi-omics study. Communications Biology. 2025. doi:10.1038/s42003-025-09164-8</w:t>
      </w:r>
    </w:p>
    <w:p>
      <w:pPr>
        <w:spacing w:after="160" w:line="320"/>
        <w:jc w:val="both"/>
      </w:pPr>
      <w:r>
        <w:rPr>
          <w:sz w:val="22"/>
          <w:szCs w:val="22"/>
        </w:rPr>
        <w:t xml:space="preserve">Kern C, et al. Functional annotations of three domestic animal genomes provide vital resources for comparative and agricultural research. Nature Communications. 2021;12:1821. doi:10.1038/s41467-021-22100-8</w:t>
      </w:r>
    </w:p>
    <w:p>
      <w:pPr>
        <w:spacing w:after="160" w:line="320"/>
        <w:jc w:val="both"/>
      </w:pPr>
      <w:r>
        <w:rPr>
          <w:sz w:val="22"/>
          <w:szCs w:val="22"/>
        </w:rPr>
        <w:t xml:space="preserve">Kingsley NB, Kern C, Creppe C, Hales EN, Zhou H, Kalbfleisch TS, MacLeod JN, Petersen JL, Finno CJ, Bellone RR. Functionally annotating regulatory elements in the equine genome using histone mark ChIP-seq. Genes. 2019;11(1):3. doi:10.3390/genes11010003</w:t>
      </w:r>
    </w:p>
    <w:p>
      <w:pPr>
        <w:spacing w:after="160" w:line="320"/>
        <w:jc w:val="both"/>
      </w:pPr>
      <w:r>
        <w:rPr>
          <w:sz w:val="22"/>
          <w:szCs w:val="22"/>
        </w:rPr>
        <w:t xml:space="preserve">Myers AN, Murphy WJ. Genome-wide mapping of regulatory regions in seven domestic cat tissues [ChIP-seq]. Gene Expression Omnibus, accession GSE182952; BioProject PRJNA758414. Deposited 27 August 2021, released 29 August 2021. No associated publication.</w:t>
      </w:r>
    </w:p>
    <w:p>
      <w:pPr>
        <w:spacing w:after="160" w:line="320"/>
        <w:jc w:val="both"/>
      </w:pPr>
      <w:r>
        <w:rPr>
          <w:sz w:val="22"/>
          <w:szCs w:val="22"/>
        </w:rPr>
        <w:t xml:space="preserve">LaMere S, Xiong H, Wang W, LaMere B, Moshiri N. Epigenetic motifs distinguishing endogenous from exogenous retroviral integrants. Journal of Virology. 2025;99:e00775-25. doi:10.1128/jvi.00775-25</w:t>
      </w:r>
    </w:p>
    <w:p>
      <w:pPr>
        <w:spacing w:after="120"/>
        <w:jc w:val="left"/>
      </w:pPr>
      <w:r>
        <w:rPr>
          <w:i/>
          <w:iCs/>
          <w:color w:val="8B0000"/>
          <w:sz w:val="20"/>
          <w:szCs w:val="20"/>
        </w:rPr>
        <w:t xml:space="preserve">TO VERIFY - full citation of the secondary analysis of GSE303653 published in Veterinary Sciences (MDPI) in 2026.</w:t>
      </w:r>
    </w:p>
    <w:p>
      <w:pPr>
        <w:spacing w:after="160" w:line="320"/>
        <w:jc w:val="both"/>
      </w:pPr>
      <w:r>
        <w:rPr>
          <w:sz w:val="22"/>
          <w:szCs w:val="22"/>
        </w:rPr>
        <w:t xml:space="preserve">[REF VetSci] Iron-handling, lipid-oxygenation and hypoxia-response gene expression in renal cortex of cats with chronic kidney disease: an analysis-plan-guided secondary analysis. Veterinary Sciences. 2026.</w:t>
      </w:r>
    </w:p>
    <w:p>
      <w:pPr>
        <w:spacing w:after="120"/>
        <w:jc w:val="left"/>
      </w:pPr>
      <w:r>
        <w:rPr>
          <w:i/>
          <w:iCs/>
          <w:color w:val="8B0000"/>
          <w:sz w:val="20"/>
          <w:szCs w:val="20"/>
        </w:rPr>
        <w:t xml:space="preserve">TO ADD - software citations for limma, monaLisa, JASPAR2020, TFBSTools, g:Profiler, GenomicRanges, rtracklayer, Rsamtools, dynamicTreeCut, org.Hs.eg.db, ggplot2 and patchwork, plus the ENCODE quality-metric reference. Each should be taken from the package citation() output or the journal record rather than transcribed from memory.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2026-07-30T20:54:37.415Z</dcterms:created>
  <dcterms:modified xsi:type="dcterms:W3CDTF">2026-07-30T20:54:37.433Z</dcterms:modified>
</cp:coreProperties>
</file>

<file path=docProps/custom.xml><?xml version="1.0" encoding="utf-8"?>
<Properties xmlns="http://schemas.openxmlformats.org/officeDocument/2006/custom-properties" xmlns:vt="http://schemas.openxmlformats.org/officeDocument/2006/docPropsVTypes"/>
</file>