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4F72"/>
          <w:sz w:val="56"/>
        </w:rPr>
        <w:t>ASSET MANAGER STUDIO</w:t>
      </w:r>
    </w:p>
    <w:p>
      <w:pPr>
        <w:jc w:val="center"/>
      </w:pPr>
      <w:r>
        <w:rPr>
          <w:color w:val="2874A6"/>
          <w:sz w:val="32"/>
        </w:rPr>
        <w:t>Análise Detalhada do Projeto e</w:t>
        <w:br/>
        <w:t>Recomendações de Documentação</w:t>
      </w:r>
    </w:p>
    <w:p/>
    <w:p>
      <w:pPr>
        <w:jc w:val="center"/>
      </w:pPr>
      <w:r>
        <w:rPr>
          <w:color w:val="566573"/>
          <w:sz w:val="24"/>
        </w:rPr>
        <w:t>Versão 2.2 — Março 2026</w:t>
      </w:r>
    </w:p>
    <w:p/>
    <w:p>
      <w:pPr>
        <w:jc w:val="center"/>
      </w:pPr>
      <w:r>
        <w:rPr>
          <w:color w:val="808B96"/>
          <w:sz w:val="22"/>
        </w:rPr>
        <w:t>Preparado por Claude — 28 de março de 2026</w:t>
      </w:r>
    </w:p>
    <w:p>
      <w:r>
        <w:br w:type="page"/>
      </w:r>
    </w:p>
    <w:p>
      <w:pPr>
        <w:pStyle w:val="Heading1"/>
      </w:pPr>
      <w:r>
        <w:t>Sumário</w:t>
      </w:r>
    </w:p>
    <w:p>
      <w:r>
        <w:rPr>
          <w:color w:val="1F618D"/>
          <w:sz w:val="24"/>
        </w:rPr>
        <w:t>1.  Resumo Executivo</w:t>
      </w:r>
    </w:p>
    <w:p>
      <w:r>
        <w:rPr>
          <w:color w:val="1F618D"/>
          <w:sz w:val="24"/>
        </w:rPr>
        <w:t>2.  Visão Geral do Projeto</w:t>
      </w:r>
    </w:p>
    <w:p>
      <w:r>
        <w:rPr>
          <w:color w:val="1F618D"/>
          <w:sz w:val="24"/>
        </w:rPr>
        <w:t>3.  Análise da Arquitetura</w:t>
      </w:r>
    </w:p>
    <w:p>
      <w:r>
        <w:rPr>
          <w:color w:val="1F618D"/>
          <w:sz w:val="24"/>
        </w:rPr>
        <w:t>4.  Análise do Código-Fonte</w:t>
      </w:r>
    </w:p>
    <w:p>
      <w:r>
        <w:rPr>
          <w:color w:val="1F618D"/>
          <w:sz w:val="24"/>
        </w:rPr>
        <w:t>5.  Análise de Segurança</w:t>
      </w:r>
    </w:p>
    <w:p>
      <w:r>
        <w:rPr>
          <w:color w:val="1F618D"/>
          <w:sz w:val="24"/>
        </w:rPr>
        <w:t>6.  Análise de Testes</w:t>
      </w:r>
    </w:p>
    <w:p>
      <w:r>
        <w:rPr>
          <w:color w:val="1F618D"/>
          <w:sz w:val="24"/>
        </w:rPr>
        <w:t>7.  Avaliação da Documentação Existente</w:t>
      </w:r>
    </w:p>
    <w:p>
      <w:r>
        <w:rPr>
          <w:color w:val="1F618D"/>
          <w:sz w:val="24"/>
        </w:rPr>
        <w:t>8.  Recomendações: Documentação a Criar</w:t>
      </w:r>
    </w:p>
    <w:p>
      <w:r>
        <w:rPr>
          <w:color w:val="1F618D"/>
          <w:sz w:val="24"/>
        </w:rPr>
        <w:t>9.  Recomendações: Documentação a Melhorar</w:t>
      </w:r>
    </w:p>
    <w:p>
      <w:r>
        <w:rPr>
          <w:color w:val="1F618D"/>
          <w:sz w:val="24"/>
        </w:rPr>
        <w:t>10.  Plano de Ação Priorizado</w:t>
      </w:r>
    </w:p>
    <w:p>
      <w:r>
        <w:rPr>
          <w:color w:val="1F618D"/>
          <w:sz w:val="24"/>
        </w:rPr>
        <w:t>11.  Conclusão</w:t>
      </w:r>
    </w:p>
    <w:p>
      <w:r>
        <w:br w:type="page"/>
      </w:r>
    </w:p>
    <w:p>
      <w:pPr>
        <w:pStyle w:val="Heading1"/>
      </w:pPr>
      <w:r>
        <w:t>1. Resumo Executivo</w:t>
      </w:r>
    </w:p>
    <w:p>
      <w:r>
        <w:t>O Asset Manager Studio é um sistema de gestão patrimonial imobiliária construído com Next.js 16, React 19, Prisma (SQLite) e Google Gemini AI. O projeto possui aproximadamente 23.500 linhas de código TypeScript/TSX distribuídas em mais de 130 arquivos fonte, 157+ testes unitários e 39 testes E2E.</w:t>
      </w:r>
    </w:p>
    <w:p>
      <w:r>
        <w:t>A análise revela que o projeto já possui um README.md excepcionalmente completo e bem estruturado, cobrindo arquitetura, instalação, uso e decisões técnicas. No entanto, existem lacunas significativas em documentação técnica complementar que, se preenchidas, elevariam a maturidade do projeto para um nível profissional. As principais oportunidades identificadas são: documentação de API, guia de contribuição detalhado, documentação do schema de banco de dados, guias de operação/deploy e documentação inline no código-fonte.</w:t>
      </w:r>
    </w:p>
    <w:p>
      <w:pPr>
        <w:pStyle w:val="Heading2"/>
      </w:pPr>
      <w:r>
        <w:t>Métricas-Chave do Projeto</w:t>
      </w:r>
    </w:p>
    <w:tbl>
      <w:tblPr>
        <w:tblStyle w:val="LightGrid-Accent1"/>
        <w:tblW w:type="auto" w:w="0"/>
        <w:jc w:val="left"/>
        <w:tblLook w:firstColumn="1" w:firstRow="1" w:lastColumn="0" w:lastRow="0" w:noHBand="0" w:noVBand="1" w:val="04A0"/>
      </w:tblPr>
      <w:tblGrid>
        <w:gridCol w:w="4677"/>
        <w:gridCol w:w="4677"/>
      </w:tblGrid>
      <w:tr>
        <w:tc>
          <w:tcPr>
            <w:tcW w:type="dxa" w:w="4535"/>
            <w:shd w:fill="1B4F72" w:val="clear"/>
          </w:tcPr>
          <w:p>
            <w:pPr>
              <w:jc w:val="left"/>
            </w:pPr>
            <w:r>
              <w:rPr>
                <w:rFonts w:ascii="Calibri" w:hAnsi="Calibri"/>
                <w:b/>
                <w:color w:val="FFFFFF"/>
                <w:sz w:val="20"/>
              </w:rPr>
              <w:t>Métrica</w:t>
            </w:r>
          </w:p>
        </w:tc>
        <w:tc>
          <w:tcPr>
            <w:tcW w:type="dxa" w:w="4535"/>
            <w:shd w:fill="1B4F72" w:val="clear"/>
          </w:tcPr>
          <w:p>
            <w:pPr>
              <w:jc w:val="left"/>
            </w:pPr>
            <w:r>
              <w:rPr>
                <w:rFonts w:ascii="Calibri" w:hAnsi="Calibri"/>
                <w:b/>
                <w:color w:val="FFFFFF"/>
                <w:sz w:val="20"/>
              </w:rPr>
              <w:t>Valor</w:t>
            </w:r>
          </w:p>
        </w:tc>
      </w:tr>
      <w:tr>
        <w:tc>
          <w:tcPr>
            <w:tcW w:type="dxa" w:w="4535"/>
          </w:tcPr>
          <w:p>
            <w:r>
              <w:rPr>
                <w:rFonts w:ascii="Calibri" w:hAnsi="Calibri"/>
                <w:sz w:val="20"/>
              </w:rPr>
              <w:t>Linhas de código (TS/TSX)</w:t>
            </w:r>
          </w:p>
        </w:tc>
        <w:tc>
          <w:tcPr>
            <w:tcW w:type="dxa" w:w="4535"/>
          </w:tcPr>
          <w:p>
            <w:r>
              <w:rPr>
                <w:rFonts w:ascii="Calibri" w:hAnsi="Calibri"/>
                <w:sz w:val="20"/>
              </w:rPr>
              <w:t>~23.500</w:t>
            </w:r>
          </w:p>
        </w:tc>
      </w:tr>
      <w:tr>
        <w:tc>
          <w:tcPr>
            <w:tcW w:type="dxa" w:w="4535"/>
          </w:tcPr>
          <w:p>
            <w:r>
              <w:rPr>
                <w:rFonts w:ascii="Calibri" w:hAnsi="Calibri"/>
                <w:sz w:val="20"/>
              </w:rPr>
              <w:t>Arquivos fonte</w:t>
            </w:r>
          </w:p>
        </w:tc>
        <w:tc>
          <w:tcPr>
            <w:tcW w:type="dxa" w:w="4535"/>
          </w:tcPr>
          <w:p>
            <w:r>
              <w:rPr>
                <w:rFonts w:ascii="Calibri" w:hAnsi="Calibri"/>
                <w:sz w:val="20"/>
              </w:rPr>
              <w:t>130+</w:t>
            </w:r>
          </w:p>
        </w:tc>
      </w:tr>
      <w:tr>
        <w:tc>
          <w:tcPr>
            <w:tcW w:type="dxa" w:w="4535"/>
          </w:tcPr>
          <w:p>
            <w:r>
              <w:rPr>
                <w:rFonts w:ascii="Calibri" w:hAnsi="Calibri"/>
                <w:sz w:val="20"/>
              </w:rPr>
              <w:t>Server Actions</w:t>
            </w:r>
          </w:p>
        </w:tc>
        <w:tc>
          <w:tcPr>
            <w:tcW w:type="dxa" w:w="4535"/>
          </w:tcPr>
          <w:p>
            <w:r>
              <w:rPr>
                <w:rFonts w:ascii="Calibri" w:hAnsi="Calibri"/>
                <w:sz w:val="20"/>
              </w:rPr>
              <w:t>8 arquivos</w:t>
            </w:r>
          </w:p>
        </w:tc>
      </w:tr>
      <w:tr>
        <w:tc>
          <w:tcPr>
            <w:tcW w:type="dxa" w:w="4535"/>
          </w:tcPr>
          <w:p>
            <w:r>
              <w:rPr>
                <w:rFonts w:ascii="Calibri" w:hAnsi="Calibri"/>
                <w:sz w:val="20"/>
              </w:rPr>
              <w:t>API Routes</w:t>
            </w:r>
          </w:p>
        </w:tc>
        <w:tc>
          <w:tcPr>
            <w:tcW w:type="dxa" w:w="4535"/>
          </w:tcPr>
          <w:p>
            <w:r>
              <w:rPr>
                <w:rFonts w:ascii="Calibri" w:hAnsi="Calibri"/>
                <w:sz w:val="20"/>
              </w:rPr>
              <w:t>8 endpoints</w:t>
            </w:r>
          </w:p>
        </w:tc>
      </w:tr>
      <w:tr>
        <w:tc>
          <w:tcPr>
            <w:tcW w:type="dxa" w:w="4535"/>
          </w:tcPr>
          <w:p>
            <w:r>
              <w:rPr>
                <w:rFonts w:ascii="Calibri" w:hAnsi="Calibri"/>
                <w:sz w:val="20"/>
              </w:rPr>
              <w:t>Componentes React</w:t>
            </w:r>
          </w:p>
        </w:tc>
        <w:tc>
          <w:tcPr>
            <w:tcW w:type="dxa" w:w="4535"/>
          </w:tcPr>
          <w:p>
            <w:r>
              <w:rPr>
                <w:rFonts w:ascii="Calibri" w:hAnsi="Calibri"/>
                <w:sz w:val="20"/>
              </w:rPr>
              <w:t>50+ componentes</w:t>
            </w:r>
          </w:p>
        </w:tc>
      </w:tr>
      <w:tr>
        <w:tc>
          <w:tcPr>
            <w:tcW w:type="dxa" w:w="4535"/>
          </w:tcPr>
          <w:p>
            <w:r>
              <w:rPr>
                <w:rFonts w:ascii="Calibri" w:hAnsi="Calibri"/>
                <w:sz w:val="20"/>
              </w:rPr>
              <w:t>Páginas (App Router)</w:t>
            </w:r>
          </w:p>
        </w:tc>
        <w:tc>
          <w:tcPr>
            <w:tcW w:type="dxa" w:w="4535"/>
          </w:tcPr>
          <w:p>
            <w:r>
              <w:rPr>
                <w:rFonts w:ascii="Calibri" w:hAnsi="Calibri"/>
                <w:sz w:val="20"/>
              </w:rPr>
              <w:t>25+ rotas</w:t>
            </w:r>
          </w:p>
        </w:tc>
      </w:tr>
      <w:tr>
        <w:tc>
          <w:tcPr>
            <w:tcW w:type="dxa" w:w="4535"/>
          </w:tcPr>
          <w:p>
            <w:r>
              <w:rPr>
                <w:rFonts w:ascii="Calibri" w:hAnsi="Calibri"/>
                <w:sz w:val="20"/>
              </w:rPr>
              <w:t>Testes unitários (Vitest)</w:t>
            </w:r>
          </w:p>
        </w:tc>
        <w:tc>
          <w:tcPr>
            <w:tcW w:type="dxa" w:w="4535"/>
          </w:tcPr>
          <w:p>
            <w:r>
              <w:rPr>
                <w:rFonts w:ascii="Calibri" w:hAnsi="Calibri"/>
                <w:sz w:val="20"/>
              </w:rPr>
              <w:t>157+</w:t>
            </w:r>
          </w:p>
        </w:tc>
      </w:tr>
      <w:tr>
        <w:tc>
          <w:tcPr>
            <w:tcW w:type="dxa" w:w="4535"/>
          </w:tcPr>
          <w:p>
            <w:r>
              <w:rPr>
                <w:rFonts w:ascii="Calibri" w:hAnsi="Calibri"/>
                <w:sz w:val="20"/>
              </w:rPr>
              <w:t>Testes E2E (Playwright)</w:t>
            </w:r>
          </w:p>
        </w:tc>
        <w:tc>
          <w:tcPr>
            <w:tcW w:type="dxa" w:w="4535"/>
          </w:tcPr>
          <w:p>
            <w:r>
              <w:rPr>
                <w:rFonts w:ascii="Calibri" w:hAnsi="Calibri"/>
                <w:sz w:val="20"/>
              </w:rPr>
              <w:t>39</w:t>
            </w:r>
          </w:p>
        </w:tc>
      </w:tr>
      <w:tr>
        <w:tc>
          <w:tcPr>
            <w:tcW w:type="dxa" w:w="4535"/>
          </w:tcPr>
          <w:p>
            <w:r>
              <w:rPr>
                <w:rFonts w:ascii="Calibri" w:hAnsi="Calibri"/>
                <w:sz w:val="20"/>
              </w:rPr>
              <w:t>Modelos Prisma</w:t>
            </w:r>
          </w:p>
        </w:tc>
        <w:tc>
          <w:tcPr>
            <w:tcW w:type="dxa" w:w="4535"/>
          </w:tcPr>
          <w:p>
            <w:r>
              <w:rPr>
                <w:rFonts w:ascii="Calibri" w:hAnsi="Calibri"/>
                <w:sz w:val="20"/>
              </w:rPr>
              <w:t>11 entidades</w:t>
            </w:r>
          </w:p>
        </w:tc>
      </w:tr>
      <w:tr>
        <w:tc>
          <w:tcPr>
            <w:tcW w:type="dxa" w:w="4535"/>
          </w:tcPr>
          <w:p>
            <w:r>
              <w:rPr>
                <w:rFonts w:ascii="Calibri" w:hAnsi="Calibri"/>
                <w:sz w:val="20"/>
              </w:rPr>
              <w:t>Integrações externas</w:t>
            </w:r>
          </w:p>
        </w:tc>
        <w:tc>
          <w:tcPr>
            <w:tcW w:type="dxa" w:w="4535"/>
          </w:tcPr>
          <w:p>
            <w:r>
              <w:rPr>
                <w:rFonts w:ascii="Calibri" w:hAnsi="Calibri"/>
                <w:sz w:val="20"/>
              </w:rPr>
              <w:t>3 (Gemini, Gmail, BCB)</w:t>
            </w:r>
          </w:p>
        </w:tc>
      </w:tr>
    </w:tbl>
    <w:p/>
    <w:p>
      <w:pPr>
        <w:pStyle w:val="Heading1"/>
      </w:pPr>
      <w:r>
        <w:t>2. Visão Geral do Projeto</w:t>
      </w:r>
    </w:p>
    <w:p>
      <w:r>
        <w:t>O sistema centraliza a administração de imóveis, inquilinos, contratos e documentos fiscais. Foi projetado para investidores e administradores de carteiras imobiliárias, com funcionalidades que incluem:</w:t>
      </w:r>
    </w:p>
    <w:p>
      <w:pPr>
        <w:pStyle w:val="ListBullet"/>
      </w:pPr>
      <w:r>
        <w:rPr>
          <w:b/>
          <w:sz w:val="22"/>
        </w:rPr>
        <w:t xml:space="preserve">Gestão de Imóveis — </w:t>
      </w:r>
      <w:r>
        <w:t>CRUD completo com wizard de 4 etapas, importação IRPF via IA, tabela editável</w:t>
      </w:r>
    </w:p>
    <w:p>
      <w:pPr>
        <w:pStyle w:val="ListBullet"/>
      </w:pPr>
      <w:r>
        <w:rPr>
          <w:b/>
          <w:sz w:val="22"/>
        </w:rPr>
        <w:t xml:space="preserve">Gestão Financeira — </w:t>
      </w:r>
      <w:r>
        <w:t>Projeção de fluxo de caixa, simulação SAC/PRICE, cronograma de financiamento</w:t>
      </w:r>
    </w:p>
    <w:p>
      <w:pPr>
        <w:pStyle w:val="ListBullet"/>
      </w:pPr>
      <w:r>
        <w:rPr>
          <w:b/>
          <w:sz w:val="22"/>
        </w:rPr>
        <w:t xml:space="preserve">Inquilinos e Contratos — </w:t>
      </w:r>
      <w:r>
        <w:t>Cadastro, histórico de pagamentos, reajuste IPCA automático</w:t>
      </w:r>
    </w:p>
    <w:p>
      <w:pPr>
        <w:pStyle w:val="ListBullet"/>
      </w:pPr>
      <w:r>
        <w:rPr>
          <w:b/>
          <w:sz w:val="22"/>
        </w:rPr>
        <w:t xml:space="preserve">Notas Fiscais — </w:t>
      </w:r>
      <w:r>
        <w:t>Extração via IA (upload e Gmail), categorização automática</w:t>
      </w:r>
    </w:p>
    <w:p>
      <w:pPr>
        <w:pStyle w:val="ListBullet"/>
      </w:pPr>
      <w:r>
        <w:rPr>
          <w:b/>
          <w:sz w:val="22"/>
        </w:rPr>
        <w:t xml:space="preserve">Conciliação PIX — </w:t>
      </w:r>
      <w:r>
        <w:t>Matching automático de extratos com aprendizado de aliases</w:t>
      </w:r>
    </w:p>
    <w:p>
      <w:pPr>
        <w:pStyle w:val="ListBullet"/>
      </w:pPr>
      <w:r>
        <w:rPr>
          <w:b/>
          <w:sz w:val="22"/>
        </w:rPr>
        <w:t xml:space="preserve">Relatórios — </w:t>
      </w:r>
      <w:r>
        <w:t>Executivo, individual por imóvel, auditoria do sistema</w:t>
      </w:r>
    </w:p>
    <w:p>
      <w:pPr>
        <w:pStyle w:val="Heading2"/>
      </w:pPr>
      <w:r>
        <w:t>Stack Tecnológico</w:t>
      </w:r>
    </w:p>
    <w:tbl>
      <w:tblPr>
        <w:tblStyle w:val="LightGrid-Accent1"/>
        <w:tblW w:type="auto" w:w="0"/>
        <w:jc w:val="left"/>
        <w:tblLook w:firstColumn="1" w:firstRow="1" w:lastColumn="0" w:lastRow="0" w:noHBand="0" w:noVBand="1" w:val="04A0"/>
      </w:tblPr>
      <w:tblGrid>
        <w:gridCol w:w="3118"/>
        <w:gridCol w:w="3118"/>
        <w:gridCol w:w="3118"/>
      </w:tblGrid>
      <w:tr>
        <w:tc>
          <w:tcPr>
            <w:tcW w:type="dxa" w:w="2268"/>
            <w:shd w:fill="1B4F72" w:val="clear"/>
          </w:tcPr>
          <w:p>
            <w:pPr>
              <w:jc w:val="left"/>
            </w:pPr>
            <w:r>
              <w:rPr>
                <w:rFonts w:ascii="Calibri" w:hAnsi="Calibri"/>
                <w:b/>
                <w:color w:val="FFFFFF"/>
                <w:sz w:val="20"/>
              </w:rPr>
              <w:t>Camada</w:t>
            </w:r>
          </w:p>
        </w:tc>
        <w:tc>
          <w:tcPr>
            <w:tcW w:type="dxa" w:w="4535"/>
            <w:shd w:fill="1B4F72" w:val="clear"/>
          </w:tcPr>
          <w:p>
            <w:pPr>
              <w:jc w:val="left"/>
            </w:pPr>
            <w:r>
              <w:rPr>
                <w:rFonts w:ascii="Calibri" w:hAnsi="Calibri"/>
                <w:b/>
                <w:color w:val="FFFFFF"/>
                <w:sz w:val="20"/>
              </w:rPr>
              <w:t>Tecnologia</w:t>
            </w:r>
          </w:p>
        </w:tc>
        <w:tc>
          <w:tcPr>
            <w:tcW w:type="dxa" w:w="2268"/>
            <w:shd w:fill="1B4F72" w:val="clear"/>
          </w:tcPr>
          <w:p>
            <w:pPr>
              <w:jc w:val="left"/>
            </w:pPr>
            <w:r>
              <w:rPr>
                <w:rFonts w:ascii="Calibri" w:hAnsi="Calibri"/>
                <w:b/>
                <w:color w:val="FFFFFF"/>
                <w:sz w:val="20"/>
              </w:rPr>
              <w:t>Versão</w:t>
            </w:r>
          </w:p>
        </w:tc>
      </w:tr>
      <w:tr>
        <w:tc>
          <w:tcPr>
            <w:tcW w:type="dxa" w:w="2268"/>
          </w:tcPr>
          <w:p>
            <w:r>
              <w:rPr>
                <w:rFonts w:ascii="Calibri" w:hAnsi="Calibri"/>
                <w:sz w:val="20"/>
              </w:rPr>
              <w:t>Framework</w:t>
            </w:r>
          </w:p>
        </w:tc>
        <w:tc>
          <w:tcPr>
            <w:tcW w:type="dxa" w:w="4535"/>
          </w:tcPr>
          <w:p>
            <w:r>
              <w:rPr>
                <w:rFonts w:ascii="Calibri" w:hAnsi="Calibri"/>
                <w:sz w:val="20"/>
              </w:rPr>
              <w:t>Next.js (App Router, Turbopack)</w:t>
            </w:r>
          </w:p>
        </w:tc>
        <w:tc>
          <w:tcPr>
            <w:tcW w:type="dxa" w:w="2268"/>
          </w:tcPr>
          <w:p>
            <w:r>
              <w:rPr>
                <w:rFonts w:ascii="Calibri" w:hAnsi="Calibri"/>
                <w:sz w:val="20"/>
              </w:rPr>
              <w:t>16.1</w:t>
            </w:r>
          </w:p>
        </w:tc>
      </w:tr>
      <w:tr>
        <w:tc>
          <w:tcPr>
            <w:tcW w:type="dxa" w:w="2268"/>
          </w:tcPr>
          <w:p>
            <w:r>
              <w:rPr>
                <w:rFonts w:ascii="Calibri" w:hAnsi="Calibri"/>
                <w:sz w:val="20"/>
              </w:rPr>
              <w:t>Interface</w:t>
            </w:r>
          </w:p>
        </w:tc>
        <w:tc>
          <w:tcPr>
            <w:tcW w:type="dxa" w:w="4535"/>
          </w:tcPr>
          <w:p>
            <w:r>
              <w:rPr>
                <w:rFonts w:ascii="Calibri" w:hAnsi="Calibri"/>
                <w:sz w:val="20"/>
              </w:rPr>
              <w:t>React + Tailwind CSS</w:t>
            </w:r>
          </w:p>
        </w:tc>
        <w:tc>
          <w:tcPr>
            <w:tcW w:type="dxa" w:w="2268"/>
          </w:tcPr>
          <w:p>
            <w:r>
              <w:rPr>
                <w:rFonts w:ascii="Calibri" w:hAnsi="Calibri"/>
                <w:sz w:val="20"/>
              </w:rPr>
              <w:t>19 / v4</w:t>
            </w:r>
          </w:p>
        </w:tc>
      </w:tr>
      <w:tr>
        <w:tc>
          <w:tcPr>
            <w:tcW w:type="dxa" w:w="2268"/>
          </w:tcPr>
          <w:p>
            <w:r>
              <w:rPr>
                <w:rFonts w:ascii="Calibri" w:hAnsi="Calibri"/>
                <w:sz w:val="20"/>
              </w:rPr>
              <w:t>Banco de Dados</w:t>
            </w:r>
          </w:p>
        </w:tc>
        <w:tc>
          <w:tcPr>
            <w:tcW w:type="dxa" w:w="4535"/>
          </w:tcPr>
          <w:p>
            <w:r>
              <w:rPr>
                <w:rFonts w:ascii="Calibri" w:hAnsi="Calibri"/>
                <w:sz w:val="20"/>
              </w:rPr>
              <w:t>Prisma ORM (SQLite)</w:t>
            </w:r>
          </w:p>
        </w:tc>
        <w:tc>
          <w:tcPr>
            <w:tcW w:type="dxa" w:w="2268"/>
          </w:tcPr>
          <w:p>
            <w:r>
              <w:rPr>
                <w:rFonts w:ascii="Calibri" w:hAnsi="Calibri"/>
                <w:sz w:val="20"/>
              </w:rPr>
              <w:t>6.19</w:t>
            </w:r>
          </w:p>
        </w:tc>
      </w:tr>
      <w:tr>
        <w:tc>
          <w:tcPr>
            <w:tcW w:type="dxa" w:w="2268"/>
          </w:tcPr>
          <w:p>
            <w:r>
              <w:rPr>
                <w:rFonts w:ascii="Calibri" w:hAnsi="Calibri"/>
                <w:sz w:val="20"/>
              </w:rPr>
              <w:t>IA / Extração</w:t>
            </w:r>
          </w:p>
        </w:tc>
        <w:tc>
          <w:tcPr>
            <w:tcW w:type="dxa" w:w="4535"/>
          </w:tcPr>
          <w:p>
            <w:r>
              <w:rPr>
                <w:rFonts w:ascii="Calibri" w:hAnsi="Calibri"/>
                <w:sz w:val="20"/>
              </w:rPr>
              <w:t>Google Gemini API</w:t>
            </w:r>
          </w:p>
        </w:tc>
        <w:tc>
          <w:tcPr>
            <w:tcW w:type="dxa" w:w="2268"/>
          </w:tcPr>
          <w:p>
            <w:r>
              <w:rPr>
                <w:rFonts w:ascii="Calibri" w:hAnsi="Calibri"/>
                <w:sz w:val="20"/>
              </w:rPr>
              <w:t>2.5 Flash</w:t>
            </w:r>
          </w:p>
        </w:tc>
      </w:tr>
      <w:tr>
        <w:tc>
          <w:tcPr>
            <w:tcW w:type="dxa" w:w="2268"/>
          </w:tcPr>
          <w:p>
            <w:r>
              <w:rPr>
                <w:rFonts w:ascii="Calibri" w:hAnsi="Calibri"/>
                <w:sz w:val="20"/>
              </w:rPr>
              <w:t>Autenticação</w:t>
            </w:r>
          </w:p>
        </w:tc>
        <w:tc>
          <w:tcPr>
            <w:tcW w:type="dxa" w:w="4535"/>
          </w:tcPr>
          <w:p>
            <w:r>
              <w:rPr>
                <w:rFonts w:ascii="Calibri" w:hAnsi="Calibri"/>
                <w:sz w:val="20"/>
              </w:rPr>
              <w:t>Auth.js (Google OAuth, JWT)</w:t>
            </w:r>
          </w:p>
        </w:tc>
        <w:tc>
          <w:tcPr>
            <w:tcW w:type="dxa" w:w="2268"/>
          </w:tcPr>
          <w:p>
            <w:r>
              <w:rPr>
                <w:rFonts w:ascii="Calibri" w:hAnsi="Calibri"/>
                <w:sz w:val="20"/>
              </w:rPr>
              <w:t>v5 beta</w:t>
            </w:r>
          </w:p>
        </w:tc>
      </w:tr>
      <w:tr>
        <w:tc>
          <w:tcPr>
            <w:tcW w:type="dxa" w:w="2268"/>
          </w:tcPr>
          <w:p>
            <w:r>
              <w:rPr>
                <w:rFonts w:ascii="Calibri" w:hAnsi="Calibri"/>
                <w:sz w:val="20"/>
              </w:rPr>
              <w:t>UI Components</w:t>
            </w:r>
          </w:p>
        </w:tc>
        <w:tc>
          <w:tcPr>
            <w:tcW w:type="dxa" w:w="4535"/>
          </w:tcPr>
          <w:p>
            <w:r>
              <w:rPr>
                <w:rFonts w:ascii="Calibri" w:hAnsi="Calibri"/>
                <w:sz w:val="20"/>
              </w:rPr>
              <w:t>Radix UI, Recharts, Lucide</w:t>
            </w:r>
          </w:p>
        </w:tc>
        <w:tc>
          <w:tcPr>
            <w:tcW w:type="dxa" w:w="2268"/>
          </w:tcPr>
          <w:p>
            <w:r>
              <w:rPr>
                <w:rFonts w:ascii="Calibri" w:hAnsi="Calibri"/>
                <w:sz w:val="20"/>
              </w:rPr>
              <w:t>—</w:t>
            </w:r>
          </w:p>
        </w:tc>
      </w:tr>
      <w:tr>
        <w:tc>
          <w:tcPr>
            <w:tcW w:type="dxa" w:w="2268"/>
          </w:tcPr>
          <w:p>
            <w:r>
              <w:rPr>
                <w:rFonts w:ascii="Calibri" w:hAnsi="Calibri"/>
                <w:sz w:val="20"/>
              </w:rPr>
              <w:t>Formulários</w:t>
            </w:r>
          </w:p>
        </w:tc>
        <w:tc>
          <w:tcPr>
            <w:tcW w:type="dxa" w:w="4535"/>
          </w:tcPr>
          <w:p>
            <w:r>
              <w:rPr>
                <w:rFonts w:ascii="Calibri" w:hAnsi="Calibri"/>
                <w:sz w:val="20"/>
              </w:rPr>
              <w:t>React Hook Form + Zod</w:t>
            </w:r>
          </w:p>
        </w:tc>
        <w:tc>
          <w:tcPr>
            <w:tcW w:type="dxa" w:w="2268"/>
          </w:tcPr>
          <w:p>
            <w:r>
              <w:rPr>
                <w:rFonts w:ascii="Calibri" w:hAnsi="Calibri"/>
                <w:sz w:val="20"/>
              </w:rPr>
              <w:t>v7 / v4</w:t>
            </w:r>
          </w:p>
        </w:tc>
      </w:tr>
      <w:tr>
        <w:tc>
          <w:tcPr>
            <w:tcW w:type="dxa" w:w="2268"/>
          </w:tcPr>
          <w:p>
            <w:r>
              <w:rPr>
                <w:rFonts w:ascii="Calibri" w:hAnsi="Calibri"/>
                <w:sz w:val="20"/>
              </w:rPr>
              <w:t>PDF</w:t>
            </w:r>
          </w:p>
        </w:tc>
        <w:tc>
          <w:tcPr>
            <w:tcW w:type="dxa" w:w="4535"/>
          </w:tcPr>
          <w:p>
            <w:r>
              <w:rPr>
                <w:rFonts w:ascii="Calibri" w:hAnsi="Calibri"/>
                <w:sz w:val="20"/>
              </w:rPr>
              <w:t>pdfjs-dist</w:t>
            </w:r>
          </w:p>
        </w:tc>
        <w:tc>
          <w:tcPr>
            <w:tcW w:type="dxa" w:w="2268"/>
          </w:tcPr>
          <w:p>
            <w:r>
              <w:rPr>
                <w:rFonts w:ascii="Calibri" w:hAnsi="Calibri"/>
                <w:sz w:val="20"/>
              </w:rPr>
              <w:t>5.4</w:t>
            </w:r>
          </w:p>
        </w:tc>
      </w:tr>
      <w:tr>
        <w:tc>
          <w:tcPr>
            <w:tcW w:type="dxa" w:w="2268"/>
          </w:tcPr>
          <w:p>
            <w:r>
              <w:rPr>
                <w:rFonts w:ascii="Calibri" w:hAnsi="Calibri"/>
                <w:sz w:val="20"/>
              </w:rPr>
              <w:t>Testes Unit</w:t>
            </w:r>
          </w:p>
        </w:tc>
        <w:tc>
          <w:tcPr>
            <w:tcW w:type="dxa" w:w="4535"/>
          </w:tcPr>
          <w:p>
            <w:r>
              <w:rPr>
                <w:rFonts w:ascii="Calibri" w:hAnsi="Calibri"/>
                <w:sz w:val="20"/>
              </w:rPr>
              <w:t>Vitest + Coverage V8</w:t>
            </w:r>
          </w:p>
        </w:tc>
        <w:tc>
          <w:tcPr>
            <w:tcW w:type="dxa" w:w="2268"/>
          </w:tcPr>
          <w:p>
            <w:r>
              <w:rPr>
                <w:rFonts w:ascii="Calibri" w:hAnsi="Calibri"/>
                <w:sz w:val="20"/>
              </w:rPr>
              <w:t>4.1</w:t>
            </w:r>
          </w:p>
        </w:tc>
      </w:tr>
      <w:tr>
        <w:tc>
          <w:tcPr>
            <w:tcW w:type="dxa" w:w="2268"/>
          </w:tcPr>
          <w:p>
            <w:r>
              <w:rPr>
                <w:rFonts w:ascii="Calibri" w:hAnsi="Calibri"/>
                <w:sz w:val="20"/>
              </w:rPr>
              <w:t>Testes E2E</w:t>
            </w:r>
          </w:p>
        </w:tc>
        <w:tc>
          <w:tcPr>
            <w:tcW w:type="dxa" w:w="4535"/>
          </w:tcPr>
          <w:p>
            <w:r>
              <w:rPr>
                <w:rFonts w:ascii="Calibri" w:hAnsi="Calibri"/>
                <w:sz w:val="20"/>
              </w:rPr>
              <w:t>Playwright (Chromium)</w:t>
            </w:r>
          </w:p>
        </w:tc>
        <w:tc>
          <w:tcPr>
            <w:tcW w:type="dxa" w:w="2268"/>
          </w:tcPr>
          <w:p>
            <w:r>
              <w:rPr>
                <w:rFonts w:ascii="Calibri" w:hAnsi="Calibri"/>
                <w:sz w:val="20"/>
              </w:rPr>
              <w:t>1.58</w:t>
            </w:r>
          </w:p>
        </w:tc>
      </w:tr>
    </w:tbl>
    <w:p/>
    <w:p>
      <w:pPr>
        <w:pStyle w:val="Heading1"/>
      </w:pPr>
      <w:r>
        <w:t>3. Análise da Arquitetura</w:t>
      </w:r>
    </w:p>
    <w:p>
      <w:pPr>
        <w:pStyle w:val="Heading2"/>
      </w:pPr>
      <w:r>
        <w:t>Pontos Fortes</w:t>
      </w:r>
    </w:p>
    <w:p>
      <w:pPr>
        <w:pStyle w:val="ListBullet"/>
      </w:pPr>
      <w:r>
        <w:rPr>
          <w:b/>
          <w:sz w:val="22"/>
        </w:rPr>
        <w:t xml:space="preserve">Separação clara de responsabilidades: </w:t>
      </w:r>
      <w:r>
        <w:t>Actions (mutations), API Routes (REST), lib (utilitários), context (estado global), services (integrações externas).</w:t>
      </w:r>
    </w:p>
    <w:p>
      <w:pPr>
        <w:pStyle w:val="ListBullet"/>
      </w:pPr>
      <w:r>
        <w:rPr>
          <w:b/>
          <w:sz w:val="22"/>
        </w:rPr>
        <w:t xml:space="preserve">Validação robusta: </w:t>
      </w:r>
      <w:r>
        <w:t>Zod schemas unificados para validação de input e tipagem TypeScript em action-schemas.ts e validations.ts.</w:t>
      </w:r>
    </w:p>
    <w:p>
      <w:pPr>
        <w:pStyle w:val="ListBullet"/>
      </w:pPr>
      <w:r>
        <w:rPr>
          <w:b/>
          <w:sz w:val="22"/>
        </w:rPr>
        <w:t xml:space="preserve">Segurança em camadas: </w:t>
      </w:r>
      <w:r>
        <w:t>CSP, rate limiting, CSRF, RBAC e security headers implementados tanto no middleware quanto no next.config.ts.</w:t>
      </w:r>
    </w:p>
    <w:p>
      <w:pPr>
        <w:pStyle w:val="ListBullet"/>
      </w:pPr>
      <w:r>
        <w:rPr>
          <w:b/>
          <w:sz w:val="22"/>
        </w:rPr>
        <w:t xml:space="preserve">Padrão consistente de Server Actions: </w:t>
      </w:r>
      <w:r>
        <w:t>Todas as mutations usam "use server" com auth guard e validação Zod antes da operação.</w:t>
      </w:r>
    </w:p>
    <w:p>
      <w:pPr>
        <w:pStyle w:val="ListBullet"/>
      </w:pPr>
      <w:r>
        <w:rPr>
          <w:b/>
          <w:sz w:val="22"/>
        </w:rPr>
        <w:t xml:space="preserve">Auditoria centralizada: </w:t>
      </w:r>
      <w:r>
        <w:t>SystemAuditLog registra CREATE, UPDATE, DELETE e LEARN_ALIAS com detalhes em JSON.</w:t>
      </w:r>
    </w:p>
    <w:p>
      <w:pPr>
        <w:pStyle w:val="Heading2"/>
      </w:pPr>
      <w:r>
        <w:t>Pontos de Atenção</w:t>
      </w:r>
    </w:p>
    <w:p>
      <w:pPr>
        <w:pStyle w:val="ListBullet"/>
      </w:pPr>
      <w:r>
        <w:rPr>
          <w:b/>
          <w:sz w:val="22"/>
        </w:rPr>
        <w:t xml:space="preserve">Context API como state manager: </w:t>
      </w:r>
      <w:r>
        <w:t>AssetContext.tsx centraliza todo o estado (258 linhas). Com o crescimento, pode haver re-renders excessivos. Considerar migração para Zustand para módulos financeiros.</w:t>
      </w:r>
    </w:p>
    <w:p>
      <w:pPr>
        <w:pStyle w:val="ListBullet"/>
      </w:pPr>
      <w:r>
        <w:rPr>
          <w:b/>
          <w:sz w:val="22"/>
        </w:rPr>
        <w:t xml:space="preserve">JSON em campos texto: </w:t>
      </w:r>
      <w:r>
        <w:t>Financing.phases e Financing.cashFlow armazenam JSON como String no SQLite. Isso impede queries e validação a nível de banco.</w:t>
      </w:r>
    </w:p>
    <w:p>
      <w:pPr>
        <w:pStyle w:val="ListBullet"/>
      </w:pPr>
      <w:r>
        <w:rPr>
          <w:b/>
          <w:sz w:val="22"/>
        </w:rPr>
        <w:t xml:space="preserve">Modelo Lease duplicado: </w:t>
      </w:r>
      <w:r>
        <w:t>Existe tanto Lease (legado) quanto Contract (novo) associados ao Asset. A documentação não esclarece o plano de migração.</w:t>
      </w:r>
    </w:p>
    <w:p>
      <w:pPr>
        <w:pStyle w:val="ListBullet"/>
      </w:pPr>
      <w:r>
        <w:rPr>
          <w:b/>
          <w:sz w:val="22"/>
        </w:rPr>
        <w:t xml:space="preserve">Auth mock em desenvolvimento: </w:t>
      </w:r>
      <w:r>
        <w:t>requireAuth() retorna um usuário fixo em dev. O middleware tem o check de autenticação comentado com TODO.</w:t>
      </w:r>
    </w:p>
    <w:p>
      <w:pPr>
        <w:pStyle w:val="ListBullet"/>
      </w:pPr>
      <w:r>
        <w:rPr>
          <w:b/>
          <w:sz w:val="22"/>
        </w:rPr>
        <w:t xml:space="preserve">SQLite para produção: </w:t>
      </w:r>
      <w:r>
        <w:t>Adequado para MVP single-user, mas o README já identifica esta limitação.</w:t>
      </w:r>
    </w:p>
    <w:p>
      <w:pPr>
        <w:pStyle w:val="Heading1"/>
      </w:pPr>
      <w:r>
        <w:t>4. Análise do Código-Fonte</w:t>
      </w:r>
    </w:p>
    <w:p>
      <w:pPr>
        <w:pStyle w:val="Heading2"/>
      </w:pPr>
      <w:r>
        <w:t>Distribuição do Código</w:t>
      </w:r>
    </w:p>
    <w:tbl>
      <w:tblPr>
        <w:tblStyle w:val="LightGrid-Accent1"/>
        <w:tblW w:type="auto" w:w="0"/>
        <w:jc w:val="left"/>
        <w:tblLook w:firstColumn="1" w:firstRow="1" w:lastColumn="0" w:lastRow="0" w:noHBand="0" w:noVBand="1" w:val="04A0"/>
      </w:tblPr>
      <w:tblGrid>
        <w:gridCol w:w="2339"/>
        <w:gridCol w:w="2339"/>
        <w:gridCol w:w="2339"/>
        <w:gridCol w:w="2339"/>
      </w:tblGrid>
      <w:tr>
        <w:tc>
          <w:tcPr>
            <w:tcW w:type="dxa" w:w="2268"/>
            <w:shd w:fill="1B4F72" w:val="clear"/>
          </w:tcPr>
          <w:p>
            <w:pPr>
              <w:jc w:val="left"/>
            </w:pPr>
            <w:r>
              <w:rPr>
                <w:rFonts w:ascii="Calibri" w:hAnsi="Calibri"/>
                <w:b/>
                <w:color w:val="FFFFFF"/>
                <w:sz w:val="20"/>
              </w:rPr>
              <w:t>Área</w:t>
            </w:r>
          </w:p>
        </w:tc>
        <w:tc>
          <w:tcPr>
            <w:tcW w:type="dxa" w:w="1134"/>
            <w:shd w:fill="1B4F72" w:val="clear"/>
          </w:tcPr>
          <w:p>
            <w:pPr>
              <w:jc w:val="left"/>
            </w:pPr>
            <w:r>
              <w:rPr>
                <w:rFonts w:ascii="Calibri" w:hAnsi="Calibri"/>
                <w:b/>
                <w:color w:val="FFFFFF"/>
                <w:sz w:val="20"/>
              </w:rPr>
              <w:t>Arquivos</w:t>
            </w:r>
          </w:p>
        </w:tc>
        <w:tc>
          <w:tcPr>
            <w:tcW w:type="dxa" w:w="1701"/>
            <w:shd w:fill="1B4F72" w:val="clear"/>
          </w:tcPr>
          <w:p>
            <w:pPr>
              <w:jc w:val="left"/>
            </w:pPr>
            <w:r>
              <w:rPr>
                <w:rFonts w:ascii="Calibri" w:hAnsi="Calibri"/>
                <w:b/>
                <w:color w:val="FFFFFF"/>
                <w:sz w:val="20"/>
              </w:rPr>
              <w:t>Linhas (aprox.)</w:t>
            </w:r>
          </w:p>
        </w:tc>
        <w:tc>
          <w:tcPr>
            <w:tcW w:type="dxa" w:w="3969"/>
            <w:shd w:fill="1B4F72" w:val="clear"/>
          </w:tcPr>
          <w:p>
            <w:pPr>
              <w:jc w:val="left"/>
            </w:pPr>
            <w:r>
              <w:rPr>
                <w:rFonts w:ascii="Calibri" w:hAnsi="Calibri"/>
                <w:b/>
                <w:color w:val="FFFFFF"/>
                <w:sz w:val="20"/>
              </w:rPr>
              <w:t>Observação</w:t>
            </w:r>
          </w:p>
        </w:tc>
      </w:tr>
      <w:tr>
        <w:tc>
          <w:tcPr>
            <w:tcW w:type="dxa" w:w="2268"/>
          </w:tcPr>
          <w:p>
            <w:r>
              <w:rPr>
                <w:rFonts w:ascii="Calibri" w:hAnsi="Calibri"/>
                <w:sz w:val="20"/>
              </w:rPr>
              <w:t>Server Actions</w:t>
            </w:r>
          </w:p>
        </w:tc>
        <w:tc>
          <w:tcPr>
            <w:tcW w:type="dxa" w:w="1134"/>
          </w:tcPr>
          <w:p>
            <w:r>
              <w:rPr>
                <w:rFonts w:ascii="Calibri" w:hAnsi="Calibri"/>
                <w:sz w:val="20"/>
              </w:rPr>
              <w:t>8</w:t>
            </w:r>
          </w:p>
        </w:tc>
        <w:tc>
          <w:tcPr>
            <w:tcW w:type="dxa" w:w="1701"/>
          </w:tcPr>
          <w:p>
            <w:r>
              <w:rPr>
                <w:rFonts w:ascii="Calibri" w:hAnsi="Calibri"/>
                <w:sz w:val="20"/>
              </w:rPr>
              <w:t>1.484</w:t>
            </w:r>
          </w:p>
        </w:tc>
        <w:tc>
          <w:tcPr>
            <w:tcW w:type="dxa" w:w="3969"/>
          </w:tcPr>
          <w:p>
            <w:r>
              <w:rPr>
                <w:rFonts w:ascii="Calibri" w:hAnsi="Calibri"/>
                <w:sz w:val="20"/>
              </w:rPr>
              <w:t>Bem estruturados com validação Zod</w:t>
            </w:r>
          </w:p>
        </w:tc>
      </w:tr>
      <w:tr>
        <w:tc>
          <w:tcPr>
            <w:tcW w:type="dxa" w:w="2268"/>
          </w:tcPr>
          <w:p>
            <w:r>
              <w:rPr>
                <w:rFonts w:ascii="Calibri" w:hAnsi="Calibri"/>
                <w:sz w:val="20"/>
              </w:rPr>
              <w:t>API Routes</w:t>
            </w:r>
          </w:p>
        </w:tc>
        <w:tc>
          <w:tcPr>
            <w:tcW w:type="dxa" w:w="1134"/>
          </w:tcPr>
          <w:p>
            <w:r>
              <w:rPr>
                <w:rFonts w:ascii="Calibri" w:hAnsi="Calibri"/>
                <w:sz w:val="20"/>
              </w:rPr>
              <w:t>8</w:t>
            </w:r>
          </w:p>
        </w:tc>
        <w:tc>
          <w:tcPr>
            <w:tcW w:type="dxa" w:w="1701"/>
          </w:tcPr>
          <w:p>
            <w:r>
              <w:rPr>
                <w:rFonts w:ascii="Calibri" w:hAnsi="Calibri"/>
                <w:sz w:val="20"/>
              </w:rPr>
              <w:t>~800</w:t>
            </w:r>
          </w:p>
        </w:tc>
        <w:tc>
          <w:tcPr>
            <w:tcW w:type="dxa" w:w="3969"/>
          </w:tcPr>
          <w:p>
            <w:r>
              <w:rPr>
                <w:rFonts w:ascii="Calibri" w:hAnsi="Calibri"/>
                <w:sz w:val="20"/>
              </w:rPr>
              <w:t>REST para invoices, AI, Gmail, Auth</w:t>
            </w:r>
          </w:p>
        </w:tc>
      </w:tr>
      <w:tr>
        <w:tc>
          <w:tcPr>
            <w:tcW w:type="dxa" w:w="2268"/>
          </w:tcPr>
          <w:p>
            <w:r>
              <w:rPr>
                <w:rFonts w:ascii="Calibri" w:hAnsi="Calibri"/>
                <w:sz w:val="20"/>
              </w:rPr>
              <w:t>Componentes AI Studio</w:t>
            </w:r>
          </w:p>
        </w:tc>
        <w:tc>
          <w:tcPr>
            <w:tcW w:type="dxa" w:w="1134"/>
          </w:tcPr>
          <w:p>
            <w:r>
              <w:rPr>
                <w:rFonts w:ascii="Calibri" w:hAnsi="Calibri"/>
                <w:sz w:val="20"/>
              </w:rPr>
              <w:t>37+</w:t>
            </w:r>
          </w:p>
        </w:tc>
        <w:tc>
          <w:tcPr>
            <w:tcW w:type="dxa" w:w="1701"/>
          </w:tcPr>
          <w:p>
            <w:r>
              <w:rPr>
                <w:rFonts w:ascii="Calibri" w:hAnsi="Calibri"/>
                <w:sz w:val="20"/>
              </w:rPr>
              <w:t>~12.000</w:t>
            </w:r>
          </w:p>
        </w:tc>
        <w:tc>
          <w:tcPr>
            <w:tcW w:type="dxa" w:w="3969"/>
          </w:tcPr>
          <w:p>
            <w:r>
              <w:rPr>
                <w:rFonts w:ascii="Calibri" w:hAnsi="Calibri"/>
                <w:sz w:val="20"/>
              </w:rPr>
              <w:t>Maiores arquivos do projeto</w:t>
            </w:r>
          </w:p>
        </w:tc>
      </w:tr>
      <w:tr>
        <w:tc>
          <w:tcPr>
            <w:tcW w:type="dxa" w:w="2268"/>
          </w:tcPr>
          <w:p>
            <w:r>
              <w:rPr>
                <w:rFonts w:ascii="Calibri" w:hAnsi="Calibri"/>
                <w:sz w:val="20"/>
              </w:rPr>
              <w:t>Componentes UI/Layout</w:t>
            </w:r>
          </w:p>
        </w:tc>
        <w:tc>
          <w:tcPr>
            <w:tcW w:type="dxa" w:w="1134"/>
          </w:tcPr>
          <w:p>
            <w:r>
              <w:rPr>
                <w:rFonts w:ascii="Calibri" w:hAnsi="Calibri"/>
                <w:sz w:val="20"/>
              </w:rPr>
              <w:t>20+</w:t>
            </w:r>
          </w:p>
        </w:tc>
        <w:tc>
          <w:tcPr>
            <w:tcW w:type="dxa" w:w="1701"/>
          </w:tcPr>
          <w:p>
            <w:r>
              <w:rPr>
                <w:rFonts w:ascii="Calibri" w:hAnsi="Calibri"/>
                <w:sz w:val="20"/>
              </w:rPr>
              <w:t>~2.000</w:t>
            </w:r>
          </w:p>
        </w:tc>
        <w:tc>
          <w:tcPr>
            <w:tcW w:type="dxa" w:w="3969"/>
          </w:tcPr>
          <w:p>
            <w:r>
              <w:rPr>
                <w:rFonts w:ascii="Calibri" w:hAnsi="Calibri"/>
                <w:sz w:val="20"/>
              </w:rPr>
              <w:t>shadcn/ui + customizações</w:t>
            </w:r>
          </w:p>
        </w:tc>
      </w:tr>
      <w:tr>
        <w:tc>
          <w:tcPr>
            <w:tcW w:type="dxa" w:w="2268"/>
          </w:tcPr>
          <w:p>
            <w:r>
              <w:rPr>
                <w:rFonts w:ascii="Calibri" w:hAnsi="Calibri"/>
                <w:sz w:val="20"/>
              </w:rPr>
              <w:t>Wizard (cadastro)</w:t>
            </w:r>
          </w:p>
        </w:tc>
        <w:tc>
          <w:tcPr>
            <w:tcW w:type="dxa" w:w="1134"/>
          </w:tcPr>
          <w:p>
            <w:r>
              <w:rPr>
                <w:rFonts w:ascii="Calibri" w:hAnsi="Calibri"/>
                <w:sz w:val="20"/>
              </w:rPr>
              <w:t>6</w:t>
            </w:r>
          </w:p>
        </w:tc>
        <w:tc>
          <w:tcPr>
            <w:tcW w:type="dxa" w:w="1701"/>
          </w:tcPr>
          <w:p>
            <w:r>
              <w:rPr>
                <w:rFonts w:ascii="Calibri" w:hAnsi="Calibri"/>
                <w:sz w:val="20"/>
              </w:rPr>
              <w:t>~1.200</w:t>
            </w:r>
          </w:p>
        </w:tc>
        <w:tc>
          <w:tcPr>
            <w:tcW w:type="dxa" w:w="3969"/>
          </w:tcPr>
          <w:p>
            <w:r>
              <w:rPr>
                <w:rFonts w:ascii="Calibri" w:hAnsi="Calibri"/>
                <w:sz w:val="20"/>
              </w:rPr>
              <w:t>Wizard de 4 etapas bem modularizado</w:t>
            </w:r>
          </w:p>
        </w:tc>
      </w:tr>
      <w:tr>
        <w:tc>
          <w:tcPr>
            <w:tcW w:type="dxa" w:w="2268"/>
          </w:tcPr>
          <w:p>
            <w:r>
              <w:rPr>
                <w:rFonts w:ascii="Calibri" w:hAnsi="Calibri"/>
                <w:sz w:val="20"/>
              </w:rPr>
              <w:t>Lib/Utils</w:t>
            </w:r>
          </w:p>
        </w:tc>
        <w:tc>
          <w:tcPr>
            <w:tcW w:type="dxa" w:w="1134"/>
          </w:tcPr>
          <w:p>
            <w:r>
              <w:rPr>
                <w:rFonts w:ascii="Calibri" w:hAnsi="Calibri"/>
                <w:sz w:val="20"/>
              </w:rPr>
              <w:t>11</w:t>
            </w:r>
          </w:p>
        </w:tc>
        <w:tc>
          <w:tcPr>
            <w:tcW w:type="dxa" w:w="1701"/>
          </w:tcPr>
          <w:p>
            <w:r>
              <w:rPr>
                <w:rFonts w:ascii="Calibri" w:hAnsi="Calibri"/>
                <w:sz w:val="20"/>
              </w:rPr>
              <w:t>~530</w:t>
            </w:r>
          </w:p>
        </w:tc>
        <w:tc>
          <w:tcPr>
            <w:tcW w:type="dxa" w:w="3969"/>
          </w:tcPr>
          <w:p>
            <w:r>
              <w:rPr>
                <w:rFonts w:ascii="Calibri" w:hAnsi="Calibri"/>
                <w:sz w:val="20"/>
              </w:rPr>
              <w:t>Utilitários, formatadores, validação</w:t>
            </w:r>
          </w:p>
        </w:tc>
      </w:tr>
      <w:tr>
        <w:tc>
          <w:tcPr>
            <w:tcW w:type="dxa" w:w="2268"/>
          </w:tcPr>
          <w:p>
            <w:r>
              <w:rPr>
                <w:rFonts w:ascii="Calibri" w:hAnsi="Calibri"/>
                <w:sz w:val="20"/>
              </w:rPr>
              <w:t>Context/Hooks</w:t>
            </w:r>
          </w:p>
        </w:tc>
        <w:tc>
          <w:tcPr>
            <w:tcW w:type="dxa" w:w="1134"/>
          </w:tcPr>
          <w:p>
            <w:r>
              <w:rPr>
                <w:rFonts w:ascii="Calibri" w:hAnsi="Calibri"/>
                <w:sz w:val="20"/>
              </w:rPr>
              <w:t>2</w:t>
            </w:r>
          </w:p>
        </w:tc>
        <w:tc>
          <w:tcPr>
            <w:tcW w:type="dxa" w:w="1701"/>
          </w:tcPr>
          <w:p>
            <w:r>
              <w:rPr>
                <w:rFonts w:ascii="Calibri" w:hAnsi="Calibri"/>
                <w:sz w:val="20"/>
              </w:rPr>
              <w:t>~300</w:t>
            </w:r>
          </w:p>
        </w:tc>
        <w:tc>
          <w:tcPr>
            <w:tcW w:type="dxa" w:w="3969"/>
          </w:tcPr>
          <w:p>
            <w:r>
              <w:rPr>
                <w:rFonts w:ascii="Calibri" w:hAnsi="Calibri"/>
                <w:sz w:val="20"/>
              </w:rPr>
              <w:t>Estado global + hook de formulário</w:t>
            </w:r>
          </w:p>
        </w:tc>
      </w:tr>
      <w:tr>
        <w:tc>
          <w:tcPr>
            <w:tcW w:type="dxa" w:w="2268"/>
          </w:tcPr>
          <w:p>
            <w:r>
              <w:rPr>
                <w:rFonts w:ascii="Calibri" w:hAnsi="Calibri"/>
                <w:sz w:val="20"/>
              </w:rPr>
              <w:t>Services</w:t>
            </w:r>
          </w:p>
        </w:tc>
        <w:tc>
          <w:tcPr>
            <w:tcW w:type="dxa" w:w="1134"/>
          </w:tcPr>
          <w:p>
            <w:r>
              <w:rPr>
                <w:rFonts w:ascii="Calibri" w:hAnsi="Calibri"/>
                <w:sz w:val="20"/>
              </w:rPr>
              <w:t>1</w:t>
            </w:r>
          </w:p>
        </w:tc>
        <w:tc>
          <w:tcPr>
            <w:tcW w:type="dxa" w:w="1701"/>
          </w:tcPr>
          <w:p>
            <w:r>
              <w:rPr>
                <w:rFonts w:ascii="Calibri" w:hAnsi="Calibri"/>
                <w:sz w:val="20"/>
              </w:rPr>
              <w:t>~40</w:t>
            </w:r>
          </w:p>
        </w:tc>
        <w:tc>
          <w:tcPr>
            <w:tcW w:type="dxa" w:w="3969"/>
          </w:tcPr>
          <w:p>
            <w:r>
              <w:rPr>
                <w:rFonts w:ascii="Calibri" w:hAnsi="Calibri"/>
                <w:sz w:val="20"/>
              </w:rPr>
              <w:t>Integração BCB (IPCA)</w:t>
            </w:r>
          </w:p>
        </w:tc>
      </w:tr>
      <w:tr>
        <w:tc>
          <w:tcPr>
            <w:tcW w:type="dxa" w:w="2268"/>
          </w:tcPr>
          <w:p>
            <w:r>
              <w:rPr>
                <w:rFonts w:ascii="Calibri" w:hAnsi="Calibri"/>
                <w:sz w:val="20"/>
              </w:rPr>
              <w:t>Testes Unit</w:t>
            </w:r>
          </w:p>
        </w:tc>
        <w:tc>
          <w:tcPr>
            <w:tcW w:type="dxa" w:w="1134"/>
          </w:tcPr>
          <w:p>
            <w:r>
              <w:rPr>
                <w:rFonts w:ascii="Calibri" w:hAnsi="Calibri"/>
                <w:sz w:val="20"/>
              </w:rPr>
              <w:t>13</w:t>
            </w:r>
          </w:p>
        </w:tc>
        <w:tc>
          <w:tcPr>
            <w:tcW w:type="dxa" w:w="1701"/>
          </w:tcPr>
          <w:p>
            <w:r>
              <w:rPr>
                <w:rFonts w:ascii="Calibri" w:hAnsi="Calibri"/>
                <w:sz w:val="20"/>
              </w:rPr>
              <w:t>~2.200</w:t>
            </w:r>
          </w:p>
        </w:tc>
        <w:tc>
          <w:tcPr>
            <w:tcW w:type="dxa" w:w="3969"/>
          </w:tcPr>
          <w:p>
            <w:r>
              <w:rPr>
                <w:rFonts w:ascii="Calibri" w:hAnsi="Calibri"/>
                <w:sz w:val="20"/>
              </w:rPr>
              <w:t>Boa cobertura dos módulos críticos</w:t>
            </w:r>
          </w:p>
        </w:tc>
      </w:tr>
      <w:tr>
        <w:tc>
          <w:tcPr>
            <w:tcW w:type="dxa" w:w="2268"/>
          </w:tcPr>
          <w:p>
            <w:r>
              <w:rPr>
                <w:rFonts w:ascii="Calibri" w:hAnsi="Calibri"/>
                <w:sz w:val="20"/>
              </w:rPr>
              <w:t>Testes E2E</w:t>
            </w:r>
          </w:p>
        </w:tc>
        <w:tc>
          <w:tcPr>
            <w:tcW w:type="dxa" w:w="1134"/>
          </w:tcPr>
          <w:p>
            <w:r>
              <w:rPr>
                <w:rFonts w:ascii="Calibri" w:hAnsi="Calibri"/>
                <w:sz w:val="20"/>
              </w:rPr>
              <w:t>8</w:t>
            </w:r>
          </w:p>
        </w:tc>
        <w:tc>
          <w:tcPr>
            <w:tcW w:type="dxa" w:w="1701"/>
          </w:tcPr>
          <w:p>
            <w:r>
              <w:rPr>
                <w:rFonts w:ascii="Calibri" w:hAnsi="Calibri"/>
                <w:sz w:val="20"/>
              </w:rPr>
              <w:t>~350</w:t>
            </w:r>
          </w:p>
        </w:tc>
        <w:tc>
          <w:tcPr>
            <w:tcW w:type="dxa" w:w="3969"/>
          </w:tcPr>
          <w:p>
            <w:r>
              <w:rPr>
                <w:rFonts w:ascii="Calibri" w:hAnsi="Calibri"/>
                <w:sz w:val="20"/>
              </w:rPr>
              <w:t>Cobertura de navegação e API</w:t>
            </w:r>
          </w:p>
        </w:tc>
      </w:tr>
    </w:tbl>
    <w:p/>
    <w:p>
      <w:pPr>
        <w:pStyle w:val="Heading2"/>
      </w:pPr>
      <w:r>
        <w:t>Arquivos Maiores (Risco de Complexidade)</w:t>
      </w:r>
    </w:p>
    <w:p>
      <w:r>
        <w:t>Os seguintes componentes excedem 500 linhas e seriam candidatos a refatoração ou, no mínimo, documentação inline detalhada:</w:t>
      </w:r>
    </w:p>
    <w:tbl>
      <w:tblPr>
        <w:tblStyle w:val="LightGrid-Accent1"/>
        <w:tblW w:type="auto" w:w="0"/>
        <w:jc w:val="left"/>
        <w:tblLook w:firstColumn="1" w:firstRow="1" w:lastColumn="0" w:lastRow="0" w:noHBand="0" w:noVBand="1" w:val="04A0"/>
      </w:tblPr>
      <w:tblGrid>
        <w:gridCol w:w="3118"/>
        <w:gridCol w:w="3118"/>
        <w:gridCol w:w="3118"/>
      </w:tblGrid>
      <w:tr>
        <w:tc>
          <w:tcPr>
            <w:tcW w:type="dxa" w:w="2835"/>
            <w:shd w:fill="1B4F72" w:val="clear"/>
          </w:tcPr>
          <w:p>
            <w:pPr>
              <w:jc w:val="left"/>
            </w:pPr>
            <w:r>
              <w:rPr>
                <w:rFonts w:ascii="Calibri" w:hAnsi="Calibri"/>
                <w:b/>
                <w:color w:val="FFFFFF"/>
                <w:sz w:val="20"/>
              </w:rPr>
              <w:t>Arquivo</w:t>
            </w:r>
          </w:p>
        </w:tc>
        <w:tc>
          <w:tcPr>
            <w:tcW w:type="dxa" w:w="1134"/>
            <w:shd w:fill="1B4F72" w:val="clear"/>
          </w:tcPr>
          <w:p>
            <w:pPr>
              <w:jc w:val="left"/>
            </w:pPr>
            <w:r>
              <w:rPr>
                <w:rFonts w:ascii="Calibri" w:hAnsi="Calibri"/>
                <w:b/>
                <w:color w:val="FFFFFF"/>
                <w:sz w:val="20"/>
              </w:rPr>
              <w:t>Linhas</w:t>
            </w:r>
          </w:p>
        </w:tc>
        <w:tc>
          <w:tcPr>
            <w:tcW w:type="dxa" w:w="5102"/>
            <w:shd w:fill="1B4F72" w:val="clear"/>
          </w:tcPr>
          <w:p>
            <w:pPr>
              <w:jc w:val="left"/>
            </w:pPr>
            <w:r>
              <w:rPr>
                <w:rFonts w:ascii="Calibri" w:hAnsi="Calibri"/>
                <w:b/>
                <w:color w:val="FFFFFF"/>
                <w:sz w:val="20"/>
              </w:rPr>
              <w:t>Responsabilidade</w:t>
            </w:r>
          </w:p>
        </w:tc>
      </w:tr>
      <w:tr>
        <w:tc>
          <w:tcPr>
            <w:tcW w:type="dxa" w:w="2835"/>
          </w:tcPr>
          <w:p>
            <w:r>
              <w:rPr>
                <w:rFonts w:ascii="Calibri" w:hAnsi="Calibri"/>
                <w:sz w:val="20"/>
              </w:rPr>
              <w:t>AssetTable.tsx</w:t>
            </w:r>
          </w:p>
        </w:tc>
        <w:tc>
          <w:tcPr>
            <w:tcW w:type="dxa" w:w="1134"/>
          </w:tcPr>
          <w:p>
            <w:r>
              <w:rPr>
                <w:rFonts w:ascii="Calibri" w:hAnsi="Calibri"/>
                <w:sz w:val="20"/>
              </w:rPr>
              <w:t>1.292</w:t>
            </w:r>
          </w:p>
        </w:tc>
        <w:tc>
          <w:tcPr>
            <w:tcW w:type="dxa" w:w="5102"/>
          </w:tcPr>
          <w:p>
            <w:r>
              <w:rPr>
                <w:rFonts w:ascii="Calibri" w:hAnsi="Calibri"/>
                <w:sz w:val="20"/>
              </w:rPr>
              <w:t>Tabela editável com colunas configuráveis</w:t>
            </w:r>
          </w:p>
        </w:tc>
      </w:tr>
      <w:tr>
        <w:tc>
          <w:tcPr>
            <w:tcW w:type="dxa" w:w="2835"/>
          </w:tcPr>
          <w:p>
            <w:r>
              <w:rPr>
                <w:rFonts w:ascii="Calibri" w:hAnsi="Calibri"/>
                <w:sz w:val="20"/>
              </w:rPr>
              <w:t>FinancingDashboard.tsx</w:t>
            </w:r>
          </w:p>
        </w:tc>
        <w:tc>
          <w:tcPr>
            <w:tcW w:type="dxa" w:w="1134"/>
          </w:tcPr>
          <w:p>
            <w:r>
              <w:rPr>
                <w:rFonts w:ascii="Calibri" w:hAnsi="Calibri"/>
                <w:sz w:val="20"/>
              </w:rPr>
              <w:t>952</w:t>
            </w:r>
          </w:p>
        </w:tc>
        <w:tc>
          <w:tcPr>
            <w:tcW w:type="dxa" w:w="5102"/>
          </w:tcPr>
          <w:p>
            <w:r>
              <w:rPr>
                <w:rFonts w:ascii="Calibri" w:hAnsi="Calibri"/>
                <w:sz w:val="20"/>
              </w:rPr>
              <w:t>Dashboard com projeções de financiamento</w:t>
            </w:r>
          </w:p>
        </w:tc>
      </w:tr>
      <w:tr>
        <w:tc>
          <w:tcPr>
            <w:tcW w:type="dxa" w:w="2835"/>
          </w:tcPr>
          <w:p>
            <w:r>
              <w:rPr>
                <w:rFonts w:ascii="Calibri" w:hAnsi="Calibri"/>
                <w:sz w:val="20"/>
              </w:rPr>
              <w:t>ImportIRPF.tsx</w:t>
            </w:r>
          </w:p>
        </w:tc>
        <w:tc>
          <w:tcPr>
            <w:tcW w:type="dxa" w:w="1134"/>
          </w:tcPr>
          <w:p>
            <w:r>
              <w:rPr>
                <w:rFonts w:ascii="Calibri" w:hAnsi="Calibri"/>
                <w:sz w:val="20"/>
              </w:rPr>
              <w:t>880</w:t>
            </w:r>
          </w:p>
        </w:tc>
        <w:tc>
          <w:tcPr>
            <w:tcW w:type="dxa" w:w="5102"/>
          </w:tcPr>
          <w:p>
            <w:r>
              <w:rPr>
                <w:rFonts w:ascii="Calibri" w:hAnsi="Calibri"/>
                <w:sz w:val="20"/>
              </w:rPr>
              <w:t>Upload, extração AI e reconciliação IRPF</w:t>
            </w:r>
          </w:p>
        </w:tc>
      </w:tr>
      <w:tr>
        <w:tc>
          <w:tcPr>
            <w:tcW w:type="dxa" w:w="2835"/>
          </w:tcPr>
          <w:p>
            <w:r>
              <w:rPr>
                <w:rFonts w:ascii="Calibri" w:hAnsi="Calibri"/>
                <w:sz w:val="20"/>
              </w:rPr>
              <w:t>AssetRegistration.tsx</w:t>
            </w:r>
          </w:p>
        </w:tc>
        <w:tc>
          <w:tcPr>
            <w:tcW w:type="dxa" w:w="1134"/>
          </w:tcPr>
          <w:p>
            <w:r>
              <w:rPr>
                <w:rFonts w:ascii="Calibri" w:hAnsi="Calibri"/>
                <w:sz w:val="20"/>
              </w:rPr>
              <w:t>825</w:t>
            </w:r>
          </w:p>
        </w:tc>
        <w:tc>
          <w:tcPr>
            <w:tcW w:type="dxa" w:w="5102"/>
          </w:tcPr>
          <w:p>
            <w:r>
              <w:rPr>
                <w:rFonts w:ascii="Calibri" w:hAnsi="Calibri"/>
                <w:sz w:val="20"/>
              </w:rPr>
              <w:t>Wizard de registro completo</w:t>
            </w:r>
          </w:p>
        </w:tc>
      </w:tr>
      <w:tr>
        <w:tc>
          <w:tcPr>
            <w:tcW w:type="dxa" w:w="2835"/>
          </w:tcPr>
          <w:p>
            <w:r>
              <w:rPr>
                <w:rFonts w:ascii="Calibri" w:hAnsi="Calibri"/>
                <w:sz w:val="20"/>
              </w:rPr>
              <w:t>LeaseModal.tsx</w:t>
            </w:r>
          </w:p>
        </w:tc>
        <w:tc>
          <w:tcPr>
            <w:tcW w:type="dxa" w:w="1134"/>
          </w:tcPr>
          <w:p>
            <w:r>
              <w:rPr>
                <w:rFonts w:ascii="Calibri" w:hAnsi="Calibri"/>
                <w:sz w:val="20"/>
              </w:rPr>
              <w:t>647</w:t>
            </w:r>
          </w:p>
        </w:tc>
        <w:tc>
          <w:tcPr>
            <w:tcW w:type="dxa" w:w="5102"/>
          </w:tcPr>
          <w:p>
            <w:r>
              <w:rPr>
                <w:rFonts w:ascii="Calibri" w:hAnsi="Calibri"/>
                <w:sz w:val="20"/>
              </w:rPr>
              <w:t>Modal de locação com múltiplos campos</w:t>
            </w:r>
          </w:p>
        </w:tc>
      </w:tr>
      <w:tr>
        <w:tc>
          <w:tcPr>
            <w:tcW w:type="dxa" w:w="2835"/>
          </w:tcPr>
          <w:p>
            <w:r>
              <w:rPr>
                <w:rFonts w:ascii="Calibri" w:hAnsi="Calibri"/>
                <w:sz w:val="20"/>
              </w:rPr>
              <w:t>IRPFAuditDashboard.tsx</w:t>
            </w:r>
          </w:p>
        </w:tc>
        <w:tc>
          <w:tcPr>
            <w:tcW w:type="dxa" w:w="1134"/>
          </w:tcPr>
          <w:p>
            <w:r>
              <w:rPr>
                <w:rFonts w:ascii="Calibri" w:hAnsi="Calibri"/>
                <w:sz w:val="20"/>
              </w:rPr>
              <w:t>639</w:t>
            </w:r>
          </w:p>
        </w:tc>
        <w:tc>
          <w:tcPr>
            <w:tcW w:type="dxa" w:w="5102"/>
          </w:tcPr>
          <w:p>
            <w:r>
              <w:rPr>
                <w:rFonts w:ascii="Calibri" w:hAnsi="Calibri"/>
                <w:sz w:val="20"/>
              </w:rPr>
              <w:t>Dashboard de auditoria IRPF</w:t>
            </w:r>
          </w:p>
        </w:tc>
      </w:tr>
      <w:tr>
        <w:tc>
          <w:tcPr>
            <w:tcW w:type="dxa" w:w="2835"/>
          </w:tcPr>
          <w:p>
            <w:r>
              <w:rPr>
                <w:rFonts w:ascii="Calibri" w:hAnsi="Calibri"/>
                <w:sz w:val="20"/>
              </w:rPr>
              <w:t>FinancingModal.tsx</w:t>
            </w:r>
          </w:p>
        </w:tc>
        <w:tc>
          <w:tcPr>
            <w:tcW w:type="dxa" w:w="1134"/>
          </w:tcPr>
          <w:p>
            <w:r>
              <w:rPr>
                <w:rFonts w:ascii="Calibri" w:hAnsi="Calibri"/>
                <w:sz w:val="20"/>
              </w:rPr>
              <w:t>570</w:t>
            </w:r>
          </w:p>
        </w:tc>
        <w:tc>
          <w:tcPr>
            <w:tcW w:type="dxa" w:w="5102"/>
          </w:tcPr>
          <w:p>
            <w:r>
              <w:rPr>
                <w:rFonts w:ascii="Calibri" w:hAnsi="Calibri"/>
                <w:sz w:val="20"/>
              </w:rPr>
              <w:t>Modal de financiamento</w:t>
            </w:r>
          </w:p>
        </w:tc>
      </w:tr>
      <w:tr>
        <w:tc>
          <w:tcPr>
            <w:tcW w:type="dxa" w:w="2835"/>
          </w:tcPr>
          <w:p>
            <w:r>
              <w:rPr>
                <w:rFonts w:ascii="Calibri" w:hAnsi="Calibri"/>
                <w:sz w:val="20"/>
              </w:rPr>
              <w:t>DatabaseBackup.tsx</w:t>
            </w:r>
          </w:p>
        </w:tc>
        <w:tc>
          <w:tcPr>
            <w:tcW w:type="dxa" w:w="1134"/>
          </w:tcPr>
          <w:p>
            <w:r>
              <w:rPr>
                <w:rFonts w:ascii="Calibri" w:hAnsi="Calibri"/>
                <w:sz w:val="20"/>
              </w:rPr>
              <w:t>558</w:t>
            </w:r>
          </w:p>
        </w:tc>
        <w:tc>
          <w:tcPr>
            <w:tcW w:type="dxa" w:w="5102"/>
          </w:tcPr>
          <w:p>
            <w:r>
              <w:rPr>
                <w:rFonts w:ascii="Calibri" w:hAnsi="Calibri"/>
                <w:sz w:val="20"/>
              </w:rPr>
              <w:t>Backup/restore do banco de dados</w:t>
            </w:r>
          </w:p>
        </w:tc>
      </w:tr>
    </w:tbl>
    <w:p/>
    <w:p>
      <w:pPr>
        <w:pStyle w:val="Heading2"/>
      </w:pPr>
      <w:r>
        <w:t>Documentação Inline do Código</w:t>
      </w:r>
    </w:p>
    <w:p>
      <w:r>
        <w:t>A análise do código-fonte revela que a documentação inline é mínima. A maioria dos arquivos não possui JSDoc, comentários de função ou descrição de parâmetros. Os únicos comentários encontrados são TODOs ocasionais e breves notas em inglês. Considerando que o sistema lida com lógica financeira complexa (amortização SAC/PRICE, reajuste IPCA, fluxo de caixa projetado), a ausência de comentários explicativos representa um risco significativo para manutenibilidade.</w:t>
      </w:r>
    </w:p>
    <w:p>
      <w:pPr>
        <w:pStyle w:val="Heading1"/>
      </w:pPr>
      <w:r>
        <w:t>5. Análise de Segurança</w:t>
      </w:r>
    </w:p>
    <w:p>
      <w:pPr>
        <w:pStyle w:val="Heading2"/>
      </w:pPr>
      <w:r>
        <w:t>Implementações Existentes (Positivo)</w:t>
      </w:r>
    </w:p>
    <w:p>
      <w:pPr>
        <w:pStyle w:val="ListBullet"/>
      </w:pPr>
      <w:r>
        <w:rPr>
          <w:b/>
          <w:sz w:val="22"/>
        </w:rPr>
        <w:t xml:space="preserve">CSP (Content-Security-Policy): </w:t>
      </w:r>
      <w:r>
        <w:t>Configurada em next.config.ts com allowlist granular para Google APIs, CDN e fontes.</w:t>
      </w:r>
    </w:p>
    <w:p>
      <w:pPr>
        <w:pStyle w:val="ListBullet"/>
      </w:pPr>
      <w:r>
        <w:rPr>
          <w:b/>
          <w:sz w:val="22"/>
        </w:rPr>
        <w:t xml:space="preserve">Rate Limiting: </w:t>
      </w:r>
      <w:r>
        <w:t>Sliding window no middleware — 5 req/min para AI, 30 req/min para API geral.</w:t>
      </w:r>
    </w:p>
    <w:p>
      <w:pPr>
        <w:pStyle w:val="ListBullet"/>
      </w:pPr>
      <w:r>
        <w:rPr>
          <w:b/>
          <w:sz w:val="22"/>
        </w:rPr>
        <w:t xml:space="preserve">CSRF Protection: </w:t>
      </w:r>
      <w:r>
        <w:t>Validação de Origin vs Host para métodos mutativos (POST, PUT, DELETE, PATCH).</w:t>
      </w:r>
    </w:p>
    <w:p>
      <w:pPr>
        <w:pStyle w:val="ListBullet"/>
      </w:pPr>
      <w:r>
        <w:rPr>
          <w:b/>
          <w:sz w:val="22"/>
        </w:rPr>
        <w:t xml:space="preserve">RBAC: </w:t>
      </w:r>
      <w:r>
        <w:t>Roles USER/ADMIN com guards em Server Actions (requireAuth, requireAdmin) e middleware.</w:t>
      </w:r>
    </w:p>
    <w:p>
      <w:pPr>
        <w:pStyle w:val="ListBullet"/>
      </w:pPr>
      <w:r>
        <w:rPr>
          <w:b/>
          <w:sz w:val="22"/>
        </w:rPr>
        <w:t xml:space="preserve">Security Headers: </w:t>
      </w:r>
      <w:r>
        <w:t>HSTS, X-Frame-Options DENY, nosniff, XSS-Protection, Referrer-Policy, Permissions-Policy.</w:t>
      </w:r>
    </w:p>
    <w:p>
      <w:pPr>
        <w:pStyle w:val="ListBullet"/>
      </w:pPr>
      <w:r>
        <w:rPr>
          <w:b/>
          <w:sz w:val="22"/>
        </w:rPr>
        <w:t xml:space="preserve">Validação de Input: </w:t>
      </w:r>
      <w:r>
        <w:t>Schemas Zod em toda entrada de dados, tanto em Server Actions quanto API routes.</w:t>
      </w:r>
    </w:p>
    <w:p>
      <w:pPr>
        <w:pStyle w:val="Heading2"/>
      </w:pPr>
      <w:r>
        <w:t>Pontos a Documentar/Melhorar</w:t>
      </w:r>
    </w:p>
    <w:p>
      <w:pPr>
        <w:pStyle w:val="ListBullet"/>
      </w:pPr>
      <w:r>
        <w:rPr>
          <w:b/>
          <w:sz w:val="22"/>
        </w:rPr>
        <w:t xml:space="preserve">Auth desabilitada em dev: </w:t>
      </w:r>
      <w:r>
        <w:t>O middleware tem o check de autenticação comentado. Precisa de documentação clara sobre como habilitar para produção.</w:t>
      </w:r>
    </w:p>
    <w:p>
      <w:pPr>
        <w:pStyle w:val="ListBullet"/>
      </w:pPr>
      <w:r>
        <w:rPr>
          <w:b/>
          <w:sz w:val="22"/>
        </w:rPr>
        <w:t xml:space="preserve">.env com secrets: </w:t>
      </w:r>
      <w:r>
        <w:t>Existe .env e .env.local no diretório. O .gitignore cobre ambos, mas não existe documentação de rotação de chaves.</w:t>
      </w:r>
    </w:p>
    <w:p>
      <w:pPr>
        <w:pStyle w:val="ListBullet"/>
      </w:pPr>
      <w:r>
        <w:rPr>
          <w:b/>
          <w:sz w:val="22"/>
        </w:rPr>
        <w:t xml:space="preserve">Sem política de CORS: </w:t>
      </w:r>
      <w:r>
        <w:t>Não há configuração explícita de CORS. Funciona para SPA single-origin, mas precisa ser documentado para futuras integrações.</w:t>
      </w:r>
    </w:p>
    <w:p>
      <w:pPr>
        <w:pStyle w:val="ListBullet"/>
      </w:pPr>
      <w:r>
        <w:rPr>
          <w:b/>
          <w:sz w:val="22"/>
        </w:rPr>
        <w:t xml:space="preserve">Audit log com ator fixo: </w:t>
      </w:r>
      <w:r>
        <w:t>SystemAuditLog usa "Ricardo Silva" ou "System" fixo no MVP. Documentar o plano de integração com auth real.</w:t>
      </w:r>
    </w:p>
    <w:p>
      <w:pPr>
        <w:pStyle w:val="Heading1"/>
      </w:pPr>
      <w:r>
        <w:t>6. Análise de Testes</w:t>
      </w:r>
    </w:p>
    <w:p>
      <w:pPr>
        <w:pStyle w:val="Heading2"/>
      </w:pPr>
      <w:r>
        <w:t>Testes Unitários (Vitest)</w:t>
      </w:r>
    </w:p>
    <w:p>
      <w:r>
        <w:t>O projeto possui 13 arquivos de teste com 157+ testes unitários. A cobertura é sólida para os módulos de backend (actions, lib, utils), mas não há testes unitários para componentes React.</w:t>
      </w:r>
    </w:p>
    <w:tbl>
      <w:tblPr>
        <w:tblStyle w:val="LightGrid-Accent1"/>
        <w:tblW w:type="auto" w:w="0"/>
        <w:jc w:val="left"/>
        <w:tblLook w:firstColumn="1" w:firstRow="1" w:lastColumn="0" w:lastRow="0" w:noHBand="0" w:noVBand="1" w:val="04A0"/>
      </w:tblPr>
      <w:tblGrid>
        <w:gridCol w:w="3118"/>
        <w:gridCol w:w="3118"/>
        <w:gridCol w:w="3118"/>
      </w:tblGrid>
      <w:tr>
        <w:tc>
          <w:tcPr>
            <w:tcW w:type="dxa" w:w="2835"/>
            <w:shd w:fill="1B4F72" w:val="clear"/>
          </w:tcPr>
          <w:p>
            <w:pPr>
              <w:jc w:val="left"/>
            </w:pPr>
            <w:r>
              <w:rPr>
                <w:rFonts w:ascii="Calibri" w:hAnsi="Calibri"/>
                <w:b/>
                <w:color w:val="FFFFFF"/>
                <w:sz w:val="20"/>
              </w:rPr>
              <w:t>Arquivo de Teste</w:t>
            </w:r>
          </w:p>
        </w:tc>
        <w:tc>
          <w:tcPr>
            <w:tcW w:type="dxa" w:w="2268"/>
            <w:shd w:fill="1B4F72" w:val="clear"/>
          </w:tcPr>
          <w:p>
            <w:pPr>
              <w:jc w:val="left"/>
            </w:pPr>
            <w:r>
              <w:rPr>
                <w:rFonts w:ascii="Calibri" w:hAnsi="Calibri"/>
                <w:b/>
                <w:color w:val="FFFFFF"/>
                <w:sz w:val="20"/>
              </w:rPr>
              <w:t>Módulo Testado</w:t>
            </w:r>
          </w:p>
        </w:tc>
        <w:tc>
          <w:tcPr>
            <w:tcW w:type="dxa" w:w="3969"/>
            <w:shd w:fill="1B4F72" w:val="clear"/>
          </w:tcPr>
          <w:p>
            <w:pPr>
              <w:jc w:val="left"/>
            </w:pPr>
            <w:r>
              <w:rPr>
                <w:rFonts w:ascii="Calibri" w:hAnsi="Calibri"/>
                <w:b/>
                <w:color w:val="FFFFFF"/>
                <w:sz w:val="20"/>
              </w:rPr>
              <w:t>Observação</w:t>
            </w:r>
          </w:p>
        </w:tc>
      </w:tr>
      <w:tr>
        <w:tc>
          <w:tcPr>
            <w:tcW w:type="dxa" w:w="2835"/>
          </w:tcPr>
          <w:p>
            <w:r>
              <w:rPr>
                <w:rFonts w:ascii="Calibri" w:hAnsi="Calibri"/>
                <w:sz w:val="20"/>
              </w:rPr>
              <w:t>actions-assets.test.ts</w:t>
            </w:r>
          </w:p>
        </w:tc>
        <w:tc>
          <w:tcPr>
            <w:tcW w:type="dxa" w:w="2268"/>
          </w:tcPr>
          <w:p>
            <w:r>
              <w:rPr>
                <w:rFonts w:ascii="Calibri" w:hAnsi="Calibri"/>
                <w:sz w:val="20"/>
              </w:rPr>
              <w:t>CRUD de ativos</w:t>
            </w:r>
          </w:p>
        </w:tc>
        <w:tc>
          <w:tcPr>
            <w:tcW w:type="dxa" w:w="3969"/>
          </w:tcPr>
          <w:p>
            <w:r>
              <w:rPr>
                <w:rFonts w:ascii="Calibri" w:hAnsi="Calibri"/>
                <w:sz w:val="20"/>
              </w:rPr>
              <w:t>466 linhas, mais completo</w:t>
            </w:r>
          </w:p>
        </w:tc>
      </w:tr>
      <w:tr>
        <w:tc>
          <w:tcPr>
            <w:tcW w:type="dxa" w:w="2835"/>
          </w:tcPr>
          <w:p>
            <w:r>
              <w:rPr>
                <w:rFonts w:ascii="Calibri" w:hAnsi="Calibri"/>
                <w:sz w:val="20"/>
              </w:rPr>
              <w:t>actions-financial.test.ts</w:t>
            </w:r>
          </w:p>
        </w:tc>
        <w:tc>
          <w:tcPr>
            <w:tcW w:type="dxa" w:w="2268"/>
          </w:tcPr>
          <w:p>
            <w:r>
              <w:rPr>
                <w:rFonts w:ascii="Calibri" w:hAnsi="Calibri"/>
                <w:sz w:val="20"/>
              </w:rPr>
              <w:t>Fluxo de caixa</w:t>
            </w:r>
          </w:p>
        </w:tc>
        <w:tc>
          <w:tcPr>
            <w:tcW w:type="dxa" w:w="3969"/>
          </w:tcPr>
          <w:p>
            <w:r>
              <w:rPr>
                <w:rFonts w:ascii="Calibri" w:hAnsi="Calibri"/>
                <w:sz w:val="20"/>
              </w:rPr>
              <w:t>Cobre receivables, payables, IPTU</w:t>
            </w:r>
          </w:p>
        </w:tc>
      </w:tr>
      <w:tr>
        <w:tc>
          <w:tcPr>
            <w:tcW w:type="dxa" w:w="2835"/>
          </w:tcPr>
          <w:p>
            <w:r>
              <w:rPr>
                <w:rFonts w:ascii="Calibri" w:hAnsi="Calibri"/>
                <w:sz w:val="20"/>
              </w:rPr>
              <w:t>actions-rental.test.ts</w:t>
            </w:r>
          </w:p>
        </w:tc>
        <w:tc>
          <w:tcPr>
            <w:tcW w:type="dxa" w:w="2268"/>
          </w:tcPr>
          <w:p>
            <w:r>
              <w:rPr>
                <w:rFonts w:ascii="Calibri" w:hAnsi="Calibri"/>
                <w:sz w:val="20"/>
              </w:rPr>
              <w:t>PIX, IPCA, aliases</w:t>
            </w:r>
          </w:p>
        </w:tc>
        <w:tc>
          <w:tcPr>
            <w:tcW w:type="dxa" w:w="3969"/>
          </w:tcPr>
          <w:p>
            <w:r>
              <w:rPr>
                <w:rFonts w:ascii="Calibri" w:hAnsi="Calibri"/>
                <w:sz w:val="20"/>
              </w:rPr>
              <w:t>Conciliação e reajustes</w:t>
            </w:r>
          </w:p>
        </w:tc>
      </w:tr>
      <w:tr>
        <w:tc>
          <w:tcPr>
            <w:tcW w:type="dxa" w:w="2835"/>
          </w:tcPr>
          <w:p>
            <w:r>
              <w:rPr>
                <w:rFonts w:ascii="Calibri" w:hAnsi="Calibri"/>
                <w:sz w:val="20"/>
              </w:rPr>
              <w:t>actions-contracts-tenants.test.ts</w:t>
            </w:r>
          </w:p>
        </w:tc>
        <w:tc>
          <w:tcPr>
            <w:tcW w:type="dxa" w:w="2268"/>
          </w:tcPr>
          <w:p>
            <w:r>
              <w:rPr>
                <w:rFonts w:ascii="Calibri" w:hAnsi="Calibri"/>
                <w:sz w:val="20"/>
              </w:rPr>
              <w:t>Contratos/Inquilinos</w:t>
            </w:r>
          </w:p>
        </w:tc>
        <w:tc>
          <w:tcPr>
            <w:tcW w:type="dxa" w:w="3969"/>
          </w:tcPr>
          <w:p>
            <w:r>
              <w:rPr>
                <w:rFonts w:ascii="Calibri" w:hAnsi="Calibri"/>
                <w:sz w:val="20"/>
              </w:rPr>
              <w:t>Paginação, busca</w:t>
            </w:r>
          </w:p>
        </w:tc>
      </w:tr>
      <w:tr>
        <w:tc>
          <w:tcPr>
            <w:tcW w:type="dxa" w:w="2835"/>
          </w:tcPr>
          <w:p>
            <w:r>
              <w:rPr>
                <w:rFonts w:ascii="Calibri" w:hAnsi="Calibri"/>
                <w:sz w:val="20"/>
              </w:rPr>
              <w:t>api-invoices.test.ts</w:t>
            </w:r>
          </w:p>
        </w:tc>
        <w:tc>
          <w:tcPr>
            <w:tcW w:type="dxa" w:w="2268"/>
          </w:tcPr>
          <w:p>
            <w:r>
              <w:rPr>
                <w:rFonts w:ascii="Calibri" w:hAnsi="Calibri"/>
                <w:sz w:val="20"/>
              </w:rPr>
              <w:t>CRUD REST NFs</w:t>
            </w:r>
          </w:p>
        </w:tc>
        <w:tc>
          <w:tcPr>
            <w:tcW w:type="dxa" w:w="3969"/>
          </w:tcPr>
          <w:p>
            <w:r>
              <w:rPr>
                <w:rFonts w:ascii="Calibri" w:hAnsi="Calibri"/>
                <w:sz w:val="20"/>
              </w:rPr>
              <w:t>Validação e audit log</w:t>
            </w:r>
          </w:p>
        </w:tc>
      </w:tr>
      <w:tr>
        <w:tc>
          <w:tcPr>
            <w:tcW w:type="dxa" w:w="2835"/>
          </w:tcPr>
          <w:p>
            <w:r>
              <w:rPr>
                <w:rFonts w:ascii="Calibri" w:hAnsi="Calibri"/>
                <w:sz w:val="20"/>
              </w:rPr>
              <w:t>auth-guard.test.ts</w:t>
            </w:r>
          </w:p>
        </w:tc>
        <w:tc>
          <w:tcPr>
            <w:tcW w:type="dxa" w:w="2268"/>
          </w:tcPr>
          <w:p>
            <w:r>
              <w:rPr>
                <w:rFonts w:ascii="Calibri" w:hAnsi="Calibri"/>
                <w:sz w:val="20"/>
              </w:rPr>
              <w:t>Auth guards</w:t>
            </w:r>
          </w:p>
        </w:tc>
        <w:tc>
          <w:tcPr>
            <w:tcW w:type="dxa" w:w="3969"/>
          </w:tcPr>
          <w:p>
            <w:r>
              <w:rPr>
                <w:rFonts w:ascii="Calibri" w:hAnsi="Calibri"/>
                <w:sz w:val="20"/>
              </w:rPr>
              <w:t>requireAuth, requireAdmin</w:t>
            </w:r>
          </w:p>
        </w:tc>
      </w:tr>
      <w:tr>
        <w:tc>
          <w:tcPr>
            <w:tcW w:type="dxa" w:w="2835"/>
          </w:tcPr>
          <w:p>
            <w:r>
              <w:rPr>
                <w:rFonts w:ascii="Calibri" w:hAnsi="Calibri"/>
                <w:sz w:val="20"/>
              </w:rPr>
              <w:t>formatters.test.ts</w:t>
            </w:r>
          </w:p>
        </w:tc>
        <w:tc>
          <w:tcPr>
            <w:tcW w:type="dxa" w:w="2268"/>
          </w:tcPr>
          <w:p>
            <w:r>
              <w:rPr>
                <w:rFonts w:ascii="Calibri" w:hAnsi="Calibri"/>
                <w:sz w:val="20"/>
              </w:rPr>
              <w:t>Formatação</w:t>
            </w:r>
          </w:p>
        </w:tc>
        <w:tc>
          <w:tcPr>
            <w:tcW w:type="dxa" w:w="3969"/>
          </w:tcPr>
          <w:p>
            <w:r>
              <w:rPr>
                <w:rFonts w:ascii="Calibri" w:hAnsi="Calibri"/>
                <w:sz w:val="20"/>
              </w:rPr>
              <w:t>Moeda, datas, números</w:t>
            </w:r>
          </w:p>
        </w:tc>
      </w:tr>
      <w:tr>
        <w:tc>
          <w:tcPr>
            <w:tcW w:type="dxa" w:w="2835"/>
          </w:tcPr>
          <w:p>
            <w:r>
              <w:rPr>
                <w:rFonts w:ascii="Calibri" w:hAnsi="Calibri"/>
                <w:sz w:val="20"/>
              </w:rPr>
              <w:t>rate-limit.test.ts</w:t>
            </w:r>
          </w:p>
        </w:tc>
        <w:tc>
          <w:tcPr>
            <w:tcW w:type="dxa" w:w="2268"/>
          </w:tcPr>
          <w:p>
            <w:r>
              <w:rPr>
                <w:rFonts w:ascii="Calibri" w:hAnsi="Calibri"/>
                <w:sz w:val="20"/>
              </w:rPr>
              <w:t>Rate limiting</w:t>
            </w:r>
          </w:p>
        </w:tc>
        <w:tc>
          <w:tcPr>
            <w:tcW w:type="dxa" w:w="3969"/>
          </w:tcPr>
          <w:p>
            <w:r>
              <w:rPr>
                <w:rFonts w:ascii="Calibri" w:hAnsi="Calibri"/>
                <w:sz w:val="20"/>
              </w:rPr>
              <w:t>Sliding window, expiração</w:t>
            </w:r>
          </w:p>
        </w:tc>
      </w:tr>
      <w:tr>
        <w:tc>
          <w:tcPr>
            <w:tcW w:type="dxa" w:w="2835"/>
          </w:tcPr>
          <w:p>
            <w:r>
              <w:rPr>
                <w:rFonts w:ascii="Calibri" w:hAnsi="Calibri"/>
                <w:sz w:val="20"/>
              </w:rPr>
              <w:t>validations.test.ts</w:t>
            </w:r>
          </w:p>
        </w:tc>
        <w:tc>
          <w:tcPr>
            <w:tcW w:type="dxa" w:w="2268"/>
          </w:tcPr>
          <w:p>
            <w:r>
              <w:rPr>
                <w:rFonts w:ascii="Calibri" w:hAnsi="Calibri"/>
                <w:sz w:val="20"/>
              </w:rPr>
              <w:t>Schemas Zod</w:t>
            </w:r>
          </w:p>
        </w:tc>
        <w:tc>
          <w:tcPr>
            <w:tcW w:type="dxa" w:w="3969"/>
          </w:tcPr>
          <w:p>
            <w:r>
              <w:rPr>
                <w:rFonts w:ascii="Calibri" w:hAnsi="Calibri"/>
                <w:sz w:val="20"/>
              </w:rPr>
              <w:t>Validação de entrada</w:t>
            </w:r>
          </w:p>
        </w:tc>
      </w:tr>
      <w:tr>
        <w:tc>
          <w:tcPr>
            <w:tcW w:type="dxa" w:w="2835"/>
          </w:tcPr>
          <w:p>
            <w:r>
              <w:rPr>
                <w:rFonts w:ascii="Calibri" w:hAnsi="Calibri"/>
                <w:sz w:val="20"/>
              </w:rPr>
              <w:t>constants.test.ts</w:t>
            </w:r>
          </w:p>
        </w:tc>
        <w:tc>
          <w:tcPr>
            <w:tcW w:type="dxa" w:w="2268"/>
          </w:tcPr>
          <w:p>
            <w:r>
              <w:rPr>
                <w:rFonts w:ascii="Calibri" w:hAnsi="Calibri"/>
                <w:sz w:val="20"/>
              </w:rPr>
              <w:t>Constantes</w:t>
            </w:r>
          </w:p>
        </w:tc>
        <w:tc>
          <w:tcPr>
            <w:tcW w:type="dxa" w:w="3969"/>
          </w:tcPr>
          <w:p>
            <w:r>
              <w:rPr>
                <w:rFonts w:ascii="Calibri" w:hAnsi="Calibri"/>
                <w:sz w:val="20"/>
              </w:rPr>
              <w:t>Tipos, cores, configs</w:t>
            </w:r>
          </w:p>
        </w:tc>
      </w:tr>
      <w:tr>
        <w:tc>
          <w:tcPr>
            <w:tcW w:type="dxa" w:w="2835"/>
          </w:tcPr>
          <w:p>
            <w:r>
              <w:rPr>
                <w:rFonts w:ascii="Calibri" w:hAnsi="Calibri"/>
                <w:sz w:val="20"/>
              </w:rPr>
              <w:t>financial-utils.test.ts</w:t>
            </w:r>
          </w:p>
        </w:tc>
        <w:tc>
          <w:tcPr>
            <w:tcW w:type="dxa" w:w="2268"/>
          </w:tcPr>
          <w:p>
            <w:r>
              <w:rPr>
                <w:rFonts w:ascii="Calibri" w:hAnsi="Calibri"/>
                <w:sz w:val="20"/>
              </w:rPr>
              <w:t>Cálculos</w:t>
            </w:r>
          </w:p>
        </w:tc>
        <w:tc>
          <w:tcPr>
            <w:tcW w:type="dxa" w:w="3969"/>
          </w:tcPr>
          <w:p>
            <w:r>
              <w:rPr>
                <w:rFonts w:ascii="Calibri" w:hAnsi="Calibri"/>
                <w:sz w:val="20"/>
              </w:rPr>
              <w:t>Utilitários financeiros</w:t>
            </w:r>
          </w:p>
        </w:tc>
      </w:tr>
      <w:tr>
        <w:tc>
          <w:tcPr>
            <w:tcW w:type="dxa" w:w="2835"/>
          </w:tcPr>
          <w:p>
            <w:r>
              <w:rPr>
                <w:rFonts w:ascii="Calibri" w:hAnsi="Calibri"/>
                <w:sz w:val="20"/>
              </w:rPr>
              <w:t>api-utils.test.ts</w:t>
            </w:r>
          </w:p>
        </w:tc>
        <w:tc>
          <w:tcPr>
            <w:tcW w:type="dxa" w:w="2268"/>
          </w:tcPr>
          <w:p>
            <w:r>
              <w:rPr>
                <w:rFonts w:ascii="Calibri" w:hAnsi="Calibri"/>
                <w:sz w:val="20"/>
              </w:rPr>
              <w:t>API helpers</w:t>
            </w:r>
          </w:p>
        </w:tc>
        <w:tc>
          <w:tcPr>
            <w:tcW w:type="dxa" w:w="3969"/>
          </w:tcPr>
          <w:p>
            <w:r>
              <w:rPr>
                <w:rFonts w:ascii="Calibri" w:hAnsi="Calibri"/>
                <w:sz w:val="20"/>
              </w:rPr>
              <w:t>Response builders</w:t>
            </w:r>
          </w:p>
        </w:tc>
      </w:tr>
      <w:tr>
        <w:tc>
          <w:tcPr>
            <w:tcW w:type="dxa" w:w="2835"/>
          </w:tcPr>
          <w:p>
            <w:r>
              <w:rPr>
                <w:rFonts w:ascii="Calibri" w:hAnsi="Calibri"/>
                <w:sz w:val="20"/>
              </w:rPr>
              <w:t>logger.test.ts</w:t>
            </w:r>
          </w:p>
        </w:tc>
        <w:tc>
          <w:tcPr>
            <w:tcW w:type="dxa" w:w="2268"/>
          </w:tcPr>
          <w:p>
            <w:r>
              <w:rPr>
                <w:rFonts w:ascii="Calibri" w:hAnsi="Calibri"/>
                <w:sz w:val="20"/>
              </w:rPr>
              <w:t>Logger</w:t>
            </w:r>
          </w:p>
        </w:tc>
        <w:tc>
          <w:tcPr>
            <w:tcW w:type="dxa" w:w="3969"/>
          </w:tcPr>
          <w:p>
            <w:r>
              <w:rPr>
                <w:rFonts w:ascii="Calibri" w:hAnsi="Calibri"/>
                <w:sz w:val="20"/>
              </w:rPr>
              <w:t>Sistema de logging</w:t>
            </w:r>
          </w:p>
        </w:tc>
      </w:tr>
    </w:tbl>
    <w:p/>
    <w:p>
      <w:pPr>
        <w:pStyle w:val="Heading2"/>
      </w:pPr>
      <w:r>
        <w:t>Testes E2E (Playwright)</w:t>
      </w:r>
    </w:p>
    <w:p>
      <w:r>
        <w:t>8 specs com 39 testes cobrindo navegação, renderização e segurança de API.</w:t>
      </w:r>
    </w:p>
    <w:p>
      <w:pPr>
        <w:pStyle w:val="Heading2"/>
      </w:pPr>
      <w:r>
        <w:t>Lacunas de Teste Identificadas</w:t>
      </w:r>
    </w:p>
    <w:p>
      <w:pPr>
        <w:pStyle w:val="ListBullet"/>
      </w:pPr>
      <w:r>
        <w:rPr>
          <w:sz w:val="22"/>
        </w:rPr>
        <w:t>Nenhum teste unitário para componentes React (os 37+ componentes ai-studio não possuem testes)</w:t>
      </w:r>
    </w:p>
    <w:p>
      <w:pPr>
        <w:pStyle w:val="ListBullet"/>
      </w:pPr>
      <w:r>
        <w:rPr>
          <w:sz w:val="22"/>
        </w:rPr>
        <w:t>Sem testes para o AssetContext (estado global)</w:t>
      </w:r>
    </w:p>
    <w:p>
      <w:pPr>
        <w:pStyle w:val="ListBullet"/>
      </w:pPr>
      <w:r>
        <w:rPr>
          <w:sz w:val="22"/>
        </w:rPr>
        <w:t>Sem testes para o serviço BCB (integração com Banco Central)</w:t>
      </w:r>
    </w:p>
    <w:p>
      <w:pPr>
        <w:pStyle w:val="ListBullet"/>
      </w:pPr>
      <w:r>
        <w:rPr>
          <w:sz w:val="22"/>
        </w:rPr>
        <w:t>Sem testes para as rotas de AI extract e IRPF extract</w:t>
      </w:r>
    </w:p>
    <w:p>
      <w:pPr>
        <w:pStyle w:val="ListBullet"/>
      </w:pPr>
      <w:r>
        <w:rPr>
          <w:sz w:val="22"/>
        </w:rPr>
        <w:t>Sem testes para integração Gmail (messages, attachments, token)</w:t>
      </w:r>
    </w:p>
    <w:p>
      <w:pPr>
        <w:pStyle w:val="ListBullet"/>
      </w:pPr>
      <w:r>
        <w:rPr>
          <w:sz w:val="22"/>
        </w:rPr>
        <w:t>Testes E2E não cobrem fluxos completos de CRUD (criar → editar → deletar ativo)</w:t>
      </w:r>
    </w:p>
    <w:p>
      <w:pPr>
        <w:pStyle w:val="Heading1"/>
      </w:pPr>
      <w:r>
        <w:t>7. Avaliação da Documentação Existente</w:t>
      </w:r>
    </w:p>
    <w:p>
      <w:pPr>
        <w:pStyle w:val="Heading2"/>
      </w:pPr>
      <w:r>
        <w:t>README.md — Nota: 9/10</w:t>
      </w:r>
    </w:p>
    <w:p>
      <w:r>
        <w:t>O README.md é excepcionalmente completo para um projeto deste porte. Com aproximadamente 400 linhas, cobre visão geral, funcionalidades (com checklists), stack tecnológico com tabela, diagrama de arquitetura ASCII, estrutura de pastas comentada, modelos do banco, variáveis de ambiente, instalação passo a passo, guia de uso com fluxos, scripts disponíveis, tabela de segurança, estado do desenvolvimento, decisões técnicas com trade-offs, documentação de testes e changelog.</w:t>
      </w:r>
    </w:p>
    <w:p>
      <w:r>
        <w:t>Pontos positivos do README:</w:t>
      </w:r>
    </w:p>
    <w:p>
      <w:pPr>
        <w:pStyle w:val="ListBullet"/>
      </w:pPr>
      <w:r>
        <w:rPr>
          <w:sz w:val="22"/>
        </w:rPr>
        <w:t>Diagrama de arquitetura em ASCII mostrando fluxo de dados entre camadas</w:t>
      </w:r>
    </w:p>
    <w:p>
      <w:pPr>
        <w:pStyle w:val="ListBullet"/>
      </w:pPr>
      <w:r>
        <w:rPr>
          <w:sz w:val="22"/>
        </w:rPr>
        <w:t>Tabela de decisões técnicas com "Por quê", "Trade-off" e "Migração futura"</w:t>
      </w:r>
    </w:p>
    <w:p>
      <w:pPr>
        <w:pStyle w:val="ListBullet"/>
      </w:pPr>
      <w:r>
        <w:rPr>
          <w:sz w:val="22"/>
        </w:rPr>
        <w:t>Estrutura de pastas com comentários em cada diretório e arquivo</w:t>
      </w:r>
    </w:p>
    <w:p>
      <w:pPr>
        <w:pStyle w:val="ListBullet"/>
      </w:pPr>
      <w:r>
        <w:rPr>
          <w:sz w:val="22"/>
        </w:rPr>
        <w:t>Documentação de modelos Prisma com relacionamentos visuais</w:t>
      </w:r>
    </w:p>
    <w:p>
      <w:pPr>
        <w:pStyle w:val="ListBullet"/>
      </w:pPr>
      <w:r>
        <w:rPr>
          <w:sz w:val="22"/>
        </w:rPr>
        <w:t>Changelog com detalhes de bug fixes e migrações de schema</w:t>
      </w:r>
    </w:p>
    <w:p>
      <w:r>
        <w:t>Pontos a melhorar no README:</w:t>
      </w:r>
    </w:p>
    <w:p>
      <w:pPr>
        <w:pStyle w:val="ListBullet"/>
      </w:pPr>
      <w:r>
        <w:rPr>
          <w:sz w:val="22"/>
        </w:rPr>
        <w:t>Não possui badges de CI/CD (os badges existentes são estáticos)</w:t>
      </w:r>
    </w:p>
    <w:p>
      <w:pPr>
        <w:pStyle w:val="ListBullet"/>
      </w:pPr>
      <w:r>
        <w:rPr>
          <w:sz w:val="22"/>
        </w:rPr>
        <w:t>Falta link para demo/preview do sistema</w:t>
      </w:r>
    </w:p>
    <w:p>
      <w:pPr>
        <w:pStyle w:val="ListBullet"/>
      </w:pPr>
      <w:r>
        <w:rPr>
          <w:sz w:val="22"/>
        </w:rPr>
        <w:t>Seção de "Contribuição" é básica (apenas padrão de commits e branches)</w:t>
      </w:r>
    </w:p>
    <w:p>
      <w:pPr>
        <w:pStyle w:val="ListBullet"/>
      </w:pPr>
      <w:r>
        <w:rPr>
          <w:sz w:val="22"/>
        </w:rPr>
        <w:t>Não menciona o diretório prototypes/ com os designs HTML originais</w:t>
      </w:r>
    </w:p>
    <w:p>
      <w:pPr>
        <w:pStyle w:val="ListBullet"/>
      </w:pPr>
      <w:r>
        <w:rPr>
          <w:sz w:val="22"/>
        </w:rPr>
        <w:t>Não documenta o diretório stitch-files/ com os protótipos de UI</w:t>
      </w:r>
    </w:p>
    <w:p>
      <w:pPr>
        <w:pStyle w:val="ListBullet"/>
      </w:pPr>
      <w:r>
        <w:rPr>
          <w:sz w:val="22"/>
        </w:rPr>
        <w:t>Não documenta o diretório tools/ com scripts de teste da Gemini API</w:t>
      </w:r>
    </w:p>
    <w:p>
      <w:pPr>
        <w:pStyle w:val="Heading2"/>
      </w:pPr>
      <w:r>
        <w:t>system-evaluation.md — Nota: 6/10</w:t>
      </w:r>
    </w:p>
    <w:p>
      <w:r>
        <w:t>Documento de planejamento de auditoria e melhoria. Útil como roadmap interno, mas incompleto (todos os checkboxes estão vazios). Referencia skills de agentes que não fazem parte do projeto. Seria mais útil como um documento de ADR (Architecture Decision Records) ou um plano de sprint real.</w:t>
      </w:r>
    </w:p>
    <w:p>
      <w:pPr>
        <w:pStyle w:val="Heading2"/>
      </w:pPr>
      <w:r>
        <w:t>.env.example — Nota: 7/10</w:t>
      </w:r>
    </w:p>
    <w:p>
      <w:r>
        <w:t>Lista as variáveis de ambiente necessárias com valores placeholder. Faltam comentários sobre como obter cada chave (links para consoles, documentação de cada API) e quais são opcionais em dev.</w:t>
      </w:r>
    </w:p>
    <w:p>
      <w:pPr>
        <w:pStyle w:val="Heading2"/>
      </w:pPr>
      <w:r>
        <w:t>Documentação Ausente</w:t>
      </w:r>
    </w:p>
    <w:p>
      <w:r>
        <w:t>Os seguintes artefatos de documentação não existem no projeto:</w:t>
      </w:r>
    </w:p>
    <w:p>
      <w:pPr>
        <w:pStyle w:val="ListBullet"/>
      </w:pPr>
      <w:r>
        <w:rPr>
          <w:sz w:val="22"/>
        </w:rPr>
        <w:t>CONTRIBUTING.md — Guia de contribuição detalhado</w:t>
      </w:r>
    </w:p>
    <w:p>
      <w:pPr>
        <w:pStyle w:val="ListBullet"/>
      </w:pPr>
      <w:r>
        <w:rPr>
          <w:sz w:val="22"/>
        </w:rPr>
        <w:t>CHANGELOG.md — Changelog separado do README (apenas inline no final do README)</w:t>
      </w:r>
    </w:p>
    <w:p>
      <w:pPr>
        <w:pStyle w:val="ListBullet"/>
      </w:pPr>
      <w:r>
        <w:rPr>
          <w:sz w:val="22"/>
        </w:rPr>
        <w:t>docs/ — Diretório de documentação técnica</w:t>
      </w:r>
    </w:p>
    <w:p>
      <w:pPr>
        <w:pStyle w:val="ListBullet"/>
      </w:pPr>
      <w:r>
        <w:rPr>
          <w:sz w:val="22"/>
        </w:rPr>
        <w:t>API.md — Documentação das API routes e Server Actions</w:t>
      </w:r>
    </w:p>
    <w:p>
      <w:pPr>
        <w:pStyle w:val="ListBullet"/>
      </w:pPr>
      <w:r>
        <w:rPr>
          <w:sz w:val="22"/>
        </w:rPr>
        <w:t>DATABASE.md — Documentação do schema com ERD e migrações</w:t>
      </w:r>
    </w:p>
    <w:p>
      <w:pPr>
        <w:pStyle w:val="ListBullet"/>
      </w:pPr>
      <w:r>
        <w:rPr>
          <w:sz w:val="22"/>
        </w:rPr>
        <w:t>DEPLOYMENT.md — Guia de deploy para produção</w:t>
      </w:r>
    </w:p>
    <w:p>
      <w:pPr>
        <w:pStyle w:val="ListBullet"/>
      </w:pPr>
      <w:r>
        <w:rPr>
          <w:sz w:val="22"/>
        </w:rPr>
        <w:t>SECURITY.md — Política de segurança e responsividade a vulnerabilidades</w:t>
      </w:r>
    </w:p>
    <w:p>
      <w:pPr>
        <w:pStyle w:val="ListBullet"/>
      </w:pPr>
      <w:r>
        <w:rPr>
          <w:sz w:val="22"/>
        </w:rPr>
        <w:t>ADR/ — Architecture Decision Records</w:t>
      </w:r>
    </w:p>
    <w:p>
      <w:pPr>
        <w:pStyle w:val="ListBullet"/>
      </w:pPr>
      <w:r>
        <w:rPr>
          <w:sz w:val="22"/>
        </w:rPr>
        <w:t>Comentários JSDoc no código-fonte</w:t>
      </w:r>
    </w:p>
    <w:p>
      <w:pPr>
        <w:pStyle w:val="ListBullet"/>
      </w:pPr>
      <w:r>
        <w:rPr>
          <w:sz w:val="22"/>
        </w:rPr>
        <w:t>Storybook ou catálogo de componentes</w:t>
      </w:r>
    </w:p>
    <w:p>
      <w:pPr>
        <w:pStyle w:val="Heading1"/>
      </w:pPr>
      <w:r>
        <w:t>8. Recomendações: Documentação a Criar</w:t>
      </w:r>
    </w:p>
    <w:p>
      <w:pPr>
        <w:pStyle w:val="Heading2"/>
      </w:pPr>
      <w:r>
        <w:t>8.1  CONTRIBUTING.md</w:t>
      </w:r>
    </w:p>
    <w:p>
      <w:r>
        <w:t>Criar um guia completo de contribuição que expanda a seção atual do README. Deve incluir: setup do ambiente de desenvolvimento, fluxo de pull requests com checklist, padrões de código (naming conventions, organização de imports, padrão para Server Actions vs API Routes), como rodar testes localmente e o que testar antes de cada PR, guia de troubleshooting para problemas comuns (PDF.js worker, Gemini API keys, Prisma migrations).</w:t>
      </w:r>
    </w:p>
    <w:p>
      <w:pPr>
        <w:pStyle w:val="Heading2"/>
      </w:pPr>
      <w:r>
        <w:t>8.2  docs/API.md — Documentação de API</w:t>
      </w:r>
    </w:p>
    <w:p>
      <w:r>
        <w:t>Documentar todos os endpoints REST e Server Actions. Para cada endpoint: método HTTP, path, parâmetros (query/body), schema de validação Zod, resposta de sucesso e erro, exemplo de requisição e resposta, rate limits aplicáveis, nível de autenticação necessário. O projeto tem 8 Server Actions e 8 API routes que carecem de documentação formal.</w:t>
      </w:r>
    </w:p>
    <w:p>
      <w:r>
        <w:t>Endpoints a documentar:</w:t>
      </w:r>
    </w:p>
    <w:p>
      <w:pPr>
        <w:pStyle w:val="ListBullet"/>
      </w:pPr>
      <w:r>
        <w:rPr>
          <w:sz w:val="22"/>
        </w:rPr>
        <w:t>POST /api/ai/extract — Extração de NF via Gemini</w:t>
      </w:r>
    </w:p>
    <w:p>
      <w:pPr>
        <w:pStyle w:val="ListBullet"/>
      </w:pPr>
      <w:r>
        <w:rPr>
          <w:sz w:val="22"/>
        </w:rPr>
        <w:t>POST /api/ai/irpf-extract — Extração de IRPF via Gemini</w:t>
      </w:r>
    </w:p>
    <w:p>
      <w:pPr>
        <w:pStyle w:val="ListBullet"/>
      </w:pPr>
      <w:r>
        <w:rPr>
          <w:sz w:val="22"/>
        </w:rPr>
        <w:t>GET/POST /api/invoices — CRUD de notas fiscais</w:t>
      </w:r>
    </w:p>
    <w:p>
      <w:pPr>
        <w:pStyle w:val="ListBullet"/>
      </w:pPr>
      <w:r>
        <w:rPr>
          <w:sz w:val="22"/>
        </w:rPr>
        <w:t>GET/PUT/DELETE /api/invoices/[id] — Operações em NF específica</w:t>
      </w:r>
    </w:p>
    <w:p>
      <w:pPr>
        <w:pStyle w:val="ListBullet"/>
      </w:pPr>
      <w:r>
        <w:rPr>
          <w:sz w:val="22"/>
        </w:rPr>
        <w:t>DELETE /api/invoices/reset — Reset de todas as NFs (ADMIN)</w:t>
      </w:r>
    </w:p>
    <w:p>
      <w:pPr>
        <w:pStyle w:val="ListBullet"/>
      </w:pPr>
      <w:r>
        <w:rPr>
          <w:sz w:val="22"/>
        </w:rPr>
        <w:t>GET /api/gmail/messages — Listagem de e-mails</w:t>
      </w:r>
    </w:p>
    <w:p>
      <w:pPr>
        <w:pStyle w:val="ListBullet"/>
      </w:pPr>
      <w:r>
        <w:rPr>
          <w:sz w:val="22"/>
        </w:rPr>
        <w:t>GET /api/gmail/messages/[id] — Detalhes de e-mail</w:t>
      </w:r>
    </w:p>
    <w:p>
      <w:pPr>
        <w:pStyle w:val="ListBullet"/>
      </w:pPr>
      <w:r>
        <w:rPr>
          <w:sz w:val="22"/>
        </w:rPr>
        <w:t>GET /api/gmail/attachments — Anexos de e-mail</w:t>
      </w:r>
    </w:p>
    <w:p>
      <w:pPr>
        <w:pStyle w:val="ListBullet"/>
      </w:pPr>
      <w:r>
        <w:rPr>
          <w:sz w:val="22"/>
        </w:rPr>
        <w:t>GET /api/gmail/token — Token de autenticação Gmail</w:t>
      </w:r>
    </w:p>
    <w:p>
      <w:pPr>
        <w:pStyle w:val="ListBullet"/>
      </w:pPr>
      <w:r>
        <w:rPr>
          <w:sz w:val="22"/>
        </w:rPr>
        <w:t>Server Actions: saveAsset, deleteAsset, getAssets, bulkImportAssets...</w:t>
      </w:r>
    </w:p>
    <w:p>
      <w:pPr>
        <w:pStyle w:val="ListBullet"/>
      </w:pPr>
      <w:r>
        <w:rPr>
          <w:sz w:val="22"/>
        </w:rPr>
        <w:t>Server Actions: getProjectedCashFlow, getFinancialSchedule...</w:t>
      </w:r>
    </w:p>
    <w:p>
      <w:pPr>
        <w:pStyle w:val="ListBullet"/>
      </w:pPr>
      <w:r>
        <w:rPr>
          <w:sz w:val="22"/>
        </w:rPr>
        <w:t>Server Actions: processPixPayments, adjustRentByIPCA...</w:t>
      </w:r>
    </w:p>
    <w:p>
      <w:pPr>
        <w:pStyle w:val="ListBullet"/>
      </w:pPr>
      <w:r>
        <w:rPr>
          <w:sz w:val="22"/>
        </w:rPr>
        <w:t>Server Actions: upsertContractWithTenant, getContracts, getTenants...</w:t>
      </w:r>
    </w:p>
    <w:p>
      <w:pPr>
        <w:pStyle w:val="Heading2"/>
      </w:pPr>
      <w:r>
        <w:t>8.3  docs/DATABASE.md — Documentação do Schema</w:t>
      </w:r>
    </w:p>
    <w:p>
      <w:r>
        <w:t>Criar documentação do banco de dados com: diagrama ER (pode ser gerado via prisma-erd-generator), descrição de cada modelo e campo, regras de negócio associadas (ex: Contract.penaltyPercent default 10%, Contract.dueDay, como funciona o reajuste IPCA), índices e performance, plano de migração de SQLite para PostgreSQL, e histórico de migrações de schema.</w:t>
      </w:r>
    </w:p>
    <w:p>
      <w:pPr>
        <w:pStyle w:val="Heading2"/>
      </w:pPr>
      <w:r>
        <w:t>8.4  docs/DEPLOYMENT.md — Guia de Deploy</w:t>
      </w:r>
    </w:p>
    <w:p>
      <w:r>
        <w:t>O projeto não possui nenhuma documentação de deploy. Criar guia para: requisitos de infraestrutura, setup de variáveis de ambiente em produção (com links para consoles do Google Cloud, Gemini API), habilitação do OAuth (atualmente mock em dev), migração do banco de dados (prisma db push vs prisma migrate), configuração de domínio e SSL, monitoramento e logs, procedimento de backup do banco SQLite.</w:t>
      </w:r>
    </w:p>
    <w:p>
      <w:pPr>
        <w:pStyle w:val="Heading2"/>
      </w:pPr>
      <w:r>
        <w:t>8.5  SECURITY.md — Política de Segurança</w:t>
      </w:r>
    </w:p>
    <w:p>
      <w:r>
        <w:t>Documentar: como reportar vulnerabilidades, quais proteções existem (CSP, rate limit, CSRF, RBAC), política de rotação de chaves, procedimento para habilitar autenticação real em produção, e escopo de cada role (USER vs ADMIN).</w:t>
      </w:r>
    </w:p>
    <w:p>
      <w:pPr>
        <w:pStyle w:val="Heading2"/>
      </w:pPr>
      <w:r>
        <w:t>8.6  CHANGELOG.md — Changelog Separado</w:t>
      </w:r>
    </w:p>
    <w:p>
      <w:r>
        <w:t>Extrair o changelog do final do README para um arquivo dedicado. Seguir o formato keepachangelog.com com seções Added, Changed, Fixed, Removed. Incluir links para commits ou PRs relevantes. O changelog atual (v2.1 e v2.2) é um bom ponto de partida.</w:t>
      </w:r>
    </w:p>
    <w:p>
      <w:pPr>
        <w:pStyle w:val="Heading2"/>
      </w:pPr>
      <w:r>
        <w:t>8.7  docs/ADR/ — Architecture Decision Records</w:t>
      </w:r>
    </w:p>
    <w:p>
      <w:r>
        <w:t>As decisões técnicas documentadas no README (SQLite vs PostgreSQL, Server Actions vs API Routes, Gemini vs GPT-4, Zod, Context API vs Redux) devem ser formalizadas como ADRs individuais. Cada ADR deve ter: título, status (accepted/deprecated), contexto, decisão, consequências. Novas decisões (ex: migração para PostgreSQL, adoção de Zustand) seriam registradas aqui.</w:t>
      </w:r>
    </w:p>
    <w:p>
      <w:pPr>
        <w:pStyle w:val="Heading2"/>
      </w:pPr>
      <w:r>
        <w:t>8.8  JSDoc e Documentação Inline</w:t>
      </w:r>
    </w:p>
    <w:p>
      <w:r>
        <w:t>Adicionar JSDoc nos módulos mais críticos do projeto. Prioridade alta para:</w:t>
      </w:r>
    </w:p>
    <w:p>
      <w:pPr>
        <w:pStyle w:val="ListBullet"/>
      </w:pPr>
      <w:r>
        <w:rPr>
          <w:sz w:val="22"/>
        </w:rPr>
        <w:t>src/app/actions/ — Todos os 8 arquivos de Server Actions (parâmetros, retornos, regras de negócio)</w:t>
      </w:r>
    </w:p>
    <w:p>
      <w:pPr>
        <w:pStyle w:val="ListBullet"/>
      </w:pPr>
      <w:r>
        <w:rPr>
          <w:sz w:val="22"/>
        </w:rPr>
        <w:t>src/lib/action-schemas.ts — Descrição de cada schema Zod</w:t>
      </w:r>
    </w:p>
    <w:p>
      <w:pPr>
        <w:pStyle w:val="ListBullet"/>
      </w:pPr>
      <w:r>
        <w:rPr>
          <w:sz w:val="22"/>
        </w:rPr>
        <w:t>src/lib/formatters.ts — Exemplos de input/output em cada função</w:t>
      </w:r>
    </w:p>
    <w:p>
      <w:pPr>
        <w:pStyle w:val="ListBullet"/>
      </w:pPr>
      <w:r>
        <w:rPr>
          <w:sz w:val="22"/>
        </w:rPr>
        <w:t>src/utils/financial.ts — Fórmulas de cálculo IPCA, amortização</w:t>
      </w:r>
    </w:p>
    <w:p>
      <w:pPr>
        <w:pStyle w:val="ListBullet"/>
      </w:pPr>
      <w:r>
        <w:rPr>
          <w:sz w:val="22"/>
        </w:rPr>
        <w:t>src/services/bcb.ts — Documentação da API do Banco Central</w:t>
      </w:r>
    </w:p>
    <w:p>
      <w:pPr>
        <w:pStyle w:val="ListBullet"/>
      </w:pPr>
      <w:r>
        <w:rPr>
          <w:sz w:val="22"/>
        </w:rPr>
        <w:t>src/context/AssetContext.tsx — Descrição do state tree e cada handler</w:t>
      </w:r>
    </w:p>
    <w:p>
      <w:pPr>
        <w:pStyle w:val="ListBullet"/>
      </w:pPr>
      <w:r>
        <w:rPr>
          <w:sz w:val="22"/>
        </w:rPr>
        <w:t>src/components/ai-studio/types.ts — Interfaces são auto-documentadas, mas adicionar exemplos</w:t>
      </w:r>
    </w:p>
    <w:p>
      <w:pPr>
        <w:pStyle w:val="Heading1"/>
      </w:pPr>
      <w:r>
        <w:t>9. Recomendações: Documentação a Melhorar</w:t>
      </w:r>
    </w:p>
    <w:p>
      <w:pPr>
        <w:pStyle w:val="Heading2"/>
      </w:pPr>
      <w:r>
        <w:t>9.1  README.md — Melhorias Sugeridas</w:t>
      </w:r>
    </w:p>
    <w:p>
      <w:pPr>
        <w:pStyle w:val="ListBullet"/>
      </w:pPr>
      <w:r>
        <w:rPr>
          <w:b/>
          <w:sz w:val="22"/>
        </w:rPr>
        <w:t xml:space="preserve">Adicionar badges dinâmicos: </w:t>
      </w:r>
      <w:r>
        <w:t>CI/CD status, cobertura de testes, versão do Node, última release.</w:t>
      </w:r>
    </w:p>
    <w:p>
      <w:pPr>
        <w:pStyle w:val="ListBullet"/>
      </w:pPr>
      <w:r>
        <w:rPr>
          <w:b/>
          <w:sz w:val="22"/>
        </w:rPr>
        <w:t xml:space="preserve">Seção de Screenshots/Demo: </w:t>
      </w:r>
      <w:r>
        <w:t>Adicionar capturas de tela do dashboard, wizard de cadastro, conciliação PIX. Os protótipos em stitch-files/ e prototypes/ podem servir de base.</w:t>
      </w:r>
    </w:p>
    <w:p>
      <w:pPr>
        <w:pStyle w:val="ListBullet"/>
      </w:pPr>
      <w:r>
        <w:rPr>
          <w:b/>
          <w:sz w:val="22"/>
        </w:rPr>
        <w:t xml:space="preserve">Documentar diretórios extras: </w:t>
      </w:r>
      <w:r>
        <w:t>prototypes/, stitch-files/ e tools/ não aparecem na estrutura de pastas.</w:t>
      </w:r>
    </w:p>
    <w:p>
      <w:pPr>
        <w:pStyle w:val="ListBullet"/>
      </w:pPr>
      <w:r>
        <w:rPr>
          <w:b/>
          <w:sz w:val="22"/>
        </w:rPr>
        <w:t xml:space="preserve">Expandir "Como Usar": </w:t>
      </w:r>
      <w:r>
        <w:t>Adicionar fluxo de Notas Fiscais (upload → extração → categorização → aprovação).</w:t>
      </w:r>
    </w:p>
    <w:p>
      <w:pPr>
        <w:pStyle w:val="ListBullet"/>
      </w:pPr>
      <w:r>
        <w:rPr>
          <w:b/>
          <w:sz w:val="22"/>
        </w:rPr>
        <w:t xml:space="preserve">Atualizar tipos de ativo: </w:t>
      </w:r>
      <w:r>
        <w:t>O schema diz "Residencial, Comercial, Terreno, Industrial" mas constants.ts lista 8 tipos diferentes (Apartamento, Casa, Terreno, Sala Comercial, Loja, Galpão, Cobertura, Kitnet).</w:t>
      </w:r>
    </w:p>
    <w:p>
      <w:pPr>
        <w:pStyle w:val="ListBullet"/>
      </w:pPr>
      <w:r>
        <w:rPr>
          <w:b/>
          <w:sz w:val="22"/>
        </w:rPr>
        <w:t xml:space="preserve">Seção de Troubleshooting: </w:t>
      </w:r>
      <w:r>
        <w:t>Erros comuns como "PDF.js version mismatch", "Gemini API quota exceeded", "Prisma migration failed".</w:t>
      </w:r>
    </w:p>
    <w:p>
      <w:pPr>
        <w:pStyle w:val="Heading2"/>
      </w:pPr>
      <w:r>
        <w:t>9.2  .env.example — Melhorias Sugeridas</w:t>
      </w:r>
    </w:p>
    <w:p>
      <w:pPr>
        <w:pStyle w:val="ListBullet"/>
      </w:pPr>
      <w:r>
        <w:rPr>
          <w:sz w:val="22"/>
        </w:rPr>
        <w:t>Adicionar AUTH_SECRET com instrução de como gerar (openssl rand -base64 32)</w:t>
      </w:r>
    </w:p>
    <w:p>
      <w:pPr>
        <w:pStyle w:val="ListBullet"/>
      </w:pPr>
      <w:r>
        <w:rPr>
          <w:sz w:val="22"/>
        </w:rPr>
        <w:t>Adicionar links para console do Google Cloud, Gemini API, docs de OAuth</w:t>
      </w:r>
    </w:p>
    <w:p>
      <w:pPr>
        <w:pStyle w:val="ListBullet"/>
      </w:pPr>
      <w:r>
        <w:rPr>
          <w:sz w:val="22"/>
        </w:rPr>
        <w:t>Marcar claramente quais vars são obrigatórias vs opcionais em dev</w:t>
      </w:r>
    </w:p>
    <w:p>
      <w:pPr>
        <w:pStyle w:val="ListBullet"/>
      </w:pPr>
      <w:r>
        <w:rPr>
          <w:sz w:val="22"/>
        </w:rPr>
        <w:t>Adicionar NODE_ENV e NEXTAUTH_URL para referência</w:t>
      </w:r>
    </w:p>
    <w:p>
      <w:pPr>
        <w:pStyle w:val="Heading2"/>
      </w:pPr>
      <w:r>
        <w:t>9.3  .gitignore — Melhorias Sugeridas</w:t>
      </w:r>
    </w:p>
    <w:p>
      <w:pPr>
        <w:pStyle w:val="ListBullet"/>
      </w:pPr>
      <w:r>
        <w:rPr>
          <w:sz w:val="22"/>
        </w:rPr>
        <w:t>Adicionar /test-results/ e /playwright-report/ (existem no diretório mas não no .gitignore)</w:t>
      </w:r>
    </w:p>
    <w:p>
      <w:pPr>
        <w:pStyle w:val="ListBullet"/>
      </w:pPr>
      <w:r>
        <w:rPr>
          <w:sz w:val="22"/>
        </w:rPr>
        <w:t>Adicionar /stitch-files/ se são artefatos temporários de prototipação</w:t>
      </w:r>
    </w:p>
    <w:p>
      <w:pPr>
        <w:pStyle w:val="ListBullet"/>
      </w:pPr>
      <w:r>
        <w:rPr>
          <w:sz w:val="22"/>
        </w:rPr>
        <w:t>Adicionar prisma.config.ts.bak (arquivo backup no diretório)</w:t>
      </w:r>
    </w:p>
    <w:p>
      <w:pPr>
        <w:pStyle w:val="ListBullet"/>
      </w:pPr>
      <w:r>
        <w:rPr>
          <w:sz w:val="22"/>
        </w:rPr>
        <w:t>Considerar adicionar /tools/ se são scripts de debug não necessários em prod</w:t>
      </w:r>
    </w:p>
    <w:p>
      <w:pPr>
        <w:pStyle w:val="Heading2"/>
      </w:pPr>
      <w:r>
        <w:t>9.4  Código-Fonte — Comentários e Documentação</w:t>
      </w:r>
    </w:p>
    <w:p>
      <w:pPr>
        <w:pStyle w:val="ListBullet"/>
      </w:pPr>
      <w:r>
        <w:rPr>
          <w:b/>
          <w:sz w:val="22"/>
        </w:rPr>
        <w:t xml:space="preserve">constants.ts: </w:t>
      </w:r>
      <w:r>
        <w:t>Bom exemplo de código auto-documentado. Adicionar JSDoc nas constantes de negócio (SIMILARITY_THRESHOLD, DEFAULT_IPCA_RATE) explicando a lógica por trás dos valores.</w:t>
      </w:r>
    </w:p>
    <w:p>
      <w:pPr>
        <w:pStyle w:val="ListBullet"/>
      </w:pPr>
      <w:r>
        <w:rPr>
          <w:b/>
          <w:sz w:val="22"/>
        </w:rPr>
        <w:t xml:space="preserve">middleware.ts: </w:t>
      </w:r>
      <w:r>
        <w:t>Adicionar comentários explicando a lógica de rate limiting por rota e o motivo do check de auth estar comentado.</w:t>
      </w:r>
    </w:p>
    <w:p>
      <w:pPr>
        <w:pStyle w:val="ListBullet"/>
      </w:pPr>
      <w:r>
        <w:rPr>
          <w:b/>
          <w:sz w:val="22"/>
        </w:rPr>
        <w:t xml:space="preserve">AssetContext.tsx: </w:t>
      </w:r>
      <w:r>
        <w:t>Documentar o state tree e o ciclo de vida dos handlers. Explicar por que handleNavigate usa router.push com mapeamento de views.</w:t>
      </w:r>
    </w:p>
    <w:p>
      <w:pPr>
        <w:pStyle w:val="ListBullet"/>
      </w:pPr>
      <w:r>
        <w:rPr>
          <w:b/>
          <w:sz w:val="22"/>
        </w:rPr>
        <w:t xml:space="preserve">types.ts (ai-studio): </w:t>
      </w:r>
      <w:r>
        <w:t>As interfaces estão bem tipadas mas alguns campos ambíguos precisam de descrição (ex: LeaseDetails.contractFile, FinancingDetails.phases).</w:t>
      </w:r>
    </w:p>
    <w:p>
      <w:pPr>
        <w:pStyle w:val="Heading1"/>
      </w:pPr>
      <w:r>
        <w:t>10. Plano de Ação Priorizado</w:t>
      </w:r>
    </w:p>
    <w:p>
      <w:r>
        <w:t>O plano abaixo organiza as recomendações por prioridade e impacto, considerando que o projeto está em fase MVP/single-user com ambição de escalar.</w:t>
      </w:r>
    </w:p>
    <w:tbl>
      <w:tblPr>
        <w:tblStyle w:val="LightGrid-Accent1"/>
        <w:tblW w:type="auto" w:w="0"/>
        <w:jc w:val="left"/>
        <w:tblLook w:firstColumn="1" w:firstRow="1" w:lastColumn="0" w:lastRow="0" w:noHBand="0" w:noVBand="1" w:val="04A0"/>
      </w:tblPr>
      <w:tblGrid>
        <w:gridCol w:w="2339"/>
        <w:gridCol w:w="2339"/>
        <w:gridCol w:w="2339"/>
        <w:gridCol w:w="2339"/>
      </w:tblGrid>
      <w:tr>
        <w:tc>
          <w:tcPr>
            <w:tcW w:type="dxa" w:w="1701"/>
            <w:shd w:fill="1B4F72" w:val="clear"/>
          </w:tcPr>
          <w:p>
            <w:pPr>
              <w:jc w:val="left"/>
            </w:pPr>
            <w:r>
              <w:rPr>
                <w:rFonts w:ascii="Calibri" w:hAnsi="Calibri"/>
                <w:b/>
                <w:color w:val="FFFFFF"/>
                <w:sz w:val="20"/>
              </w:rPr>
              <w:t>Prioridade</w:t>
            </w:r>
          </w:p>
        </w:tc>
        <w:tc>
          <w:tcPr>
            <w:tcW w:type="dxa" w:w="3402"/>
            <w:shd w:fill="1B4F72" w:val="clear"/>
          </w:tcPr>
          <w:p>
            <w:pPr>
              <w:jc w:val="left"/>
            </w:pPr>
            <w:r>
              <w:rPr>
                <w:rFonts w:ascii="Calibri" w:hAnsi="Calibri"/>
                <w:b/>
                <w:color w:val="FFFFFF"/>
                <w:sz w:val="20"/>
              </w:rPr>
              <w:t>Ação</w:t>
            </w:r>
          </w:p>
        </w:tc>
        <w:tc>
          <w:tcPr>
            <w:tcW w:type="dxa" w:w="1134"/>
            <w:shd w:fill="1B4F72" w:val="clear"/>
          </w:tcPr>
          <w:p>
            <w:pPr>
              <w:jc w:val="left"/>
            </w:pPr>
            <w:r>
              <w:rPr>
                <w:rFonts w:ascii="Calibri" w:hAnsi="Calibri"/>
                <w:b/>
                <w:color w:val="FFFFFF"/>
                <w:sz w:val="20"/>
              </w:rPr>
              <w:t>Esforço</w:t>
            </w:r>
          </w:p>
        </w:tc>
        <w:tc>
          <w:tcPr>
            <w:tcW w:type="dxa" w:w="2835"/>
            <w:shd w:fill="1B4F72" w:val="clear"/>
          </w:tcPr>
          <w:p>
            <w:pPr>
              <w:jc w:val="left"/>
            </w:pPr>
            <w:r>
              <w:rPr>
                <w:rFonts w:ascii="Calibri" w:hAnsi="Calibri"/>
                <w:b/>
                <w:color w:val="FFFFFF"/>
                <w:sz w:val="20"/>
              </w:rPr>
              <w:t>Impacto</w:t>
            </w:r>
          </w:p>
        </w:tc>
      </w:tr>
      <w:tr>
        <w:tc>
          <w:tcPr>
            <w:tcW w:type="dxa" w:w="1701"/>
          </w:tcPr>
          <w:p>
            <w:r>
              <w:rPr>
                <w:rFonts w:ascii="Calibri" w:hAnsi="Calibri"/>
                <w:sz w:val="20"/>
              </w:rPr>
              <w:t>P0 (Crítica)</w:t>
            </w:r>
          </w:p>
        </w:tc>
        <w:tc>
          <w:tcPr>
            <w:tcW w:type="dxa" w:w="3402"/>
          </w:tcPr>
          <w:p>
            <w:r>
              <w:rPr>
                <w:rFonts w:ascii="Calibri" w:hAnsi="Calibri"/>
                <w:sz w:val="20"/>
              </w:rPr>
              <w:t>JSDoc em Server Actions e lib/</w:t>
            </w:r>
          </w:p>
        </w:tc>
        <w:tc>
          <w:tcPr>
            <w:tcW w:type="dxa" w:w="1134"/>
          </w:tcPr>
          <w:p>
            <w:r>
              <w:rPr>
                <w:rFonts w:ascii="Calibri" w:hAnsi="Calibri"/>
                <w:sz w:val="20"/>
              </w:rPr>
              <w:t>4-6h</w:t>
            </w:r>
          </w:p>
        </w:tc>
        <w:tc>
          <w:tcPr>
            <w:tcW w:type="dxa" w:w="2835"/>
          </w:tcPr>
          <w:p>
            <w:r>
              <w:rPr>
                <w:rFonts w:ascii="Calibri" w:hAnsi="Calibri"/>
                <w:sz w:val="20"/>
              </w:rPr>
              <w:t>Manutenibilidade imediata</w:t>
            </w:r>
          </w:p>
        </w:tc>
      </w:tr>
      <w:tr>
        <w:tc>
          <w:tcPr>
            <w:tcW w:type="dxa" w:w="1701"/>
          </w:tcPr>
          <w:p>
            <w:r>
              <w:rPr>
                <w:rFonts w:ascii="Calibri" w:hAnsi="Calibri"/>
                <w:sz w:val="20"/>
              </w:rPr>
              <w:t>P0 (Crítica)</w:t>
            </w:r>
          </w:p>
        </w:tc>
        <w:tc>
          <w:tcPr>
            <w:tcW w:type="dxa" w:w="3402"/>
          </w:tcPr>
          <w:p>
            <w:r>
              <w:rPr>
                <w:rFonts w:ascii="Calibri" w:hAnsi="Calibri"/>
                <w:sz w:val="20"/>
              </w:rPr>
              <w:t>docs/DEPLOYMENT.md</w:t>
            </w:r>
          </w:p>
        </w:tc>
        <w:tc>
          <w:tcPr>
            <w:tcW w:type="dxa" w:w="1134"/>
          </w:tcPr>
          <w:p>
            <w:r>
              <w:rPr>
                <w:rFonts w:ascii="Calibri" w:hAnsi="Calibri"/>
                <w:sz w:val="20"/>
              </w:rPr>
              <w:t>2-3h</w:t>
            </w:r>
          </w:p>
        </w:tc>
        <w:tc>
          <w:tcPr>
            <w:tcW w:type="dxa" w:w="2835"/>
          </w:tcPr>
          <w:p>
            <w:r>
              <w:rPr>
                <w:rFonts w:ascii="Calibri" w:hAnsi="Calibri"/>
                <w:sz w:val="20"/>
              </w:rPr>
              <w:t>Viabiliza produção</w:t>
            </w:r>
          </w:p>
        </w:tc>
      </w:tr>
      <w:tr>
        <w:tc>
          <w:tcPr>
            <w:tcW w:type="dxa" w:w="1701"/>
          </w:tcPr>
          <w:p>
            <w:r>
              <w:rPr>
                <w:rFonts w:ascii="Calibri" w:hAnsi="Calibri"/>
                <w:sz w:val="20"/>
              </w:rPr>
              <w:t>P1 (Alta)</w:t>
            </w:r>
          </w:p>
        </w:tc>
        <w:tc>
          <w:tcPr>
            <w:tcW w:type="dxa" w:w="3402"/>
          </w:tcPr>
          <w:p>
            <w:r>
              <w:rPr>
                <w:rFonts w:ascii="Calibri" w:hAnsi="Calibri"/>
                <w:sz w:val="20"/>
              </w:rPr>
              <w:t>docs/API.md (endpoints + actions)</w:t>
            </w:r>
          </w:p>
        </w:tc>
        <w:tc>
          <w:tcPr>
            <w:tcW w:type="dxa" w:w="1134"/>
          </w:tcPr>
          <w:p>
            <w:r>
              <w:rPr>
                <w:rFonts w:ascii="Calibri" w:hAnsi="Calibri"/>
                <w:sz w:val="20"/>
              </w:rPr>
              <w:t>4-6h</w:t>
            </w:r>
          </w:p>
        </w:tc>
        <w:tc>
          <w:tcPr>
            <w:tcW w:type="dxa" w:w="2835"/>
          </w:tcPr>
          <w:p>
            <w:r>
              <w:rPr>
                <w:rFonts w:ascii="Calibri" w:hAnsi="Calibri"/>
                <w:sz w:val="20"/>
              </w:rPr>
              <w:t>Integração e onboarding</w:t>
            </w:r>
          </w:p>
        </w:tc>
      </w:tr>
      <w:tr>
        <w:tc>
          <w:tcPr>
            <w:tcW w:type="dxa" w:w="1701"/>
          </w:tcPr>
          <w:p>
            <w:r>
              <w:rPr>
                <w:rFonts w:ascii="Calibri" w:hAnsi="Calibri"/>
                <w:sz w:val="20"/>
              </w:rPr>
              <w:t>P1 (Alta)</w:t>
            </w:r>
          </w:p>
        </w:tc>
        <w:tc>
          <w:tcPr>
            <w:tcW w:type="dxa" w:w="3402"/>
          </w:tcPr>
          <w:p>
            <w:r>
              <w:rPr>
                <w:rFonts w:ascii="Calibri" w:hAnsi="Calibri"/>
                <w:sz w:val="20"/>
              </w:rPr>
              <w:t>SECURITY.md + habilitar auth</w:t>
            </w:r>
          </w:p>
        </w:tc>
        <w:tc>
          <w:tcPr>
            <w:tcW w:type="dxa" w:w="1134"/>
          </w:tcPr>
          <w:p>
            <w:r>
              <w:rPr>
                <w:rFonts w:ascii="Calibri" w:hAnsi="Calibri"/>
                <w:sz w:val="20"/>
              </w:rPr>
              <w:t>2-3h</w:t>
            </w:r>
          </w:p>
        </w:tc>
        <w:tc>
          <w:tcPr>
            <w:tcW w:type="dxa" w:w="2835"/>
          </w:tcPr>
          <w:p>
            <w:r>
              <w:rPr>
                <w:rFonts w:ascii="Calibri" w:hAnsi="Calibri"/>
                <w:sz w:val="20"/>
              </w:rPr>
              <w:t>Produção segura</w:t>
            </w:r>
          </w:p>
        </w:tc>
      </w:tr>
      <w:tr>
        <w:tc>
          <w:tcPr>
            <w:tcW w:type="dxa" w:w="1701"/>
          </w:tcPr>
          <w:p>
            <w:r>
              <w:rPr>
                <w:rFonts w:ascii="Calibri" w:hAnsi="Calibri"/>
                <w:sz w:val="20"/>
              </w:rPr>
              <w:t>P1 (Alta)</w:t>
            </w:r>
          </w:p>
        </w:tc>
        <w:tc>
          <w:tcPr>
            <w:tcW w:type="dxa" w:w="3402"/>
          </w:tcPr>
          <w:p>
            <w:r>
              <w:rPr>
                <w:rFonts w:ascii="Calibri" w:hAnsi="Calibri"/>
                <w:sz w:val="20"/>
              </w:rPr>
              <w:t>docs/DATABASE.md + ERD</w:t>
            </w:r>
          </w:p>
        </w:tc>
        <w:tc>
          <w:tcPr>
            <w:tcW w:type="dxa" w:w="1134"/>
          </w:tcPr>
          <w:p>
            <w:r>
              <w:rPr>
                <w:rFonts w:ascii="Calibri" w:hAnsi="Calibri"/>
                <w:sz w:val="20"/>
              </w:rPr>
              <w:t>3-4h</w:t>
            </w:r>
          </w:p>
        </w:tc>
        <w:tc>
          <w:tcPr>
            <w:tcW w:type="dxa" w:w="2835"/>
          </w:tcPr>
          <w:p>
            <w:r>
              <w:rPr>
                <w:rFonts w:ascii="Calibri" w:hAnsi="Calibri"/>
                <w:sz w:val="20"/>
              </w:rPr>
              <w:t>Compreensão do domínio</w:t>
            </w:r>
          </w:p>
        </w:tc>
      </w:tr>
      <w:tr>
        <w:tc>
          <w:tcPr>
            <w:tcW w:type="dxa" w:w="1701"/>
          </w:tcPr>
          <w:p>
            <w:r>
              <w:rPr>
                <w:rFonts w:ascii="Calibri" w:hAnsi="Calibri"/>
                <w:sz w:val="20"/>
              </w:rPr>
              <w:t>P2 (Média)</w:t>
            </w:r>
          </w:p>
        </w:tc>
        <w:tc>
          <w:tcPr>
            <w:tcW w:type="dxa" w:w="3402"/>
          </w:tcPr>
          <w:p>
            <w:r>
              <w:rPr>
                <w:rFonts w:ascii="Calibri" w:hAnsi="Calibri"/>
                <w:sz w:val="20"/>
              </w:rPr>
              <w:t>CONTRIBUTING.md expandido</w:t>
            </w:r>
          </w:p>
        </w:tc>
        <w:tc>
          <w:tcPr>
            <w:tcW w:type="dxa" w:w="1134"/>
          </w:tcPr>
          <w:p>
            <w:r>
              <w:rPr>
                <w:rFonts w:ascii="Calibri" w:hAnsi="Calibri"/>
                <w:sz w:val="20"/>
              </w:rPr>
              <w:t>2-3h</w:t>
            </w:r>
          </w:p>
        </w:tc>
        <w:tc>
          <w:tcPr>
            <w:tcW w:type="dxa" w:w="2835"/>
          </w:tcPr>
          <w:p>
            <w:r>
              <w:rPr>
                <w:rFonts w:ascii="Calibri" w:hAnsi="Calibri"/>
                <w:sz w:val="20"/>
              </w:rPr>
              <w:t>Colaboração futura</w:t>
            </w:r>
          </w:p>
        </w:tc>
      </w:tr>
      <w:tr>
        <w:tc>
          <w:tcPr>
            <w:tcW w:type="dxa" w:w="1701"/>
          </w:tcPr>
          <w:p>
            <w:r>
              <w:rPr>
                <w:rFonts w:ascii="Calibri" w:hAnsi="Calibri"/>
                <w:sz w:val="20"/>
              </w:rPr>
              <w:t>P2 (Média)</w:t>
            </w:r>
          </w:p>
        </w:tc>
        <w:tc>
          <w:tcPr>
            <w:tcW w:type="dxa" w:w="3402"/>
          </w:tcPr>
          <w:p>
            <w:r>
              <w:rPr>
                <w:rFonts w:ascii="Calibri" w:hAnsi="Calibri"/>
                <w:sz w:val="20"/>
              </w:rPr>
              <w:t>CHANGELOG.md separado</w:t>
            </w:r>
          </w:p>
        </w:tc>
        <w:tc>
          <w:tcPr>
            <w:tcW w:type="dxa" w:w="1134"/>
          </w:tcPr>
          <w:p>
            <w:r>
              <w:rPr>
                <w:rFonts w:ascii="Calibri" w:hAnsi="Calibri"/>
                <w:sz w:val="20"/>
              </w:rPr>
              <w:t>1h</w:t>
            </w:r>
          </w:p>
        </w:tc>
        <w:tc>
          <w:tcPr>
            <w:tcW w:type="dxa" w:w="2835"/>
          </w:tcPr>
          <w:p>
            <w:r>
              <w:rPr>
                <w:rFonts w:ascii="Calibri" w:hAnsi="Calibri"/>
                <w:sz w:val="20"/>
              </w:rPr>
              <w:t>Rastreabilidade</w:t>
            </w:r>
          </w:p>
        </w:tc>
      </w:tr>
      <w:tr>
        <w:tc>
          <w:tcPr>
            <w:tcW w:type="dxa" w:w="1701"/>
          </w:tcPr>
          <w:p>
            <w:r>
              <w:rPr>
                <w:rFonts w:ascii="Calibri" w:hAnsi="Calibri"/>
                <w:sz w:val="20"/>
              </w:rPr>
              <w:t>P2 (Média)</w:t>
            </w:r>
          </w:p>
        </w:tc>
        <w:tc>
          <w:tcPr>
            <w:tcW w:type="dxa" w:w="3402"/>
          </w:tcPr>
          <w:p>
            <w:r>
              <w:rPr>
                <w:rFonts w:ascii="Calibri" w:hAnsi="Calibri"/>
                <w:sz w:val="20"/>
              </w:rPr>
              <w:t>Melhorias no README.md</w:t>
            </w:r>
          </w:p>
        </w:tc>
        <w:tc>
          <w:tcPr>
            <w:tcW w:type="dxa" w:w="1134"/>
          </w:tcPr>
          <w:p>
            <w:r>
              <w:rPr>
                <w:rFonts w:ascii="Calibri" w:hAnsi="Calibri"/>
                <w:sz w:val="20"/>
              </w:rPr>
              <w:t>2h</w:t>
            </w:r>
          </w:p>
        </w:tc>
        <w:tc>
          <w:tcPr>
            <w:tcW w:type="dxa" w:w="2835"/>
          </w:tcPr>
          <w:p>
            <w:r>
              <w:rPr>
                <w:rFonts w:ascii="Calibri" w:hAnsi="Calibri"/>
                <w:sz w:val="20"/>
              </w:rPr>
              <w:t>Primeira impressão</w:t>
            </w:r>
          </w:p>
        </w:tc>
      </w:tr>
      <w:tr>
        <w:tc>
          <w:tcPr>
            <w:tcW w:type="dxa" w:w="1701"/>
          </w:tcPr>
          <w:p>
            <w:r>
              <w:rPr>
                <w:rFonts w:ascii="Calibri" w:hAnsi="Calibri"/>
                <w:sz w:val="20"/>
              </w:rPr>
              <w:t>P2 (Média)</w:t>
            </w:r>
          </w:p>
        </w:tc>
        <w:tc>
          <w:tcPr>
            <w:tcW w:type="dxa" w:w="3402"/>
          </w:tcPr>
          <w:p>
            <w:r>
              <w:rPr>
                <w:rFonts w:ascii="Calibri" w:hAnsi="Calibri"/>
                <w:sz w:val="20"/>
              </w:rPr>
              <w:t>Corrigir inconsistência tipos ativo</w:t>
            </w:r>
          </w:p>
        </w:tc>
        <w:tc>
          <w:tcPr>
            <w:tcW w:type="dxa" w:w="1134"/>
          </w:tcPr>
          <w:p>
            <w:r>
              <w:rPr>
                <w:rFonts w:ascii="Calibri" w:hAnsi="Calibri"/>
                <w:sz w:val="20"/>
              </w:rPr>
              <w:t>1h</w:t>
            </w:r>
          </w:p>
        </w:tc>
        <w:tc>
          <w:tcPr>
            <w:tcW w:type="dxa" w:w="2835"/>
          </w:tcPr>
          <w:p>
            <w:r>
              <w:rPr>
                <w:rFonts w:ascii="Calibri" w:hAnsi="Calibri"/>
                <w:sz w:val="20"/>
              </w:rPr>
              <w:t>Correção de bug doc</w:t>
            </w:r>
          </w:p>
        </w:tc>
      </w:tr>
      <w:tr>
        <w:tc>
          <w:tcPr>
            <w:tcW w:type="dxa" w:w="1701"/>
          </w:tcPr>
          <w:p>
            <w:r>
              <w:rPr>
                <w:rFonts w:ascii="Calibri" w:hAnsi="Calibri"/>
                <w:sz w:val="20"/>
              </w:rPr>
              <w:t>P3 (Baixa)</w:t>
            </w:r>
          </w:p>
        </w:tc>
        <w:tc>
          <w:tcPr>
            <w:tcW w:type="dxa" w:w="3402"/>
          </w:tcPr>
          <w:p>
            <w:r>
              <w:rPr>
                <w:rFonts w:ascii="Calibri" w:hAnsi="Calibri"/>
                <w:sz w:val="20"/>
              </w:rPr>
              <w:t>ADR/ formais</w:t>
            </w:r>
          </w:p>
        </w:tc>
        <w:tc>
          <w:tcPr>
            <w:tcW w:type="dxa" w:w="1134"/>
          </w:tcPr>
          <w:p>
            <w:r>
              <w:rPr>
                <w:rFonts w:ascii="Calibri" w:hAnsi="Calibri"/>
                <w:sz w:val="20"/>
              </w:rPr>
              <w:t>2-3h</w:t>
            </w:r>
          </w:p>
        </w:tc>
        <w:tc>
          <w:tcPr>
            <w:tcW w:type="dxa" w:w="2835"/>
          </w:tcPr>
          <w:p>
            <w:r>
              <w:rPr>
                <w:rFonts w:ascii="Calibri" w:hAnsi="Calibri"/>
                <w:sz w:val="20"/>
              </w:rPr>
              <w:t>Governança técnica</w:t>
            </w:r>
          </w:p>
        </w:tc>
      </w:tr>
      <w:tr>
        <w:tc>
          <w:tcPr>
            <w:tcW w:type="dxa" w:w="1701"/>
          </w:tcPr>
          <w:p>
            <w:r>
              <w:rPr>
                <w:rFonts w:ascii="Calibri" w:hAnsi="Calibri"/>
                <w:sz w:val="20"/>
              </w:rPr>
              <w:t>P3 (Baixa)</w:t>
            </w:r>
          </w:p>
        </w:tc>
        <w:tc>
          <w:tcPr>
            <w:tcW w:type="dxa" w:w="3402"/>
          </w:tcPr>
          <w:p>
            <w:r>
              <w:rPr>
                <w:rFonts w:ascii="Calibri" w:hAnsi="Calibri"/>
                <w:sz w:val="20"/>
              </w:rPr>
              <w:t>Screenshots no README</w:t>
            </w:r>
          </w:p>
        </w:tc>
        <w:tc>
          <w:tcPr>
            <w:tcW w:type="dxa" w:w="1134"/>
          </w:tcPr>
          <w:p>
            <w:r>
              <w:rPr>
                <w:rFonts w:ascii="Calibri" w:hAnsi="Calibri"/>
                <w:sz w:val="20"/>
              </w:rPr>
              <w:t>1-2h</w:t>
            </w:r>
          </w:p>
        </w:tc>
        <w:tc>
          <w:tcPr>
            <w:tcW w:type="dxa" w:w="2835"/>
          </w:tcPr>
          <w:p>
            <w:r>
              <w:rPr>
                <w:rFonts w:ascii="Calibri" w:hAnsi="Calibri"/>
                <w:sz w:val="20"/>
              </w:rPr>
              <w:t>Apresentação visual</w:t>
            </w:r>
          </w:p>
        </w:tc>
      </w:tr>
      <w:tr>
        <w:tc>
          <w:tcPr>
            <w:tcW w:type="dxa" w:w="1701"/>
          </w:tcPr>
          <w:p>
            <w:r>
              <w:rPr>
                <w:rFonts w:ascii="Calibri" w:hAnsi="Calibri"/>
                <w:sz w:val="20"/>
              </w:rPr>
              <w:t>P3 (Baixa)</w:t>
            </w:r>
          </w:p>
        </w:tc>
        <w:tc>
          <w:tcPr>
            <w:tcW w:type="dxa" w:w="3402"/>
          </w:tcPr>
          <w:p>
            <w:r>
              <w:rPr>
                <w:rFonts w:ascii="Calibri" w:hAnsi="Calibri"/>
                <w:sz w:val="20"/>
              </w:rPr>
              <w:t>.gitignore cleanup</w:t>
            </w:r>
          </w:p>
        </w:tc>
        <w:tc>
          <w:tcPr>
            <w:tcW w:type="dxa" w:w="1134"/>
          </w:tcPr>
          <w:p>
            <w:r>
              <w:rPr>
                <w:rFonts w:ascii="Calibri" w:hAnsi="Calibri"/>
                <w:sz w:val="20"/>
              </w:rPr>
              <w:t>15min</w:t>
            </w:r>
          </w:p>
        </w:tc>
        <w:tc>
          <w:tcPr>
            <w:tcW w:type="dxa" w:w="2835"/>
          </w:tcPr>
          <w:p>
            <w:r>
              <w:rPr>
                <w:rFonts w:ascii="Calibri" w:hAnsi="Calibri"/>
                <w:sz w:val="20"/>
              </w:rPr>
              <w:t>Higiene do repositório</w:t>
            </w:r>
          </w:p>
        </w:tc>
      </w:tr>
    </w:tbl>
    <w:p/>
    <w:p>
      <w:pPr>
        <w:pStyle w:val="Heading1"/>
      </w:pPr>
      <w:r>
        <w:t>11. Conclusão</w:t>
      </w:r>
    </w:p>
    <w:p>
      <w:r>
        <w:t>O Asset Manager Studio é um projeto tecnicamente maduro para seu estágio de desenvolvimento. O README.md existente é de qualidade excepcional e serve como referência. No entanto, para atingir um nível profissional de documentação — necessário para produção, onboarding de novos desenvolvedores e manutenção a longo prazo — são necessários os documentos complementares listados neste relatório.</w:t>
      </w:r>
    </w:p>
    <w:p>
      <w:r>
        <w:t>As prioridades imediatas (P0) são a documentação inline do código (JSDoc nos módulos críticos) e o guia de deploy, que são pré-requisitos para colocar o sistema em produção com segurança. As prioridades altas (P1) focam em API docs e segurança, que facilitam integrações e garantem operação segura. O investimento total estimado é de 20-30 horas de trabalho para cobrir todas as recomendações.</w:t>
      </w:r>
    </w:p>
    <w:p>
      <w:r>
        <w:t>Recomenda-se iniciar pela P0, que tem o maior ROI: documentar o que o código faz é essencial antes de expandir o time ou migrar para produção multi-tenant com PostgreSQL.</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4F72"/>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F618D"/>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2874A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