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099A25BA" w14:textId="343ACD5E" w:rsidR="00E15B80" w:rsidRPr="00ED6938" w:rsidRDefault="00E15B80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D6938">
        <w:rPr>
          <w:rFonts w:ascii="Helvetica Neue" w:hAnsi="Helvetica Neue"/>
          <w:sz w:val="24"/>
          <w:szCs w:val="24"/>
        </w:rPr>
        <w:t>Wang, Xiaoying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</w:t>
      </w:r>
      <w:r w:rsidRPr="00ED6938">
        <w:rPr>
          <w:rFonts w:ascii="Helvetica Neue" w:hAnsi="Helvetica Neue"/>
          <w:b/>
          <w:bCs/>
          <w:sz w:val="24"/>
          <w:szCs w:val="24"/>
        </w:rPr>
        <w:t>Cankun Wang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ED6938">
        <w:rPr>
          <w:rFonts w:ascii="Helvetica Neue" w:hAnsi="Helvetica Neue"/>
          <w:sz w:val="24"/>
          <w:szCs w:val="24"/>
        </w:rPr>
        <w:t>Bingqiang</w:t>
      </w:r>
      <w:proofErr w:type="spellEnd"/>
      <w:r w:rsidRPr="00ED693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  <w:r w:rsidRPr="003F6676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Pr="00ED6938">
        <w:rPr>
          <w:rFonts w:ascii="Helvetica Neue" w:hAnsi="Helvetica Neue"/>
          <w:sz w:val="24"/>
          <w:szCs w:val="24"/>
        </w:rPr>
        <w:t xml:space="preserve"> Journal 20 (January 1, 2022): 3053–58. </w:t>
      </w:r>
      <w:hyperlink r:id="rId8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47E74CC0" w14:textId="4BEE21F9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10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1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2EC8B2C2" w14:textId="1D36F043" w:rsidR="006A1163" w:rsidRPr="00E55FC0" w:rsidRDefault="006A1163" w:rsidP="006A1163">
      <w:pPr>
        <w:ind w:left="360"/>
        <w:jc w:val="both"/>
        <w:rPr>
          <w:rFonts w:ascii="Helvetica Neue" w:hAnsi="Helvetica Neue" w:cs="Helvetica"/>
          <w:b/>
          <w:noProof/>
          <w:lang w:eastAsia="en-US"/>
        </w:rPr>
      </w:pP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6255A0E1" w14:textId="58E37AF0" w:rsidR="006C7198" w:rsidRPr="00D465AA" w:rsidRDefault="006C7198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</w:t>
      </w:r>
      <w:proofErr w:type="spellStart"/>
      <w:r w:rsidRPr="00D465AA">
        <w:rPr>
          <w:rFonts w:ascii="Helvetica Neue" w:hAnsi="Helvetica Neue"/>
          <w:sz w:val="24"/>
          <w:szCs w:val="24"/>
        </w:rPr>
        <w:t>Sas</w:t>
      </w:r>
      <w:proofErr w:type="spellEnd"/>
      <w:r w:rsidRPr="00D465AA">
        <w:rPr>
          <w:rFonts w:ascii="Helvetica Neue" w:hAnsi="Helvetica Neue"/>
          <w:sz w:val="24"/>
          <w:szCs w:val="24"/>
        </w:rPr>
        <w:t xml:space="preserve">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</w:t>
      </w:r>
      <w:r w:rsidRPr="00D465AA">
        <w:rPr>
          <w:rFonts w:ascii="Helvetica Neue" w:hAnsi="Helvetica Neue"/>
          <w:sz w:val="24"/>
          <w:szCs w:val="24"/>
        </w:rPr>
        <w:lastRenderedPageBreak/>
        <w:t xml:space="preserve">the Clinical Course and Immunopathology of Autoimmune Demyelinating Disease.” JCI Insight 7, no. 12 (June 22, 2022). </w:t>
      </w:r>
      <w:hyperlink r:id="rId12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3096F2E6" w14:textId="2A88EF6B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3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4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5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6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7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8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19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20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21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lastRenderedPageBreak/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009B61C6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GraphQL</w:t>
      </w:r>
      <w:proofErr w:type="spellEnd"/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29"/>
      <w:footerReference w:type="default" r:id="rId30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A874" w14:textId="77777777" w:rsidR="008367FB" w:rsidRDefault="008367FB" w:rsidP="00B203FF">
      <w:r>
        <w:separator/>
      </w:r>
    </w:p>
  </w:endnote>
  <w:endnote w:type="continuationSeparator" w:id="0">
    <w:p w14:paraId="65E3400D" w14:textId="77777777" w:rsidR="008367FB" w:rsidRDefault="008367FB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601B" w14:textId="77777777" w:rsidR="008367FB" w:rsidRDefault="008367FB" w:rsidP="00B203FF">
      <w:r>
        <w:separator/>
      </w:r>
    </w:p>
  </w:footnote>
  <w:footnote w:type="continuationSeparator" w:id="0">
    <w:p w14:paraId="51E976E0" w14:textId="77777777" w:rsidR="008367FB" w:rsidRDefault="008367FB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6A292A7A" w:rsidR="00EB2687" w:rsidRPr="00254020" w:rsidRDefault="008367FB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8C43D0">
          <w:rPr>
            <w:rFonts w:ascii="Arial" w:hAnsi="Arial" w:cs="Arial"/>
            <w:i w:val="0"/>
            <w:sz w:val="22"/>
            <w:szCs w:val="22"/>
          </w:rPr>
          <w:t>June</w:t>
        </w:r>
        <w:r w:rsidR="00D202A1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5077BE">
          <w:rPr>
            <w:rFonts w:ascii="Arial" w:hAnsi="Arial" w:cs="Arial" w:hint="eastAsia"/>
            <w:i w:val="0"/>
            <w:sz w:val="22"/>
            <w:szCs w:val="22"/>
          </w:rPr>
          <w:t>2</w:t>
        </w:r>
        <w:r w:rsidR="008C43D0">
          <w:rPr>
            <w:rFonts w:ascii="Arial" w:hAnsi="Arial" w:cs="Arial"/>
            <w:i w:val="0"/>
            <w:sz w:val="22"/>
            <w:szCs w:val="22"/>
          </w:rPr>
          <w:t>4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367FB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30AB"/>
    <w:rsid w:val="008D41A5"/>
    <w:rsid w:val="008D5068"/>
    <w:rsid w:val="008D7A8B"/>
    <w:rsid w:val="008E1769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5AA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sbj.2022.06.031" TargetMode="External"/><Relationship Id="rId13" Type="http://schemas.openxmlformats.org/officeDocument/2006/relationships/hyperlink" Target="https://doi.org/10.1007/s00401-022-02417-4" TargetMode="External"/><Relationship Id="rId18" Type="http://schemas.openxmlformats.org/officeDocument/2006/relationships/hyperlink" Target="https://doi.org/10.1016/j.csbj.2020.03.028" TargetMode="External"/><Relationship Id="rId26" Type="http://schemas.openxmlformats.org/officeDocument/2006/relationships/hyperlink" Target="https://doi.org/10.1038/s41598-019-40780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93/bioinformatics/btz692" TargetMode="Externa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172/jci.insight.158153" TargetMode="External"/><Relationship Id="rId17" Type="http://schemas.openxmlformats.org/officeDocument/2006/relationships/hyperlink" Target="https://doi.org/10.1101/2020.11.30.403261" TargetMode="External"/><Relationship Id="rId25" Type="http://schemas.openxmlformats.org/officeDocument/2006/relationships/hyperlink" Target="https://doi.org/10.1371/journal.pcbi.100679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38/s41467-021-22197-x" TargetMode="External"/><Relationship Id="rId20" Type="http://schemas.openxmlformats.org/officeDocument/2006/relationships/hyperlink" Target="https://doi.org/10.3390/plants9010086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nar/gkaa394" TargetMode="External"/><Relationship Id="rId24" Type="http://schemas.openxmlformats.org/officeDocument/2006/relationships/hyperlink" Target="https://doi.org/10.1128/MRA.00275-19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1.07.07.451554" TargetMode="External"/><Relationship Id="rId23" Type="http://schemas.openxmlformats.org/officeDocument/2006/relationships/hyperlink" Target="https://doi.org/10.1128/MRA.00099-19" TargetMode="External"/><Relationship Id="rId28" Type="http://schemas.openxmlformats.org/officeDocument/2006/relationships/hyperlink" Target="https://doi.org/10.3389/fgene.2018.00313" TargetMode="External"/><Relationship Id="rId10" Type="http://schemas.openxmlformats.org/officeDocument/2006/relationships/hyperlink" Target="https://doi.org/10.1016/j.isci.2020.101769" TargetMode="External"/><Relationship Id="rId19" Type="http://schemas.openxmlformats.org/officeDocument/2006/relationships/hyperlink" Target="https://doi.org/10.1101/2020.08.02.23356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xpro.2021.100513" TargetMode="External"/><Relationship Id="rId14" Type="http://schemas.openxmlformats.org/officeDocument/2006/relationships/hyperlink" Target="https://doi.org/10.1101/2021.10.31.466658" TargetMode="External"/><Relationship Id="rId22" Type="http://schemas.openxmlformats.org/officeDocument/2006/relationships/hyperlink" Target="https://doi.org/10.1093/nar/gkz672" TargetMode="External"/><Relationship Id="rId27" Type="http://schemas.openxmlformats.org/officeDocument/2006/relationships/hyperlink" Target="https://doi.org/10.1093/bib/bby065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June 24, 2022</dc:title>
  <dc:creator>Jing Zhao</dc:creator>
  <cp:lastModifiedBy>Cankun Wang</cp:lastModifiedBy>
  <cp:revision>182</cp:revision>
  <cp:lastPrinted>2022-06-24T17:11:00Z</cp:lastPrinted>
  <dcterms:created xsi:type="dcterms:W3CDTF">2021-09-14T16:31:00Z</dcterms:created>
  <dcterms:modified xsi:type="dcterms:W3CDTF">2022-06-24T17:11:00Z</dcterms:modified>
</cp:coreProperties>
</file>