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08E" w:rsidRDefault="00DF1C72" w:rsidP="006B0935">
      <w:pPr>
        <w:pStyle w:val="Title"/>
      </w:pPr>
      <w:bookmarkStart w:id="0" w:name="_GoBack"/>
      <w:bookmarkEnd w:id="0"/>
      <w:r>
        <w:t>Assignment 8</w:t>
      </w:r>
      <w:r w:rsidR="00AF7070">
        <w:t xml:space="preserve">, </w:t>
      </w:r>
      <w:proofErr w:type="gramStart"/>
      <w:r w:rsidR="00654824">
        <w:t>The</w:t>
      </w:r>
      <w:proofErr w:type="gramEnd"/>
      <w:r w:rsidR="00654824">
        <w:t xml:space="preserve"> Vestibular System</w:t>
      </w:r>
    </w:p>
    <w:p w:rsidR="006B0935" w:rsidRDefault="006B0935" w:rsidP="006B0935">
      <w:pPr>
        <w:pStyle w:val="Subtitle"/>
      </w:pPr>
      <w:r>
        <w:t>Seqian Wang</w:t>
      </w:r>
      <w:r w:rsidR="002A3AE6">
        <w:t>,</w:t>
      </w:r>
      <w:r w:rsidR="00B83E66">
        <w:t xml:space="preserve"> </w:t>
      </w:r>
      <w:r w:rsidR="002A3AE6">
        <w:t xml:space="preserve">In Collaboration with </w:t>
      </w:r>
      <w:r w:rsidR="002A3AE6" w:rsidRPr="00DF1C72">
        <w:t>Sulantha Mathotaarachchi</w:t>
      </w:r>
      <w:r w:rsidR="002A3AE6">
        <w:t xml:space="preserve"> and Maxime Parent</w:t>
      </w:r>
    </w:p>
    <w:p w:rsidR="006B0935" w:rsidRDefault="00CC7899" w:rsidP="00CC7899">
      <w:pPr>
        <w:pStyle w:val="Heading1"/>
      </w:pPr>
      <w:r>
        <w:t>Semicircular canal mechanics versus afferent responses</w:t>
      </w:r>
    </w:p>
    <w:p w:rsidR="00F86567" w:rsidRPr="00F86567" w:rsidRDefault="00F86567" w:rsidP="00F86567">
      <w:r>
        <w:t xml:space="preserve">For the code, please refer to </w:t>
      </w:r>
      <w:proofErr w:type="spellStart"/>
      <w:r w:rsidR="003A4D5B">
        <w:t>aC</w:t>
      </w:r>
      <w:r w:rsidR="009119B4">
        <w:t>ode</w:t>
      </w:r>
      <w:r>
        <w:t>.m</w:t>
      </w:r>
      <w:proofErr w:type="spellEnd"/>
      <w:r w:rsidR="006C0C42">
        <w:t>.</w:t>
      </w:r>
    </w:p>
    <w:p w:rsidR="005D2E3F" w:rsidRPr="005D2E3F" w:rsidRDefault="00F47F6E" w:rsidP="005D2E3F">
      <w:pPr>
        <w:pStyle w:val="Heading2"/>
      </w:pPr>
      <w:r>
        <w:t xml:space="preserve">Input and </w:t>
      </w:r>
      <w:r w:rsidR="005D2E3F">
        <w:t xml:space="preserve">Output </w:t>
      </w:r>
      <w:proofErr w:type="spellStart"/>
      <w:r w:rsidR="005D2E3F">
        <w:t>sinewaves</w:t>
      </w:r>
      <w:proofErr w:type="spellEnd"/>
    </w:p>
    <w:p w:rsidR="00237280" w:rsidRDefault="00774B12" w:rsidP="00237280">
      <w:pPr>
        <w:keepNext/>
      </w:pPr>
      <w:r>
        <w:rPr>
          <w:noProof/>
        </w:rPr>
        <w:drawing>
          <wp:inline distT="0" distB="0" distL="0" distR="0" wp14:anchorId="27699A8F" wp14:editId="41A6A945">
            <wp:extent cx="5943600" cy="3336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C42" w:rsidRPr="006C0C42" w:rsidRDefault="00237280" w:rsidP="006C0C42">
      <w:pPr>
        <w:pStyle w:val="Caption"/>
      </w:pPr>
      <w:r>
        <w:t xml:space="preserve">Figure </w:t>
      </w:r>
      <w:fldSimple w:instr=" SEQ Figure \* ARABIC ">
        <w:r w:rsidR="00C17E37">
          <w:rPr>
            <w:noProof/>
          </w:rPr>
          <w:t>1</w:t>
        </w:r>
      </w:fldSimple>
      <w:r>
        <w:t xml:space="preserve">: </w:t>
      </w:r>
      <w:r w:rsidR="004E3805">
        <w:t xml:space="preserve">Input and output </w:t>
      </w:r>
      <w:proofErr w:type="spellStart"/>
      <w:r w:rsidR="004E3805">
        <w:t>sinewaves</w:t>
      </w:r>
      <w:proofErr w:type="spellEnd"/>
      <w:r w:rsidR="004E3805">
        <w:t xml:space="preserve"> for the Canal Afferents and Torsion Pendulum at dif</w:t>
      </w:r>
      <w:r w:rsidR="006C0C42">
        <w:t>ferent fundamental frequencies.</w:t>
      </w:r>
    </w:p>
    <w:p w:rsidR="00055506" w:rsidRDefault="00055506" w:rsidP="00055506">
      <w:pPr>
        <w:pStyle w:val="Heading2"/>
        <w:rPr>
          <w:lang w:val="en-US"/>
        </w:rPr>
      </w:pPr>
      <w:r>
        <w:rPr>
          <w:lang w:val="en-US"/>
        </w:rPr>
        <w:t>Manually compute the input-output ga</w:t>
      </w:r>
      <w:r w:rsidR="005D2E3F">
        <w:rPr>
          <w:lang w:val="en-US"/>
        </w:rPr>
        <w:t>in and phase shift (in degrees)</w:t>
      </w:r>
    </w:p>
    <w:p w:rsidR="00FD3D03" w:rsidRDefault="006C0C42" w:rsidP="00FD3D03">
      <w:pPr>
        <w:rPr>
          <w:lang w:val="en-US"/>
        </w:rPr>
      </w:pPr>
      <w:r>
        <w:rPr>
          <w:lang w:val="en-US"/>
        </w:rPr>
        <w:t xml:space="preserve">To measure the input-output gain, I divided the </w:t>
      </w:r>
      <w:r w:rsidR="00E70505">
        <w:rPr>
          <w:lang w:val="en-US"/>
        </w:rPr>
        <w:t>peak in the output by the peak in the input</w:t>
      </w:r>
      <w:r w:rsidR="003C7DE0">
        <w:rPr>
          <w:lang w:val="en-US"/>
        </w:rPr>
        <w:t xml:space="preserve"> (measured manually)</w:t>
      </w:r>
      <w:r w:rsidR="00E70505">
        <w:rPr>
          <w:lang w:val="en-US"/>
        </w:rPr>
        <w:t xml:space="preserve">. As for </w:t>
      </w:r>
      <w:r w:rsidR="00F464F1">
        <w:rPr>
          <w:lang w:val="en-US"/>
        </w:rPr>
        <w:t xml:space="preserve">the </w:t>
      </w:r>
      <w:r>
        <w:rPr>
          <w:lang w:val="en-US"/>
        </w:rPr>
        <w:t>phase shift</w:t>
      </w:r>
      <w:r w:rsidR="00E70505">
        <w:rPr>
          <w:lang w:val="en-US"/>
        </w:rPr>
        <w:t>, I measured the time difference and multiplied it by the fundamental frequency used</w:t>
      </w:r>
      <w:r w:rsidR="007A3206">
        <w:rPr>
          <w:lang w:val="en-US"/>
        </w:rPr>
        <w:t xml:space="preserve"> (times 360)</w:t>
      </w:r>
      <w:r w:rsidR="00E70505">
        <w:rPr>
          <w:lang w:val="en-US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6"/>
        <w:gridCol w:w="1204"/>
        <w:gridCol w:w="785"/>
        <w:gridCol w:w="830"/>
        <w:gridCol w:w="830"/>
      </w:tblGrid>
      <w:tr w:rsidR="00B80ECC" w:rsidTr="00B80ECC">
        <w:tc>
          <w:tcPr>
            <w:tcW w:w="0" w:type="auto"/>
          </w:tcPr>
          <w:p w:rsidR="00B80ECC" w:rsidRPr="00936395" w:rsidRDefault="00593881" w:rsidP="00FD3D03">
            <w:pPr>
              <w:rPr>
                <w:b/>
                <w:lang w:val="en-US"/>
              </w:rPr>
            </w:pPr>
            <w:r w:rsidRPr="00936395">
              <w:rPr>
                <w:b/>
                <w:lang w:val="en-US"/>
              </w:rPr>
              <w:t>Observed</w:t>
            </w:r>
          </w:p>
        </w:tc>
        <w:tc>
          <w:tcPr>
            <w:tcW w:w="0" w:type="auto"/>
          </w:tcPr>
          <w:p w:rsidR="00B80ECC" w:rsidRDefault="00593881" w:rsidP="00FD3D03">
            <w:pPr>
              <w:rPr>
                <w:lang w:val="en-US"/>
              </w:rPr>
            </w:pPr>
            <w:r>
              <w:rPr>
                <w:lang w:val="en-US"/>
              </w:rPr>
              <w:t>Frequency</w:t>
            </w:r>
          </w:p>
        </w:tc>
        <w:tc>
          <w:tcPr>
            <w:tcW w:w="0" w:type="auto"/>
          </w:tcPr>
          <w:p w:rsidR="00B80ECC" w:rsidRDefault="00B80ECC" w:rsidP="00FD3D03">
            <w:pPr>
              <w:rPr>
                <w:lang w:val="en-US"/>
              </w:rPr>
            </w:pPr>
            <w:r>
              <w:rPr>
                <w:lang w:val="en-US"/>
              </w:rPr>
              <w:t>0.5 Hz</w:t>
            </w:r>
          </w:p>
        </w:tc>
        <w:tc>
          <w:tcPr>
            <w:tcW w:w="0" w:type="auto"/>
          </w:tcPr>
          <w:p w:rsidR="00B80ECC" w:rsidRDefault="00B80ECC" w:rsidP="00FD3D03">
            <w:pPr>
              <w:rPr>
                <w:lang w:val="en-US"/>
              </w:rPr>
            </w:pPr>
            <w:r>
              <w:rPr>
                <w:lang w:val="en-US"/>
              </w:rPr>
              <w:t>10 Hz</w:t>
            </w:r>
          </w:p>
        </w:tc>
        <w:tc>
          <w:tcPr>
            <w:tcW w:w="0" w:type="auto"/>
          </w:tcPr>
          <w:p w:rsidR="00B80ECC" w:rsidRDefault="00B80ECC" w:rsidP="00FD3D03">
            <w:pPr>
              <w:rPr>
                <w:lang w:val="en-US"/>
              </w:rPr>
            </w:pPr>
            <w:r>
              <w:rPr>
                <w:lang w:val="en-US"/>
              </w:rPr>
              <w:t>20 Hz</w:t>
            </w:r>
          </w:p>
        </w:tc>
      </w:tr>
      <w:tr w:rsidR="00B80ECC" w:rsidTr="00B80ECC">
        <w:tc>
          <w:tcPr>
            <w:tcW w:w="0" w:type="auto"/>
            <w:vMerge w:val="restart"/>
            <w:vAlign w:val="center"/>
          </w:tcPr>
          <w:p w:rsidR="00B80ECC" w:rsidRDefault="00B80ECC" w:rsidP="00B80ECC">
            <w:pPr>
              <w:rPr>
                <w:lang w:val="en-US"/>
              </w:rPr>
            </w:pPr>
            <w:r>
              <w:rPr>
                <w:lang w:val="en-US"/>
              </w:rPr>
              <w:t>Canal Afferents</w:t>
            </w:r>
          </w:p>
        </w:tc>
        <w:tc>
          <w:tcPr>
            <w:tcW w:w="0" w:type="auto"/>
          </w:tcPr>
          <w:p w:rsidR="00B80ECC" w:rsidRDefault="00B80ECC" w:rsidP="00FD3D03">
            <w:pPr>
              <w:rPr>
                <w:lang w:val="en-US"/>
              </w:rPr>
            </w:pPr>
            <w:r>
              <w:rPr>
                <w:lang w:val="en-US"/>
              </w:rPr>
              <w:t>Gain</w:t>
            </w:r>
          </w:p>
        </w:tc>
        <w:tc>
          <w:tcPr>
            <w:tcW w:w="0" w:type="auto"/>
          </w:tcPr>
          <w:p w:rsidR="00B80ECC" w:rsidRDefault="00491A2E" w:rsidP="00FD3D03">
            <w:pPr>
              <w:rPr>
                <w:lang w:val="en-US"/>
              </w:rPr>
            </w:pPr>
            <w:r>
              <w:rPr>
                <w:lang w:val="en-US"/>
              </w:rPr>
              <w:t>0.18</w:t>
            </w:r>
          </w:p>
        </w:tc>
        <w:tc>
          <w:tcPr>
            <w:tcW w:w="0" w:type="auto"/>
          </w:tcPr>
          <w:p w:rsidR="00B80ECC" w:rsidRDefault="00491A2E" w:rsidP="00491A2E">
            <w:pPr>
              <w:rPr>
                <w:lang w:val="en-US"/>
              </w:rPr>
            </w:pPr>
            <w:r>
              <w:rPr>
                <w:lang w:val="en-US"/>
              </w:rPr>
              <w:t>0.25</w:t>
            </w:r>
          </w:p>
        </w:tc>
        <w:tc>
          <w:tcPr>
            <w:tcW w:w="0" w:type="auto"/>
          </w:tcPr>
          <w:p w:rsidR="00B80ECC" w:rsidRDefault="00491A2E" w:rsidP="00FD3D03">
            <w:pPr>
              <w:rPr>
                <w:lang w:val="en-US"/>
              </w:rPr>
            </w:pPr>
            <w:r>
              <w:rPr>
                <w:lang w:val="en-US"/>
              </w:rPr>
              <w:t>0.39</w:t>
            </w:r>
          </w:p>
        </w:tc>
      </w:tr>
      <w:tr w:rsidR="00B80ECC" w:rsidTr="00B80ECC">
        <w:tc>
          <w:tcPr>
            <w:tcW w:w="0" w:type="auto"/>
            <w:vMerge/>
          </w:tcPr>
          <w:p w:rsidR="00B80ECC" w:rsidRDefault="00B80ECC" w:rsidP="00FD3D03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B80ECC" w:rsidRPr="006A0774" w:rsidRDefault="00B80ECC" w:rsidP="00FD3D03">
            <w:pPr>
              <w:rPr>
                <w:lang w:val="en-US"/>
              </w:rPr>
            </w:pPr>
            <w:r w:rsidRPr="006A0774">
              <w:rPr>
                <w:lang w:val="en-US"/>
              </w:rPr>
              <w:t>Phase Shift</w:t>
            </w:r>
          </w:p>
        </w:tc>
        <w:tc>
          <w:tcPr>
            <w:tcW w:w="0" w:type="auto"/>
          </w:tcPr>
          <w:p w:rsidR="00B80ECC" w:rsidRPr="006A0774" w:rsidRDefault="006A0774" w:rsidP="006A0774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0" w:type="auto"/>
          </w:tcPr>
          <w:p w:rsidR="00B80ECC" w:rsidRPr="006A0774" w:rsidRDefault="00915F63" w:rsidP="00915F63">
            <w:pPr>
              <w:rPr>
                <w:lang w:val="en-US"/>
              </w:rPr>
            </w:pPr>
            <w:r w:rsidRPr="006A0774">
              <w:rPr>
                <w:lang w:val="en-US"/>
              </w:rPr>
              <w:t>36</w:t>
            </w:r>
          </w:p>
        </w:tc>
        <w:tc>
          <w:tcPr>
            <w:tcW w:w="0" w:type="auto"/>
          </w:tcPr>
          <w:p w:rsidR="00B80ECC" w:rsidRPr="006A0774" w:rsidRDefault="00245ED0" w:rsidP="00245ED0">
            <w:pPr>
              <w:rPr>
                <w:lang w:val="en-US"/>
              </w:rPr>
            </w:pPr>
            <w:r w:rsidRPr="006A0774">
              <w:rPr>
                <w:lang w:val="en-US"/>
              </w:rPr>
              <w:t>50.4</w:t>
            </w:r>
          </w:p>
        </w:tc>
      </w:tr>
      <w:tr w:rsidR="00B80ECC" w:rsidTr="00B80ECC">
        <w:tc>
          <w:tcPr>
            <w:tcW w:w="0" w:type="auto"/>
            <w:vMerge w:val="restart"/>
            <w:vAlign w:val="center"/>
          </w:tcPr>
          <w:p w:rsidR="00B80ECC" w:rsidRDefault="00B80ECC" w:rsidP="00B80ECC">
            <w:pPr>
              <w:rPr>
                <w:lang w:val="en-US"/>
              </w:rPr>
            </w:pPr>
            <w:r>
              <w:rPr>
                <w:lang w:val="en-US"/>
              </w:rPr>
              <w:t>Torsion Pendulum</w:t>
            </w:r>
          </w:p>
        </w:tc>
        <w:tc>
          <w:tcPr>
            <w:tcW w:w="0" w:type="auto"/>
          </w:tcPr>
          <w:p w:rsidR="00B80ECC" w:rsidRPr="006A0774" w:rsidRDefault="00B80ECC" w:rsidP="00FD3D03">
            <w:pPr>
              <w:rPr>
                <w:lang w:val="en-US"/>
              </w:rPr>
            </w:pPr>
            <w:r w:rsidRPr="006A0774">
              <w:rPr>
                <w:lang w:val="en-US"/>
              </w:rPr>
              <w:t>Gain</w:t>
            </w:r>
          </w:p>
        </w:tc>
        <w:tc>
          <w:tcPr>
            <w:tcW w:w="0" w:type="auto"/>
          </w:tcPr>
          <w:p w:rsidR="00B80ECC" w:rsidRPr="006A0774" w:rsidRDefault="00491A2E" w:rsidP="00FD3D03">
            <w:pPr>
              <w:rPr>
                <w:lang w:val="en-US"/>
              </w:rPr>
            </w:pPr>
            <w:r w:rsidRPr="006A0774">
              <w:rPr>
                <w:lang w:val="en-US"/>
              </w:rPr>
              <w:t>0.10</w:t>
            </w:r>
          </w:p>
        </w:tc>
        <w:tc>
          <w:tcPr>
            <w:tcW w:w="0" w:type="auto"/>
          </w:tcPr>
          <w:p w:rsidR="00B80ECC" w:rsidRPr="006A0774" w:rsidRDefault="00491A2E" w:rsidP="00FD3D03">
            <w:pPr>
              <w:rPr>
                <w:lang w:val="en-US"/>
              </w:rPr>
            </w:pPr>
            <w:r w:rsidRPr="006A0774">
              <w:rPr>
                <w:lang w:val="en-US"/>
              </w:rPr>
              <w:t>0.0055</w:t>
            </w:r>
          </w:p>
        </w:tc>
        <w:tc>
          <w:tcPr>
            <w:tcW w:w="0" w:type="auto"/>
          </w:tcPr>
          <w:p w:rsidR="00B80ECC" w:rsidRPr="006A0774" w:rsidRDefault="00491A2E" w:rsidP="00FD3D03">
            <w:pPr>
              <w:rPr>
                <w:lang w:val="en-US"/>
              </w:rPr>
            </w:pPr>
            <w:r w:rsidRPr="006A0774">
              <w:rPr>
                <w:lang w:val="en-US"/>
              </w:rPr>
              <w:t>0.0027</w:t>
            </w:r>
          </w:p>
        </w:tc>
      </w:tr>
      <w:tr w:rsidR="00B80ECC" w:rsidTr="00B80ECC">
        <w:tc>
          <w:tcPr>
            <w:tcW w:w="0" w:type="auto"/>
            <w:vMerge/>
          </w:tcPr>
          <w:p w:rsidR="00B80ECC" w:rsidRDefault="00B80ECC" w:rsidP="00FD3D03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B80ECC" w:rsidRPr="006A0774" w:rsidRDefault="00B80ECC" w:rsidP="00FD3D03">
            <w:pPr>
              <w:rPr>
                <w:lang w:val="en-US"/>
              </w:rPr>
            </w:pPr>
            <w:r w:rsidRPr="006A0774">
              <w:rPr>
                <w:lang w:val="en-US"/>
              </w:rPr>
              <w:t>Phase Shift</w:t>
            </w:r>
          </w:p>
        </w:tc>
        <w:tc>
          <w:tcPr>
            <w:tcW w:w="0" w:type="auto"/>
          </w:tcPr>
          <w:p w:rsidR="00B80ECC" w:rsidRPr="006A0774" w:rsidRDefault="006A0774" w:rsidP="00FD3D0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2060E7" w:rsidRPr="006A0774">
              <w:rPr>
                <w:lang w:val="en-US"/>
              </w:rPr>
              <w:t>86.04</w:t>
            </w:r>
          </w:p>
        </w:tc>
        <w:tc>
          <w:tcPr>
            <w:tcW w:w="0" w:type="auto"/>
          </w:tcPr>
          <w:p w:rsidR="00B80ECC" w:rsidRPr="006A0774" w:rsidRDefault="006A0774" w:rsidP="00FD3D0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D84B4A" w:rsidRPr="006A0774">
              <w:rPr>
                <w:lang w:val="en-US"/>
              </w:rPr>
              <w:t>100.8</w:t>
            </w:r>
          </w:p>
        </w:tc>
        <w:tc>
          <w:tcPr>
            <w:tcW w:w="0" w:type="auto"/>
          </w:tcPr>
          <w:p w:rsidR="00B80ECC" w:rsidRPr="006A0774" w:rsidRDefault="006A0774" w:rsidP="00FD3D03">
            <w:pPr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D84B4A" w:rsidRPr="006A0774">
              <w:rPr>
                <w:lang w:val="en-US"/>
              </w:rPr>
              <w:t>115.2</w:t>
            </w:r>
          </w:p>
        </w:tc>
      </w:tr>
    </w:tbl>
    <w:p w:rsidR="00774B12" w:rsidRDefault="00774B12" w:rsidP="00FD3D03">
      <w:pPr>
        <w:rPr>
          <w:lang w:val="en-US"/>
        </w:rPr>
      </w:pPr>
    </w:p>
    <w:p w:rsidR="00996748" w:rsidRDefault="00996748" w:rsidP="00FD3D03">
      <w:pPr>
        <w:rPr>
          <w:lang w:val="en-US"/>
        </w:rPr>
      </w:pPr>
    </w:p>
    <w:p w:rsidR="00C815DF" w:rsidRDefault="00C815DF" w:rsidP="00C815DF">
      <w:pPr>
        <w:pStyle w:val="Heading2"/>
        <w:rPr>
          <w:lang w:val="en-US"/>
        </w:rPr>
      </w:pPr>
      <w:r>
        <w:rPr>
          <w:lang w:val="en-US"/>
        </w:rPr>
        <w:lastRenderedPageBreak/>
        <w:t>Transfer Function and Bode Plots</w:t>
      </w:r>
    </w:p>
    <w:p w:rsidR="00FD3D03" w:rsidRDefault="00121E19" w:rsidP="00FD3D03">
      <w:pPr>
        <w:rPr>
          <w:lang w:val="en-US"/>
        </w:rPr>
      </w:pPr>
      <w:r>
        <w:rPr>
          <w:noProof/>
        </w:rPr>
        <w:drawing>
          <wp:inline distT="0" distB="0" distL="0" distR="0" wp14:anchorId="0179552F" wp14:editId="046A4E37">
            <wp:extent cx="2781044" cy="2250614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50" r="3968"/>
                    <a:stretch/>
                  </pic:blipFill>
                  <pic:spPr bwMode="auto">
                    <a:xfrm>
                      <a:off x="0" y="0"/>
                      <a:ext cx="2786446" cy="22549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62F94">
        <w:rPr>
          <w:noProof/>
        </w:rPr>
        <w:drawing>
          <wp:inline distT="0" distB="0" distL="0" distR="0" wp14:anchorId="6B570FAB" wp14:editId="70683F6D">
            <wp:extent cx="2834723" cy="2235456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978" t="18394" r="6706" b="1637"/>
                    <a:stretch/>
                  </pic:blipFill>
                  <pic:spPr bwMode="auto">
                    <a:xfrm>
                      <a:off x="0" y="0"/>
                      <a:ext cx="2844671" cy="22433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2F94" w:rsidRDefault="00F953D2" w:rsidP="00F953D2">
      <w:pPr>
        <w:pStyle w:val="Caption"/>
      </w:pPr>
      <w:r>
        <w:t xml:space="preserve">Figure </w:t>
      </w:r>
      <w:fldSimple w:instr=" SEQ Figure \* ARABIC ">
        <w:r w:rsidR="00C17E37">
          <w:rPr>
            <w:noProof/>
          </w:rPr>
          <w:t>2</w:t>
        </w:r>
      </w:fldSimple>
      <w:r>
        <w:t>: Bode plots for Canal Afferents and Torsion Pendulum.</w:t>
      </w:r>
    </w:p>
    <w:p w:rsidR="003C7DE0" w:rsidRDefault="003C7DE0" w:rsidP="003C7DE0">
      <w:r>
        <w:t>For the gain, the canal afferents amplify the higher frequencies, whereas the torsion pendulum amplify the lower frequencies.</w:t>
      </w:r>
    </w:p>
    <w:p w:rsidR="003C7DE0" w:rsidRPr="003C7DE0" w:rsidRDefault="003C7DE0" w:rsidP="003C7DE0">
      <w:r>
        <w:t xml:space="preserve">For the phase shift, </w:t>
      </w:r>
      <w:r w:rsidR="000A35D5">
        <w:t xml:space="preserve">canal afferents shift the response to the right, while the torsion pendulum shifts the response to the left. </w:t>
      </w:r>
      <w:r w:rsidR="003D51B6">
        <w:t>Additionally, canal afferents induce more shift with lower frequencies input</w:t>
      </w:r>
      <w:r w:rsidR="006B3388">
        <w:t>s</w:t>
      </w:r>
      <w:r w:rsidR="003D51B6">
        <w:t xml:space="preserve">, whereas the torsion pendulum is more </w:t>
      </w:r>
      <w:r w:rsidR="006B3388">
        <w:t>responsible for the higher frequencies.</w:t>
      </w:r>
    </w:p>
    <w:p w:rsidR="00F77A48" w:rsidRDefault="00F77A48" w:rsidP="00F77A48">
      <w:pPr>
        <w:pStyle w:val="Heading2"/>
        <w:rPr>
          <w:lang w:val="en-US"/>
        </w:rPr>
      </w:pPr>
      <w:r>
        <w:rPr>
          <w:lang w:val="en-US"/>
        </w:rPr>
        <w:t>Do the Bode plots predict well the gains and phases computed in #3?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6"/>
        <w:gridCol w:w="1204"/>
        <w:gridCol w:w="785"/>
        <w:gridCol w:w="718"/>
        <w:gridCol w:w="830"/>
      </w:tblGrid>
      <w:tr w:rsidR="00593881" w:rsidTr="001D7B0B">
        <w:tc>
          <w:tcPr>
            <w:tcW w:w="0" w:type="auto"/>
          </w:tcPr>
          <w:p w:rsidR="00593881" w:rsidRPr="00936395" w:rsidRDefault="00593881" w:rsidP="001D7B0B">
            <w:pPr>
              <w:rPr>
                <w:b/>
                <w:lang w:val="en-US"/>
              </w:rPr>
            </w:pPr>
            <w:r w:rsidRPr="00936395">
              <w:rPr>
                <w:b/>
                <w:lang w:val="en-US"/>
              </w:rPr>
              <w:t>Expected</w:t>
            </w:r>
          </w:p>
        </w:tc>
        <w:tc>
          <w:tcPr>
            <w:tcW w:w="0" w:type="auto"/>
          </w:tcPr>
          <w:p w:rsidR="00593881" w:rsidRDefault="00593881" w:rsidP="001D7B0B">
            <w:pPr>
              <w:rPr>
                <w:lang w:val="en-US"/>
              </w:rPr>
            </w:pPr>
            <w:r>
              <w:rPr>
                <w:lang w:val="en-US"/>
              </w:rPr>
              <w:t>Frequency</w:t>
            </w:r>
          </w:p>
        </w:tc>
        <w:tc>
          <w:tcPr>
            <w:tcW w:w="0" w:type="auto"/>
          </w:tcPr>
          <w:p w:rsidR="00593881" w:rsidRDefault="00593881" w:rsidP="001D7B0B">
            <w:pPr>
              <w:rPr>
                <w:lang w:val="en-US"/>
              </w:rPr>
            </w:pPr>
            <w:r>
              <w:rPr>
                <w:lang w:val="en-US"/>
              </w:rPr>
              <w:t>0.5 Hz</w:t>
            </w:r>
          </w:p>
        </w:tc>
        <w:tc>
          <w:tcPr>
            <w:tcW w:w="0" w:type="auto"/>
          </w:tcPr>
          <w:p w:rsidR="00593881" w:rsidRDefault="00593881" w:rsidP="001D7B0B">
            <w:pPr>
              <w:rPr>
                <w:lang w:val="en-US"/>
              </w:rPr>
            </w:pPr>
            <w:r>
              <w:rPr>
                <w:lang w:val="en-US"/>
              </w:rPr>
              <w:t>10 Hz</w:t>
            </w:r>
          </w:p>
        </w:tc>
        <w:tc>
          <w:tcPr>
            <w:tcW w:w="0" w:type="auto"/>
          </w:tcPr>
          <w:p w:rsidR="00593881" w:rsidRDefault="00593881" w:rsidP="001D7B0B">
            <w:pPr>
              <w:rPr>
                <w:lang w:val="en-US"/>
              </w:rPr>
            </w:pPr>
            <w:r>
              <w:rPr>
                <w:lang w:val="en-US"/>
              </w:rPr>
              <w:t>20 Hz</w:t>
            </w:r>
          </w:p>
        </w:tc>
      </w:tr>
      <w:tr w:rsidR="00593881" w:rsidTr="001D7B0B">
        <w:tc>
          <w:tcPr>
            <w:tcW w:w="0" w:type="auto"/>
            <w:vMerge w:val="restart"/>
            <w:vAlign w:val="center"/>
          </w:tcPr>
          <w:p w:rsidR="00593881" w:rsidRDefault="00593881" w:rsidP="001D7B0B">
            <w:pPr>
              <w:rPr>
                <w:lang w:val="en-US"/>
              </w:rPr>
            </w:pPr>
            <w:r>
              <w:rPr>
                <w:lang w:val="en-US"/>
              </w:rPr>
              <w:t>Canal Afferents</w:t>
            </w:r>
          </w:p>
        </w:tc>
        <w:tc>
          <w:tcPr>
            <w:tcW w:w="0" w:type="auto"/>
          </w:tcPr>
          <w:p w:rsidR="00593881" w:rsidRDefault="00593881" w:rsidP="001D7B0B">
            <w:pPr>
              <w:rPr>
                <w:lang w:val="en-US"/>
              </w:rPr>
            </w:pPr>
            <w:r>
              <w:rPr>
                <w:lang w:val="en-US"/>
              </w:rPr>
              <w:t>Gain</w:t>
            </w:r>
          </w:p>
        </w:tc>
        <w:tc>
          <w:tcPr>
            <w:tcW w:w="0" w:type="auto"/>
          </w:tcPr>
          <w:p w:rsidR="00593881" w:rsidRDefault="00593881" w:rsidP="001D7B0B">
            <w:pPr>
              <w:rPr>
                <w:lang w:val="en-US"/>
              </w:rPr>
            </w:pPr>
            <w:r>
              <w:rPr>
                <w:lang w:val="en-US"/>
              </w:rPr>
              <w:t>0.18</w:t>
            </w:r>
          </w:p>
        </w:tc>
        <w:tc>
          <w:tcPr>
            <w:tcW w:w="0" w:type="auto"/>
          </w:tcPr>
          <w:p w:rsidR="00593881" w:rsidRDefault="00936395" w:rsidP="001D7B0B">
            <w:pPr>
              <w:rPr>
                <w:lang w:val="en-US"/>
              </w:rPr>
            </w:pPr>
            <w:r>
              <w:rPr>
                <w:lang w:val="en-US"/>
              </w:rPr>
              <w:t>0.24</w:t>
            </w:r>
          </w:p>
        </w:tc>
        <w:tc>
          <w:tcPr>
            <w:tcW w:w="0" w:type="auto"/>
          </w:tcPr>
          <w:p w:rsidR="00593881" w:rsidRDefault="00936395" w:rsidP="001D7B0B">
            <w:pPr>
              <w:rPr>
                <w:lang w:val="en-US"/>
              </w:rPr>
            </w:pPr>
            <w:r>
              <w:rPr>
                <w:lang w:val="en-US"/>
              </w:rPr>
              <w:t>0.35</w:t>
            </w:r>
          </w:p>
        </w:tc>
      </w:tr>
      <w:tr w:rsidR="00593881" w:rsidRPr="003606A8" w:rsidTr="001D7B0B">
        <w:tc>
          <w:tcPr>
            <w:tcW w:w="0" w:type="auto"/>
            <w:vMerge/>
          </w:tcPr>
          <w:p w:rsidR="00593881" w:rsidRDefault="00593881" w:rsidP="001D7B0B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593881" w:rsidRDefault="00593881" w:rsidP="001D7B0B">
            <w:pPr>
              <w:rPr>
                <w:lang w:val="en-US"/>
              </w:rPr>
            </w:pPr>
            <w:r>
              <w:rPr>
                <w:lang w:val="en-US"/>
              </w:rPr>
              <w:t>Phase Shift</w:t>
            </w:r>
          </w:p>
        </w:tc>
        <w:tc>
          <w:tcPr>
            <w:tcW w:w="0" w:type="auto"/>
          </w:tcPr>
          <w:p w:rsidR="00593881" w:rsidRPr="00936395" w:rsidRDefault="00936395" w:rsidP="001D7B0B">
            <w:pPr>
              <w:rPr>
                <w:lang w:val="en-US"/>
              </w:rPr>
            </w:pPr>
            <w:r>
              <w:rPr>
                <w:lang w:val="en-US"/>
              </w:rPr>
              <w:t>29.4</w:t>
            </w:r>
          </w:p>
        </w:tc>
        <w:tc>
          <w:tcPr>
            <w:tcW w:w="0" w:type="auto"/>
          </w:tcPr>
          <w:p w:rsidR="00593881" w:rsidRPr="00936395" w:rsidRDefault="00936395" w:rsidP="001D7B0B">
            <w:pPr>
              <w:rPr>
                <w:lang w:val="en-US"/>
              </w:rPr>
            </w:pPr>
            <w:r>
              <w:rPr>
                <w:lang w:val="en-US"/>
              </w:rPr>
              <w:t>32.7</w:t>
            </w:r>
          </w:p>
        </w:tc>
        <w:tc>
          <w:tcPr>
            <w:tcW w:w="0" w:type="auto"/>
          </w:tcPr>
          <w:p w:rsidR="00593881" w:rsidRPr="00936395" w:rsidRDefault="00936395" w:rsidP="001D7B0B">
            <w:pPr>
              <w:rPr>
                <w:lang w:val="en-US"/>
              </w:rPr>
            </w:pPr>
            <w:r>
              <w:rPr>
                <w:lang w:val="en-US"/>
              </w:rPr>
              <w:t>41.5</w:t>
            </w:r>
          </w:p>
        </w:tc>
      </w:tr>
      <w:tr w:rsidR="00593881" w:rsidTr="001D7B0B">
        <w:tc>
          <w:tcPr>
            <w:tcW w:w="0" w:type="auto"/>
            <w:vMerge w:val="restart"/>
            <w:vAlign w:val="center"/>
          </w:tcPr>
          <w:p w:rsidR="00593881" w:rsidRDefault="00593881" w:rsidP="001D7B0B">
            <w:pPr>
              <w:rPr>
                <w:lang w:val="en-US"/>
              </w:rPr>
            </w:pPr>
            <w:r>
              <w:rPr>
                <w:lang w:val="en-US"/>
              </w:rPr>
              <w:t>Torsion Pendulum</w:t>
            </w:r>
          </w:p>
        </w:tc>
        <w:tc>
          <w:tcPr>
            <w:tcW w:w="0" w:type="auto"/>
          </w:tcPr>
          <w:p w:rsidR="00593881" w:rsidRDefault="00593881" w:rsidP="001D7B0B">
            <w:pPr>
              <w:rPr>
                <w:lang w:val="en-US"/>
              </w:rPr>
            </w:pPr>
            <w:r>
              <w:rPr>
                <w:lang w:val="en-US"/>
              </w:rPr>
              <w:t>Gain</w:t>
            </w:r>
          </w:p>
        </w:tc>
        <w:tc>
          <w:tcPr>
            <w:tcW w:w="0" w:type="auto"/>
          </w:tcPr>
          <w:p w:rsidR="00593881" w:rsidRPr="00936395" w:rsidRDefault="00593881" w:rsidP="001D7B0B">
            <w:pPr>
              <w:rPr>
                <w:lang w:val="en-US"/>
              </w:rPr>
            </w:pPr>
            <w:r w:rsidRPr="00936395">
              <w:rPr>
                <w:lang w:val="en-US"/>
              </w:rPr>
              <w:t>0.10</w:t>
            </w:r>
          </w:p>
        </w:tc>
        <w:tc>
          <w:tcPr>
            <w:tcW w:w="0" w:type="auto"/>
          </w:tcPr>
          <w:p w:rsidR="00593881" w:rsidRPr="00936395" w:rsidRDefault="00593881" w:rsidP="00E80C5A">
            <w:pPr>
              <w:rPr>
                <w:lang w:val="en-US"/>
              </w:rPr>
            </w:pPr>
            <w:r w:rsidRPr="00936395">
              <w:rPr>
                <w:lang w:val="en-US"/>
              </w:rPr>
              <w:t>0.00</w:t>
            </w:r>
            <w:r w:rsidR="00E80C5A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593881" w:rsidRPr="00936395" w:rsidRDefault="00593881" w:rsidP="00E80C5A">
            <w:pPr>
              <w:rPr>
                <w:lang w:val="en-US"/>
              </w:rPr>
            </w:pPr>
            <w:r w:rsidRPr="00936395">
              <w:rPr>
                <w:lang w:val="en-US"/>
              </w:rPr>
              <w:t>0.00</w:t>
            </w:r>
            <w:r w:rsidR="00E80C5A">
              <w:rPr>
                <w:lang w:val="en-US"/>
              </w:rPr>
              <w:t>13</w:t>
            </w:r>
          </w:p>
        </w:tc>
      </w:tr>
      <w:tr w:rsidR="00593881" w:rsidRPr="003606A8" w:rsidTr="001D7B0B">
        <w:tc>
          <w:tcPr>
            <w:tcW w:w="0" w:type="auto"/>
            <w:vMerge/>
          </w:tcPr>
          <w:p w:rsidR="00593881" w:rsidRDefault="00593881" w:rsidP="001D7B0B">
            <w:pPr>
              <w:rPr>
                <w:lang w:val="en-US"/>
              </w:rPr>
            </w:pPr>
          </w:p>
        </w:tc>
        <w:tc>
          <w:tcPr>
            <w:tcW w:w="0" w:type="auto"/>
          </w:tcPr>
          <w:p w:rsidR="00593881" w:rsidRDefault="00593881" w:rsidP="001D7B0B">
            <w:pPr>
              <w:rPr>
                <w:lang w:val="en-US"/>
              </w:rPr>
            </w:pPr>
            <w:r>
              <w:rPr>
                <w:lang w:val="en-US"/>
              </w:rPr>
              <w:t>Phase Shift</w:t>
            </w:r>
          </w:p>
        </w:tc>
        <w:tc>
          <w:tcPr>
            <w:tcW w:w="0" w:type="auto"/>
          </w:tcPr>
          <w:p w:rsidR="00593881" w:rsidRPr="00936395" w:rsidRDefault="00E80C5A" w:rsidP="00E80C5A">
            <w:pPr>
              <w:rPr>
                <w:lang w:val="en-US"/>
              </w:rPr>
            </w:pPr>
            <w:r>
              <w:rPr>
                <w:lang w:val="en-US"/>
              </w:rPr>
              <w:t>-60.87</w:t>
            </w:r>
          </w:p>
        </w:tc>
        <w:tc>
          <w:tcPr>
            <w:tcW w:w="0" w:type="auto"/>
          </w:tcPr>
          <w:p w:rsidR="00593881" w:rsidRPr="00936395" w:rsidRDefault="00E80C5A" w:rsidP="001D7B0B">
            <w:pPr>
              <w:rPr>
                <w:lang w:val="en-US"/>
              </w:rPr>
            </w:pPr>
            <w:r>
              <w:rPr>
                <w:lang w:val="en-US"/>
              </w:rPr>
              <w:t>-100</w:t>
            </w:r>
          </w:p>
        </w:tc>
        <w:tc>
          <w:tcPr>
            <w:tcW w:w="0" w:type="auto"/>
          </w:tcPr>
          <w:p w:rsidR="00593881" w:rsidRPr="00936395" w:rsidRDefault="00E80C5A" w:rsidP="001D7B0B">
            <w:pPr>
              <w:rPr>
                <w:lang w:val="en-US"/>
              </w:rPr>
            </w:pPr>
            <w:r>
              <w:rPr>
                <w:lang w:val="en-US"/>
              </w:rPr>
              <w:t>-110.7</w:t>
            </w:r>
          </w:p>
        </w:tc>
      </w:tr>
    </w:tbl>
    <w:p w:rsidR="00F77A48" w:rsidRDefault="00F77A48" w:rsidP="00F77A48">
      <w:pPr>
        <w:rPr>
          <w:lang w:val="en-US"/>
        </w:rPr>
      </w:pPr>
    </w:p>
    <w:p w:rsidR="00D43EEB" w:rsidRPr="006A0774" w:rsidRDefault="00D43EEB" w:rsidP="00F77A48">
      <w:pPr>
        <w:rPr>
          <w:lang w:val="en-US"/>
        </w:rPr>
      </w:pPr>
      <w:r w:rsidRPr="006A0774">
        <w:rPr>
          <w:lang w:val="en-US"/>
        </w:rPr>
        <w:t xml:space="preserve">The gains from the bode plots are similar to those manually measured. </w:t>
      </w:r>
      <w:r w:rsidR="006A0774" w:rsidRPr="006A0774">
        <w:rPr>
          <w:lang w:val="en-US"/>
        </w:rPr>
        <w:t>As for the phase shift</w:t>
      </w:r>
      <w:r w:rsidRPr="006A0774">
        <w:rPr>
          <w:lang w:val="en-US"/>
        </w:rPr>
        <w:t xml:space="preserve">, </w:t>
      </w:r>
      <w:r w:rsidR="006A0774" w:rsidRPr="006A0774">
        <w:rPr>
          <w:lang w:val="en-US"/>
        </w:rPr>
        <w:t xml:space="preserve">the values obtained are higher, but </w:t>
      </w:r>
      <w:r w:rsidR="00AE2760">
        <w:rPr>
          <w:lang w:val="en-US"/>
        </w:rPr>
        <w:t xml:space="preserve">the trend between fundamental frequencies remain the same. The </w:t>
      </w:r>
      <w:proofErr w:type="gramStart"/>
      <w:r w:rsidR="00AE2760">
        <w:rPr>
          <w:lang w:val="en-US"/>
        </w:rPr>
        <w:t xml:space="preserve">discrepancies </w:t>
      </w:r>
      <w:r w:rsidRPr="006A0774">
        <w:rPr>
          <w:lang w:val="en-US"/>
        </w:rPr>
        <w:t xml:space="preserve"> </w:t>
      </w:r>
      <w:r w:rsidR="00483094">
        <w:rPr>
          <w:lang w:val="en-US"/>
        </w:rPr>
        <w:t>may</w:t>
      </w:r>
      <w:proofErr w:type="gramEnd"/>
      <w:r w:rsidR="00483094">
        <w:rPr>
          <w:lang w:val="en-US"/>
        </w:rPr>
        <w:t xml:space="preserve"> be due to human error (manual and imprecise measures).</w:t>
      </w:r>
    </w:p>
    <w:p w:rsidR="00F77A48" w:rsidRDefault="00F77A48" w:rsidP="00F77A48">
      <w:pPr>
        <w:pStyle w:val="Heading2"/>
        <w:rPr>
          <w:lang w:val="en-US"/>
        </w:rPr>
      </w:pPr>
      <w:r>
        <w:rPr>
          <w:lang w:val="en-US"/>
        </w:rPr>
        <w:t xml:space="preserve">What is the benefit of using </w:t>
      </w:r>
      <w:proofErr w:type="spellStart"/>
      <w:r w:rsidRPr="00C9220D">
        <w:rPr>
          <w:lang w:val="en-US"/>
        </w:rPr>
        <w:t>Matlab’s</w:t>
      </w:r>
      <w:proofErr w:type="spellEnd"/>
      <w:r w:rsidRPr="00C9220D">
        <w:rPr>
          <w:lang w:val="en-US"/>
        </w:rPr>
        <w:t xml:space="preserve"> </w:t>
      </w:r>
      <w:proofErr w:type="spellStart"/>
      <w:r w:rsidRPr="00C9220D">
        <w:rPr>
          <w:lang w:val="en-US"/>
        </w:rPr>
        <w:t>zpk</w:t>
      </w:r>
      <w:proofErr w:type="spellEnd"/>
      <w:r w:rsidRPr="00C9220D">
        <w:rPr>
          <w:lang w:val="en-US"/>
        </w:rPr>
        <w:t xml:space="preserve"> command</w:t>
      </w:r>
      <w:r>
        <w:rPr>
          <w:lang w:val="en-US"/>
        </w:rPr>
        <w:t>?</w:t>
      </w:r>
    </w:p>
    <w:p w:rsidR="00F77A48" w:rsidRPr="00F77A48" w:rsidRDefault="00A34CA7" w:rsidP="00F77A48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Matlab’s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zpk</w:t>
      </w:r>
      <w:proofErr w:type="spellEnd"/>
      <w:r>
        <w:rPr>
          <w:lang w:val="en-US"/>
        </w:rPr>
        <w:t xml:space="preserve"> command provides us a mean to script the construction of a zero-pole gain model without having to </w:t>
      </w:r>
      <w:r w:rsidR="00A25930">
        <w:rPr>
          <w:lang w:val="en-US"/>
        </w:rPr>
        <w:t>rely on</w:t>
      </w:r>
      <w:r>
        <w:rPr>
          <w:lang w:val="en-US"/>
        </w:rPr>
        <w:t xml:space="preserve"> a Graphical User Interface or Simulink.</w:t>
      </w:r>
    </w:p>
    <w:p w:rsidR="00CC7899" w:rsidRDefault="00CC7899" w:rsidP="00CC7899">
      <w:pPr>
        <w:pStyle w:val="Heading1"/>
      </w:pPr>
      <w:r>
        <w:t>A control system for the VOR</w:t>
      </w:r>
    </w:p>
    <w:p w:rsidR="00CC7899" w:rsidRDefault="00694252" w:rsidP="00CC7899">
      <w:r>
        <w:t xml:space="preserve">For the code, please refer to </w:t>
      </w:r>
      <w:proofErr w:type="spellStart"/>
      <w:r w:rsidR="0058484A">
        <w:t>bCode</w:t>
      </w:r>
      <w:r>
        <w:t>.m</w:t>
      </w:r>
      <w:proofErr w:type="spellEnd"/>
    </w:p>
    <w:p w:rsidR="00A410EA" w:rsidRPr="005D2E3F" w:rsidRDefault="00A410EA" w:rsidP="00A410EA">
      <w:pPr>
        <w:pStyle w:val="Heading2"/>
      </w:pPr>
      <w:r>
        <w:lastRenderedPageBreak/>
        <w:t xml:space="preserve">Input and Output </w:t>
      </w:r>
      <w:proofErr w:type="spellStart"/>
      <w:r>
        <w:t>sinewaves</w:t>
      </w:r>
      <w:proofErr w:type="spellEnd"/>
    </w:p>
    <w:p w:rsidR="00F47F6E" w:rsidRDefault="003B334E" w:rsidP="00CC7899">
      <w:r>
        <w:rPr>
          <w:noProof/>
        </w:rPr>
        <w:drawing>
          <wp:inline distT="0" distB="0" distL="0" distR="0" wp14:anchorId="4659DB41" wp14:editId="57FC8365">
            <wp:extent cx="3665284" cy="28968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5242" t="15735" r="8514" b="2980"/>
                    <a:stretch/>
                  </pic:blipFill>
                  <pic:spPr bwMode="auto">
                    <a:xfrm>
                      <a:off x="0" y="0"/>
                      <a:ext cx="3668147" cy="28991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435E2" w:rsidRDefault="008435E2" w:rsidP="008435E2">
      <w:pPr>
        <w:pStyle w:val="Caption"/>
      </w:pPr>
      <w:r>
        <w:t xml:space="preserve">Figure </w:t>
      </w:r>
      <w:fldSimple w:instr=" SEQ Figure \* ARABIC ">
        <w:r w:rsidR="00C17E37">
          <w:rPr>
            <w:noProof/>
          </w:rPr>
          <w:t>3</w:t>
        </w:r>
      </w:fldSimple>
      <w:r>
        <w:t xml:space="preserve">: </w:t>
      </w:r>
      <w:r w:rsidR="00AF50B7">
        <w:t xml:space="preserve">Input and output </w:t>
      </w:r>
      <w:proofErr w:type="spellStart"/>
      <w:r w:rsidR="00AF50B7">
        <w:t>sinewaves</w:t>
      </w:r>
      <w:proofErr w:type="spellEnd"/>
      <w:r w:rsidR="00AF50B7">
        <w:t xml:space="preserve"> for the VOR, 0.5 Hz </w:t>
      </w:r>
      <w:proofErr w:type="spellStart"/>
      <w:r w:rsidR="00AB5D77">
        <w:t>sinewave</w:t>
      </w:r>
      <w:proofErr w:type="spellEnd"/>
      <w:r w:rsidR="00AB5D77">
        <w:t xml:space="preserve"> </w:t>
      </w:r>
      <w:r w:rsidR="00AF50B7">
        <w:t>input.</w:t>
      </w:r>
    </w:p>
    <w:p w:rsidR="00164418" w:rsidRDefault="002421E2" w:rsidP="00BD3A74">
      <w:r w:rsidRPr="006516C1">
        <w:t xml:space="preserve">The output </w:t>
      </w:r>
      <w:proofErr w:type="spellStart"/>
      <w:r w:rsidRPr="006516C1">
        <w:t>sinewave</w:t>
      </w:r>
      <w:proofErr w:type="spellEnd"/>
      <w:r w:rsidRPr="006516C1">
        <w:t xml:space="preserve"> </w:t>
      </w:r>
      <w:r w:rsidR="000E2922" w:rsidRPr="006516C1">
        <w:t xml:space="preserve">only </w:t>
      </w:r>
      <w:r w:rsidRPr="006516C1">
        <w:t>has a slightly delay compare</w:t>
      </w:r>
      <w:r w:rsidR="000E2922" w:rsidRPr="006516C1">
        <w:t>d to its input</w:t>
      </w:r>
      <w:r w:rsidR="00AD217E" w:rsidRPr="006516C1">
        <w:t xml:space="preserve">. However, the amplitude of the output is not as great as the input, suggesting </w:t>
      </w:r>
      <w:r w:rsidR="00A359CE" w:rsidRPr="006516C1">
        <w:t>tha</w:t>
      </w:r>
      <w:r w:rsidR="00164418">
        <w:t>t the VOR cannot compensate for large head movements</w:t>
      </w:r>
      <w:r w:rsidR="00EC130F">
        <w:t xml:space="preserve">. This makes physiological </w:t>
      </w:r>
      <w:r w:rsidR="008C09E9">
        <w:t>sense, since we know the VO</w:t>
      </w:r>
      <w:r w:rsidR="00B14CEE">
        <w:t>R only works within a certain angle of the fixation.</w:t>
      </w:r>
    </w:p>
    <w:p w:rsidR="00167913" w:rsidRDefault="00167913" w:rsidP="00167913">
      <w:pPr>
        <w:pStyle w:val="Heading2"/>
        <w:rPr>
          <w:lang w:val="en-US"/>
        </w:rPr>
      </w:pPr>
      <w:r>
        <w:rPr>
          <w:lang w:val="en-US"/>
        </w:rPr>
        <w:t>Transfer Function and Bode Plots</w:t>
      </w:r>
    </w:p>
    <w:p w:rsidR="00074BC2" w:rsidRDefault="00530DE0" w:rsidP="00074BC2">
      <w:pPr>
        <w:keepNext/>
      </w:pPr>
      <w:r>
        <w:rPr>
          <w:noProof/>
        </w:rPr>
        <w:drawing>
          <wp:inline distT="0" distB="0" distL="0" distR="0" wp14:anchorId="3D37C055" wp14:editId="1EDA506D">
            <wp:extent cx="3473009" cy="2773936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082" t="18556" r="7832" b="1550"/>
                    <a:stretch/>
                  </pic:blipFill>
                  <pic:spPr bwMode="auto">
                    <a:xfrm>
                      <a:off x="0" y="0"/>
                      <a:ext cx="3475225" cy="27757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7913" w:rsidRDefault="00074BC2" w:rsidP="00074BC2">
      <w:pPr>
        <w:pStyle w:val="Caption"/>
      </w:pPr>
      <w:r>
        <w:t xml:space="preserve">Figure </w:t>
      </w:r>
      <w:fldSimple w:instr=" SEQ Figure \* ARABIC ">
        <w:r w:rsidR="00C17E37">
          <w:rPr>
            <w:noProof/>
          </w:rPr>
          <w:t>4</w:t>
        </w:r>
      </w:fldSimple>
      <w:r>
        <w:t>: Bode Plots</w:t>
      </w:r>
      <w:r w:rsidR="00F00CC3">
        <w:t xml:space="preserve"> of the VOR circuit without delay</w:t>
      </w:r>
    </w:p>
    <w:p w:rsidR="00C41571" w:rsidRDefault="00C41571" w:rsidP="00C41571">
      <w:pPr>
        <w:pStyle w:val="Heading2"/>
        <w:rPr>
          <w:lang w:val="en-US"/>
        </w:rPr>
      </w:pPr>
      <w:r>
        <w:rPr>
          <w:lang w:val="en-US"/>
        </w:rPr>
        <w:lastRenderedPageBreak/>
        <w:t>Physiological delay effect</w:t>
      </w:r>
    </w:p>
    <w:p w:rsidR="00A2157D" w:rsidRDefault="0022276A" w:rsidP="00A2157D">
      <w:pPr>
        <w:keepNext/>
      </w:pPr>
      <w:r>
        <w:rPr>
          <w:noProof/>
        </w:rPr>
        <w:drawing>
          <wp:inline distT="0" distB="0" distL="0" distR="0" wp14:anchorId="65C6EDA5" wp14:editId="1B97B660">
            <wp:extent cx="3335205" cy="2604887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821" t="18242" r="6718" b="1552"/>
                    <a:stretch/>
                  </pic:blipFill>
                  <pic:spPr bwMode="auto">
                    <a:xfrm>
                      <a:off x="0" y="0"/>
                      <a:ext cx="3340567" cy="2609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157D" w:rsidRDefault="00A2157D" w:rsidP="00A2157D">
      <w:pPr>
        <w:pStyle w:val="Caption"/>
      </w:pPr>
      <w:r>
        <w:t xml:space="preserve">Figure </w:t>
      </w:r>
      <w:r w:rsidR="00C17E37">
        <w:fldChar w:fldCharType="begin"/>
      </w:r>
      <w:r w:rsidR="00C17E37">
        <w:instrText xml:space="preserve"> SEQ Figure \* ARABIC </w:instrText>
      </w:r>
      <w:r w:rsidR="00C17E37">
        <w:fldChar w:fldCharType="separate"/>
      </w:r>
      <w:r w:rsidR="00C17E37">
        <w:rPr>
          <w:noProof/>
        </w:rPr>
        <w:t>5</w:t>
      </w:r>
      <w:r w:rsidR="00C17E37">
        <w:rPr>
          <w:noProof/>
        </w:rPr>
        <w:fldChar w:fldCharType="end"/>
      </w:r>
      <w:r>
        <w:t>: Bode Plots of the VOR circuit with a physiological delay of 0.007</w:t>
      </w:r>
    </w:p>
    <w:p w:rsidR="003B6EE6" w:rsidRDefault="003B6EE6" w:rsidP="003B6EE6">
      <w:pPr>
        <w:rPr>
          <w:lang w:val="en-US"/>
        </w:rPr>
      </w:pPr>
      <w:r>
        <w:rPr>
          <w:lang w:val="en-US"/>
        </w:rPr>
        <w:t xml:space="preserve">The physiological delay seems to </w:t>
      </w:r>
      <w:r w:rsidR="00883A31">
        <w:rPr>
          <w:lang w:val="en-US"/>
        </w:rPr>
        <w:t xml:space="preserve">significantly </w:t>
      </w:r>
      <w:r>
        <w:rPr>
          <w:lang w:val="en-US"/>
        </w:rPr>
        <w:t>change the behavior of the system.</w:t>
      </w:r>
      <w:r w:rsidR="00BA484C">
        <w:rPr>
          <w:lang w:val="en-US"/>
        </w:rPr>
        <w:t xml:space="preserve"> </w:t>
      </w:r>
      <w:r w:rsidR="00883A31">
        <w:rPr>
          <w:lang w:val="en-US"/>
        </w:rPr>
        <w:t>The most noticeable change is the increase in phase shift, especially at high input frequencies.</w:t>
      </w:r>
    </w:p>
    <w:p w:rsidR="0022752C" w:rsidRDefault="0022752C" w:rsidP="0022752C">
      <w:pPr>
        <w:pStyle w:val="Heading2"/>
        <w:rPr>
          <w:lang w:val="en-US"/>
        </w:rPr>
      </w:pPr>
      <w:r>
        <w:rPr>
          <w:lang w:val="en-US"/>
        </w:rPr>
        <w:t>Block that compensate for the physiological delay</w:t>
      </w:r>
    </w:p>
    <w:p w:rsidR="00447EE8" w:rsidRDefault="00447EE8" w:rsidP="0022752C">
      <w:pPr>
        <w:rPr>
          <w:lang w:val="en-US"/>
        </w:rPr>
      </w:pPr>
      <w:r>
        <w:rPr>
          <w:lang w:val="en-US"/>
        </w:rPr>
        <w:t xml:space="preserve">The Canal Afferent transfer function </w:t>
      </w:r>
      <w:r w:rsidR="000176B6">
        <w:rPr>
          <w:lang w:val="en-US"/>
        </w:rPr>
        <w:t>has</w:t>
      </w:r>
      <w:r w:rsidR="00413F1E">
        <w:rPr>
          <w:lang w:val="en-US"/>
        </w:rPr>
        <w:t xml:space="preserve"> a high magnitude response, especially at higher frequencies (see below). Thus, this block is perhaps the one who compensates the most for the physiological delay found at higher frequencies.</w:t>
      </w:r>
    </w:p>
    <w:p w:rsidR="00033D1A" w:rsidRDefault="00033D1A" w:rsidP="00033D1A">
      <w:pPr>
        <w:keepNext/>
      </w:pPr>
      <w:r>
        <w:rPr>
          <w:noProof/>
        </w:rPr>
        <w:drawing>
          <wp:inline distT="0" distB="0" distL="0" distR="0" wp14:anchorId="07DE9A33" wp14:editId="01CE5BC4">
            <wp:extent cx="3389053" cy="2666360"/>
            <wp:effectExtent l="0" t="0" r="190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3362" t="17770" r="7974" b="3907"/>
                    <a:stretch/>
                  </pic:blipFill>
                  <pic:spPr bwMode="auto">
                    <a:xfrm>
                      <a:off x="0" y="0"/>
                      <a:ext cx="3392908" cy="2669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3D1A" w:rsidRDefault="00033D1A" w:rsidP="00033D1A">
      <w:pPr>
        <w:pStyle w:val="Caption"/>
        <w:rPr>
          <w:lang w:val="en-US"/>
        </w:rPr>
      </w:pPr>
      <w:r>
        <w:t xml:space="preserve">Figure </w:t>
      </w:r>
      <w:fldSimple w:instr=" SEQ Figure \* ARABIC ">
        <w:r w:rsidR="00C17E37">
          <w:rPr>
            <w:noProof/>
          </w:rPr>
          <w:t>6</w:t>
        </w:r>
      </w:fldSimple>
      <w:r>
        <w:t>: Magnitude Response for the Canal Afferent Transfer Function</w:t>
      </w:r>
    </w:p>
    <w:p w:rsidR="00097549" w:rsidRDefault="00A2605D" w:rsidP="00A2605D">
      <w:pPr>
        <w:pStyle w:val="Heading2"/>
        <w:rPr>
          <w:lang w:val="en-US"/>
        </w:rPr>
      </w:pPr>
      <w:r>
        <w:rPr>
          <w:lang w:val="en-US"/>
        </w:rPr>
        <w:t>Time constants for vestibular afferents, the vestibular nuclei, and eye movement</w:t>
      </w:r>
    </w:p>
    <w:p w:rsidR="00BF4A75" w:rsidRDefault="00975933" w:rsidP="00097549">
      <w:pPr>
        <w:rPr>
          <w:lang w:val="en-US"/>
        </w:rPr>
      </w:pPr>
      <w:r>
        <w:rPr>
          <w:lang w:val="en-US"/>
        </w:rPr>
        <w:t xml:space="preserve">The time constants </w:t>
      </w:r>
      <w:r w:rsidR="00BF4A75">
        <w:rPr>
          <w:lang w:val="en-US"/>
        </w:rPr>
        <w:t>can be found by determining the time for the decay to reach 63% of its peak.</w:t>
      </w:r>
      <w:r w:rsidR="00E8202F">
        <w:rPr>
          <w:lang w:val="en-US"/>
        </w:rPr>
        <w:t xml:space="preserve"> With this in mind</w:t>
      </w:r>
      <w:r w:rsidR="006F7C50">
        <w:rPr>
          <w:lang w:val="en-US"/>
        </w:rPr>
        <w:t>, we measured it manually</w:t>
      </w:r>
      <w:r w:rsidR="00E8202F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82DB4" w:rsidTr="00F82DB4">
        <w:tc>
          <w:tcPr>
            <w:tcW w:w="3116" w:type="dxa"/>
          </w:tcPr>
          <w:p w:rsidR="00F82DB4" w:rsidRPr="00F4085A" w:rsidRDefault="00F4085A" w:rsidP="00097549">
            <w:pPr>
              <w:rPr>
                <w:b/>
                <w:lang w:val="en-US"/>
              </w:rPr>
            </w:pPr>
            <w:r w:rsidRPr="00F4085A">
              <w:rPr>
                <w:b/>
                <w:lang w:val="en-US"/>
              </w:rPr>
              <w:lastRenderedPageBreak/>
              <w:t>Time constants (in seconds)</w:t>
            </w:r>
          </w:p>
        </w:tc>
        <w:tc>
          <w:tcPr>
            <w:tcW w:w="3117" w:type="dxa"/>
          </w:tcPr>
          <w:p w:rsidR="00F82DB4" w:rsidRDefault="00C17E37" w:rsidP="00F82DB4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:rsidR="00F82DB4" w:rsidRDefault="00C17E37" w:rsidP="00097549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</w:tr>
      <w:tr w:rsidR="00F82DB4" w:rsidTr="00F82DB4">
        <w:tc>
          <w:tcPr>
            <w:tcW w:w="3116" w:type="dxa"/>
          </w:tcPr>
          <w:p w:rsidR="00F82DB4" w:rsidRDefault="00F82DB4" w:rsidP="00097549">
            <w:pPr>
              <w:rPr>
                <w:lang w:val="en-US"/>
              </w:rPr>
            </w:pPr>
            <w:r>
              <w:rPr>
                <w:lang w:val="en-US"/>
              </w:rPr>
              <w:t>After Vestibular Afferents</w:t>
            </w:r>
          </w:p>
        </w:tc>
        <w:tc>
          <w:tcPr>
            <w:tcW w:w="3117" w:type="dxa"/>
          </w:tcPr>
          <w:p w:rsidR="00F82DB4" w:rsidRDefault="00F82DB4" w:rsidP="00097549">
            <w:pPr>
              <w:rPr>
                <w:lang w:val="en-US"/>
              </w:rPr>
            </w:pPr>
            <w:r>
              <w:rPr>
                <w:lang w:val="en-US"/>
              </w:rPr>
              <w:t>0.00175</w:t>
            </w:r>
          </w:p>
        </w:tc>
        <w:tc>
          <w:tcPr>
            <w:tcW w:w="3117" w:type="dxa"/>
          </w:tcPr>
          <w:p w:rsidR="00F82DB4" w:rsidRDefault="00F82DB4" w:rsidP="00097549">
            <w:pPr>
              <w:rPr>
                <w:lang w:val="en-US"/>
              </w:rPr>
            </w:pPr>
            <w:r>
              <w:rPr>
                <w:lang w:val="en-US"/>
              </w:rPr>
              <w:t>2.39</w:t>
            </w:r>
          </w:p>
        </w:tc>
      </w:tr>
      <w:tr w:rsidR="00F82DB4" w:rsidTr="00F82DB4">
        <w:tc>
          <w:tcPr>
            <w:tcW w:w="3116" w:type="dxa"/>
          </w:tcPr>
          <w:p w:rsidR="00F82DB4" w:rsidRDefault="00F82DB4" w:rsidP="00097549">
            <w:pPr>
              <w:rPr>
                <w:lang w:val="en-US"/>
              </w:rPr>
            </w:pPr>
            <w:r>
              <w:rPr>
                <w:lang w:val="en-US"/>
              </w:rPr>
              <w:t>After the Vestibular Nuclei</w:t>
            </w:r>
          </w:p>
        </w:tc>
        <w:tc>
          <w:tcPr>
            <w:tcW w:w="3117" w:type="dxa"/>
          </w:tcPr>
          <w:p w:rsidR="00F82DB4" w:rsidRDefault="00B87B80" w:rsidP="00097549">
            <w:pPr>
              <w:rPr>
                <w:lang w:val="en-US"/>
              </w:rPr>
            </w:pPr>
            <w:r>
              <w:rPr>
                <w:lang w:val="en-US"/>
              </w:rPr>
              <w:t>0.0019</w:t>
            </w:r>
          </w:p>
        </w:tc>
        <w:tc>
          <w:tcPr>
            <w:tcW w:w="3117" w:type="dxa"/>
          </w:tcPr>
          <w:p w:rsidR="00F82DB4" w:rsidRDefault="00B87B80" w:rsidP="00097549">
            <w:pPr>
              <w:rPr>
                <w:lang w:val="en-US"/>
              </w:rPr>
            </w:pPr>
            <w:r>
              <w:rPr>
                <w:lang w:val="en-US"/>
              </w:rPr>
              <w:t>9.19</w:t>
            </w:r>
          </w:p>
        </w:tc>
      </w:tr>
      <w:tr w:rsidR="00F82DB4" w:rsidTr="00F82DB4">
        <w:tc>
          <w:tcPr>
            <w:tcW w:w="3116" w:type="dxa"/>
          </w:tcPr>
          <w:p w:rsidR="00F82DB4" w:rsidRDefault="00F82DB4" w:rsidP="00097549">
            <w:pPr>
              <w:rPr>
                <w:lang w:val="en-US"/>
              </w:rPr>
            </w:pPr>
            <w:r>
              <w:rPr>
                <w:lang w:val="en-US"/>
              </w:rPr>
              <w:t>After the Eye Movement</w:t>
            </w:r>
          </w:p>
        </w:tc>
        <w:tc>
          <w:tcPr>
            <w:tcW w:w="3117" w:type="dxa"/>
          </w:tcPr>
          <w:p w:rsidR="00F82DB4" w:rsidRDefault="00F82DB4" w:rsidP="00097549">
            <w:pPr>
              <w:rPr>
                <w:lang w:val="en-US"/>
              </w:rPr>
            </w:pPr>
          </w:p>
        </w:tc>
        <w:tc>
          <w:tcPr>
            <w:tcW w:w="3117" w:type="dxa"/>
          </w:tcPr>
          <w:p w:rsidR="00F82DB4" w:rsidRDefault="0073540B" w:rsidP="00097549">
            <w:pPr>
              <w:rPr>
                <w:lang w:val="en-US"/>
              </w:rPr>
            </w:pPr>
            <w:r>
              <w:rPr>
                <w:lang w:val="en-US"/>
              </w:rPr>
              <w:t>9.24</w:t>
            </w:r>
          </w:p>
        </w:tc>
      </w:tr>
    </w:tbl>
    <w:p w:rsidR="00C4684F" w:rsidRDefault="00706919" w:rsidP="00C4684F">
      <w:pPr>
        <w:keepNext/>
      </w:pPr>
      <w:r>
        <w:rPr>
          <w:noProof/>
        </w:rPr>
        <w:drawing>
          <wp:inline distT="0" distB="0" distL="0" distR="0" wp14:anchorId="49472FB3" wp14:editId="4AFDD167">
            <wp:extent cx="3135970" cy="2535731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782" t="17613" r="7693" b="2016"/>
                    <a:stretch/>
                  </pic:blipFill>
                  <pic:spPr bwMode="auto">
                    <a:xfrm>
                      <a:off x="0" y="0"/>
                      <a:ext cx="3139560" cy="2538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6919" w:rsidRDefault="00C4684F" w:rsidP="00C4684F">
      <w:pPr>
        <w:pStyle w:val="Caption"/>
      </w:pPr>
      <w:r>
        <w:t xml:space="preserve">Figure </w:t>
      </w:r>
      <w:r w:rsidR="00C17E37">
        <w:fldChar w:fldCharType="begin"/>
      </w:r>
      <w:r w:rsidR="00C17E37">
        <w:instrText xml:space="preserve"> SEQ Figure \* ARABIC </w:instrText>
      </w:r>
      <w:r w:rsidR="00C17E37">
        <w:fldChar w:fldCharType="separate"/>
      </w:r>
      <w:r w:rsidR="00C17E37">
        <w:rPr>
          <w:noProof/>
        </w:rPr>
        <w:t>7</w:t>
      </w:r>
      <w:r w:rsidR="00C17E37">
        <w:rPr>
          <w:noProof/>
        </w:rPr>
        <w:fldChar w:fldCharType="end"/>
      </w:r>
      <w:r>
        <w:t>: Output after different stages of the VOR, with a pulse input</w:t>
      </w:r>
    </w:p>
    <w:p w:rsidR="00706919" w:rsidRDefault="00706919" w:rsidP="00706919">
      <w:r>
        <w:t xml:space="preserve">In the </w:t>
      </w:r>
      <w:r w:rsidR="00D73410">
        <w:t>figure above</w:t>
      </w:r>
      <w:r>
        <w:t>, which only shows the output response to a pulse generator, the response from the</w:t>
      </w:r>
      <w:r w:rsidR="00D73410">
        <w:t xml:space="preserve"> canal afferents is a lot smaller than the other two. In addition, the </w:t>
      </w:r>
      <w:r w:rsidR="00AB06EA">
        <w:t xml:space="preserve">output after the vestibular nuclei overlap with the </w:t>
      </w:r>
      <w:r>
        <w:t>VOR</w:t>
      </w:r>
      <w:r w:rsidR="00AB06EA">
        <w:t xml:space="preserve"> function</w:t>
      </w:r>
      <w:r>
        <w:t xml:space="preserve">. The main difference is that the response from the VOR only have one time constant and does not have the overshoot as shown </w:t>
      </w:r>
      <w:r w:rsidR="0057586C">
        <w:t>here</w:t>
      </w:r>
      <w:r>
        <w:t>.</w:t>
      </w:r>
    </w:p>
    <w:p w:rsidR="00CC7899" w:rsidRDefault="00CC7899" w:rsidP="00CC7899">
      <w:pPr>
        <w:pStyle w:val="Heading1"/>
      </w:pPr>
      <w:r>
        <w:t>Mutual information and temporal coding in vestibular pathways</w:t>
      </w:r>
    </w:p>
    <w:p w:rsidR="00CC7899" w:rsidRDefault="00990333" w:rsidP="00990333">
      <w:pPr>
        <w:pStyle w:val="Heading2"/>
      </w:pPr>
      <w:r>
        <w:t>Coefficient of Variance</w:t>
      </w:r>
    </w:p>
    <w:p w:rsidR="00990333" w:rsidRPr="006C2E1E" w:rsidRDefault="008725D3" w:rsidP="00990333">
      <m:oMathPara>
        <m:oMath>
          <m:r>
            <w:rPr>
              <w:rFonts w:ascii="Cambria Math" w:hAnsi="Cambria Math"/>
            </w:rPr>
            <m:t>CV=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σ</m:t>
              </m:r>
            </m:num>
            <m:den>
              <m:r>
                <w:rPr>
                  <w:rFonts w:ascii="Cambria Math" w:hAnsi="Cambria Math"/>
                </w:rPr>
                <m:t>μ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ISI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Av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ISI</m:t>
                  </m:r>
                </m:sub>
              </m:sSub>
            </m:den>
          </m:f>
        </m:oMath>
      </m:oMathPara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89"/>
        <w:gridCol w:w="3098"/>
        <w:gridCol w:w="2663"/>
      </w:tblGrid>
      <w:tr w:rsidR="00F53019" w:rsidTr="00F53019">
        <w:tc>
          <w:tcPr>
            <w:tcW w:w="3589" w:type="dxa"/>
          </w:tcPr>
          <w:p w:rsidR="00F53019" w:rsidRPr="0005488A" w:rsidRDefault="00F53019" w:rsidP="00990333"/>
        </w:tc>
        <w:tc>
          <w:tcPr>
            <w:tcW w:w="3098" w:type="dxa"/>
          </w:tcPr>
          <w:p w:rsidR="00F53019" w:rsidRDefault="00F53019" w:rsidP="00990333">
            <w:r>
              <w:t>Coefficient of Variance</w:t>
            </w:r>
          </w:p>
        </w:tc>
        <w:tc>
          <w:tcPr>
            <w:tcW w:w="2663" w:type="dxa"/>
          </w:tcPr>
          <w:p w:rsidR="00F53019" w:rsidRDefault="00F53019" w:rsidP="00990333">
            <w:r>
              <w:t>Neuronal Firing</w:t>
            </w:r>
          </w:p>
        </w:tc>
      </w:tr>
      <w:tr w:rsidR="00F53019" w:rsidTr="00F53019">
        <w:tc>
          <w:tcPr>
            <w:tcW w:w="3589" w:type="dxa"/>
          </w:tcPr>
          <w:p w:rsidR="00F53019" w:rsidRDefault="00F53019" w:rsidP="00990333">
            <w:r w:rsidRPr="0005488A">
              <w:t>Afferent_model_1.mat</w:t>
            </w:r>
          </w:p>
        </w:tc>
        <w:tc>
          <w:tcPr>
            <w:tcW w:w="3098" w:type="dxa"/>
          </w:tcPr>
          <w:p w:rsidR="00F53019" w:rsidRDefault="00F53019" w:rsidP="00990333">
            <w:r w:rsidRPr="00F53019">
              <w:t>0.2465</w:t>
            </w:r>
          </w:p>
        </w:tc>
        <w:tc>
          <w:tcPr>
            <w:tcW w:w="2663" w:type="dxa"/>
          </w:tcPr>
          <w:p w:rsidR="00F53019" w:rsidRDefault="00F53019" w:rsidP="00990333">
            <w:r>
              <w:t>Irregular</w:t>
            </w:r>
          </w:p>
        </w:tc>
      </w:tr>
      <w:tr w:rsidR="00F53019" w:rsidTr="00F53019">
        <w:tc>
          <w:tcPr>
            <w:tcW w:w="3589" w:type="dxa"/>
          </w:tcPr>
          <w:p w:rsidR="00F53019" w:rsidRDefault="00F53019" w:rsidP="00990333">
            <w:r>
              <w:t>Afferent_model_2</w:t>
            </w:r>
            <w:r w:rsidRPr="0005488A">
              <w:t>.mat</w:t>
            </w:r>
          </w:p>
        </w:tc>
        <w:tc>
          <w:tcPr>
            <w:tcW w:w="3098" w:type="dxa"/>
          </w:tcPr>
          <w:p w:rsidR="00F53019" w:rsidRDefault="00F53019" w:rsidP="00990333">
            <w:r>
              <w:t>0.0508</w:t>
            </w:r>
          </w:p>
        </w:tc>
        <w:tc>
          <w:tcPr>
            <w:tcW w:w="2663" w:type="dxa"/>
          </w:tcPr>
          <w:p w:rsidR="00F53019" w:rsidRDefault="00F53019" w:rsidP="00990333">
            <w:r>
              <w:t>Regular</w:t>
            </w:r>
          </w:p>
        </w:tc>
      </w:tr>
    </w:tbl>
    <w:p w:rsidR="006C2E1E" w:rsidRPr="006C2E1E" w:rsidRDefault="00152BC5" w:rsidP="00990333">
      <w:r>
        <w:rPr>
          <w:noProof/>
        </w:rPr>
        <w:drawing>
          <wp:inline distT="0" distB="0" distL="0" distR="0" wp14:anchorId="2D79137C" wp14:editId="51A2E248">
            <wp:extent cx="2612571" cy="2050292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2136" t="17468" r="7238" b="2676"/>
                    <a:stretch/>
                  </pic:blipFill>
                  <pic:spPr bwMode="auto">
                    <a:xfrm>
                      <a:off x="0" y="0"/>
                      <a:ext cx="2612571" cy="20502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F53019">
        <w:rPr>
          <w:noProof/>
        </w:rPr>
        <w:drawing>
          <wp:inline distT="0" distB="0" distL="0" distR="0" wp14:anchorId="35A99F9C" wp14:editId="393AC428">
            <wp:extent cx="2509720" cy="2051637"/>
            <wp:effectExtent l="0" t="0" r="508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922" t="16986" r="7843" b="2026"/>
                    <a:stretch/>
                  </pic:blipFill>
                  <pic:spPr bwMode="auto">
                    <a:xfrm>
                      <a:off x="0" y="0"/>
                      <a:ext cx="2509720" cy="20516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2E1E" w:rsidRDefault="006C2E1E" w:rsidP="00990333">
      <w:r>
        <w:lastRenderedPageBreak/>
        <w:t>The coefficient of variance informs on the dispersion or variability of a dataset.</w:t>
      </w:r>
      <w:r w:rsidR="00C1068B">
        <w:t xml:space="preserve"> The greater the coefficient of variance</w:t>
      </w:r>
      <w:r w:rsidR="00663ED2">
        <w:t>, the more variability there is</w:t>
      </w:r>
      <w:r w:rsidR="004029E6">
        <w:t xml:space="preserve">. </w:t>
      </w:r>
      <w:r w:rsidR="00424F46">
        <w:t xml:space="preserve">As shown in the ISI Distribution histograms, there is more variability in the first model (irregular), whereas most ISI falls either on 10 or 11 </w:t>
      </w:r>
      <w:proofErr w:type="spellStart"/>
      <w:r w:rsidR="00424F46">
        <w:t>ms</w:t>
      </w:r>
      <w:proofErr w:type="spellEnd"/>
      <w:r w:rsidR="00424F46">
        <w:t xml:space="preserve"> in the second model (regular).</w:t>
      </w:r>
    </w:p>
    <w:p w:rsidR="0086023C" w:rsidRDefault="0086023C" w:rsidP="0086023C">
      <w:pPr>
        <w:pStyle w:val="Heading2"/>
      </w:pPr>
      <w:r>
        <w:t>Response Gain</w:t>
      </w:r>
    </w:p>
    <w:p w:rsidR="00A231E8" w:rsidRDefault="00A21EFE" w:rsidP="00A231E8">
      <w:pPr>
        <w:keepNext/>
      </w:pPr>
      <w:r>
        <w:rPr>
          <w:noProof/>
        </w:rPr>
        <w:drawing>
          <wp:inline distT="0" distB="0" distL="0" distR="0" wp14:anchorId="1F8E9B3C" wp14:editId="54FD0335">
            <wp:extent cx="3304134" cy="266834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343" t="18557" r="8402" b="2325"/>
                    <a:stretch/>
                  </pic:blipFill>
                  <pic:spPr bwMode="auto">
                    <a:xfrm>
                      <a:off x="0" y="0"/>
                      <a:ext cx="3313042" cy="26755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04A6F" w:rsidRDefault="00A23A66" w:rsidP="00E27B06">
      <w:r>
        <w:t xml:space="preserve">The figure above shows that the gain increases with frequency </w:t>
      </w:r>
      <w:r w:rsidR="004561D0">
        <w:t>in model 1, whereas the gain remains fairly stable in</w:t>
      </w:r>
      <w:r>
        <w:t xml:space="preserve"> model 2.</w:t>
      </w:r>
    </w:p>
    <w:p w:rsidR="0086023C" w:rsidRDefault="0086023C" w:rsidP="0086023C">
      <w:pPr>
        <w:pStyle w:val="Heading2"/>
      </w:pPr>
      <w:r>
        <w:t>Mutual Information Density</w:t>
      </w:r>
    </w:p>
    <w:p w:rsidR="0086023C" w:rsidRDefault="00116947" w:rsidP="0086023C">
      <w:r>
        <w:rPr>
          <w:noProof/>
        </w:rPr>
        <w:drawing>
          <wp:inline distT="0" distB="0" distL="0" distR="0" wp14:anchorId="5D276A29" wp14:editId="7FBD2A20">
            <wp:extent cx="3334871" cy="269610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4343" t="18714" r="8684" b="2337"/>
                    <a:stretch/>
                  </pic:blipFill>
                  <pic:spPr bwMode="auto">
                    <a:xfrm>
                      <a:off x="0" y="0"/>
                      <a:ext cx="3344087" cy="2703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215D" w:rsidRPr="0086023C" w:rsidRDefault="00DF5AD9" w:rsidP="0086023C">
      <w:r>
        <w:t>The mutual information density measures the variables’ mutual dependence (in this case</w:t>
      </w:r>
      <w:r w:rsidR="001B739E">
        <w:t>, stimulus and spike train</w:t>
      </w:r>
      <w:r>
        <w:t xml:space="preserve">). </w:t>
      </w:r>
      <w:r w:rsidR="008C2714">
        <w:t>The resulting figure is fairly similar to the gain bode plots</w:t>
      </w:r>
      <w:r w:rsidR="003C78D9">
        <w:t xml:space="preserve">. </w:t>
      </w:r>
      <w:r w:rsidR="008B4378">
        <w:t>T</w:t>
      </w:r>
      <w:r w:rsidR="005E1991">
        <w:t>he gain and mutual density remains fairly constant across frequencies</w:t>
      </w:r>
      <w:r w:rsidR="00C21E0D">
        <w:t xml:space="preserve"> in Model 2</w:t>
      </w:r>
      <w:r w:rsidR="005E1991">
        <w:t xml:space="preserve">, whereas </w:t>
      </w:r>
      <w:r w:rsidR="007B590D">
        <w:t>it increases as frequency gets higher in Model 1.</w:t>
      </w:r>
    </w:p>
    <w:sectPr w:rsidR="00FD215D" w:rsidRPr="008602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A62A91"/>
    <w:multiLevelType w:val="hybridMultilevel"/>
    <w:tmpl w:val="60028A4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32D22BEC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5573"/>
    <w:rsid w:val="00013130"/>
    <w:rsid w:val="000176B6"/>
    <w:rsid w:val="00033D1A"/>
    <w:rsid w:val="0005488A"/>
    <w:rsid w:val="00055506"/>
    <w:rsid w:val="00074BC2"/>
    <w:rsid w:val="00081946"/>
    <w:rsid w:val="00090D1F"/>
    <w:rsid w:val="00097549"/>
    <w:rsid w:val="000A35D5"/>
    <w:rsid w:val="000C293E"/>
    <w:rsid w:val="000E2922"/>
    <w:rsid w:val="00113A46"/>
    <w:rsid w:val="00116947"/>
    <w:rsid w:val="00121E19"/>
    <w:rsid w:val="00125B6A"/>
    <w:rsid w:val="00152BC5"/>
    <w:rsid w:val="00155182"/>
    <w:rsid w:val="00164418"/>
    <w:rsid w:val="00167913"/>
    <w:rsid w:val="0018097C"/>
    <w:rsid w:val="001B739E"/>
    <w:rsid w:val="002060E7"/>
    <w:rsid w:val="0022276A"/>
    <w:rsid w:val="0022752C"/>
    <w:rsid w:val="00237280"/>
    <w:rsid w:val="0024112C"/>
    <w:rsid w:val="002421E2"/>
    <w:rsid w:val="00245ED0"/>
    <w:rsid w:val="00245EFF"/>
    <w:rsid w:val="00272BF6"/>
    <w:rsid w:val="002A3AE6"/>
    <w:rsid w:val="002C0755"/>
    <w:rsid w:val="00325C86"/>
    <w:rsid w:val="00327ED1"/>
    <w:rsid w:val="003606A8"/>
    <w:rsid w:val="003A4D5B"/>
    <w:rsid w:val="003B334E"/>
    <w:rsid w:val="003B6EE6"/>
    <w:rsid w:val="003C78D9"/>
    <w:rsid w:val="003C7DE0"/>
    <w:rsid w:val="003D51B6"/>
    <w:rsid w:val="004023F8"/>
    <w:rsid w:val="004029E6"/>
    <w:rsid w:val="00413F1E"/>
    <w:rsid w:val="00424F46"/>
    <w:rsid w:val="00447EE8"/>
    <w:rsid w:val="004561D0"/>
    <w:rsid w:val="00462F94"/>
    <w:rsid w:val="00483094"/>
    <w:rsid w:val="004851D6"/>
    <w:rsid w:val="00491A2E"/>
    <w:rsid w:val="004E3805"/>
    <w:rsid w:val="004E6A2B"/>
    <w:rsid w:val="004F4D28"/>
    <w:rsid w:val="00530DE0"/>
    <w:rsid w:val="00534C52"/>
    <w:rsid w:val="0057586C"/>
    <w:rsid w:val="0058484A"/>
    <w:rsid w:val="005910D9"/>
    <w:rsid w:val="00593881"/>
    <w:rsid w:val="005A6DDD"/>
    <w:rsid w:val="005D2E3F"/>
    <w:rsid w:val="005E1991"/>
    <w:rsid w:val="0063383D"/>
    <w:rsid w:val="006516C1"/>
    <w:rsid w:val="00654824"/>
    <w:rsid w:val="00663ED2"/>
    <w:rsid w:val="0066408E"/>
    <w:rsid w:val="00665E29"/>
    <w:rsid w:val="00694252"/>
    <w:rsid w:val="0069743D"/>
    <w:rsid w:val="006A0774"/>
    <w:rsid w:val="006B0935"/>
    <w:rsid w:val="006B3388"/>
    <w:rsid w:val="006C0C42"/>
    <w:rsid w:val="006C2E1E"/>
    <w:rsid w:val="006C425C"/>
    <w:rsid w:val="006D7CA1"/>
    <w:rsid w:val="006F7C50"/>
    <w:rsid w:val="00704A6F"/>
    <w:rsid w:val="00706919"/>
    <w:rsid w:val="0073540B"/>
    <w:rsid w:val="007556D6"/>
    <w:rsid w:val="00774B12"/>
    <w:rsid w:val="0077753A"/>
    <w:rsid w:val="00791A57"/>
    <w:rsid w:val="007A3206"/>
    <w:rsid w:val="007B590D"/>
    <w:rsid w:val="007C53D7"/>
    <w:rsid w:val="008435E2"/>
    <w:rsid w:val="0086023C"/>
    <w:rsid w:val="008725D3"/>
    <w:rsid w:val="00883A31"/>
    <w:rsid w:val="008B4378"/>
    <w:rsid w:val="008B585B"/>
    <w:rsid w:val="008C09E9"/>
    <w:rsid w:val="008C2714"/>
    <w:rsid w:val="008F5573"/>
    <w:rsid w:val="009119B4"/>
    <w:rsid w:val="00915F63"/>
    <w:rsid w:val="00935489"/>
    <w:rsid w:val="00936395"/>
    <w:rsid w:val="00975933"/>
    <w:rsid w:val="00990333"/>
    <w:rsid w:val="00996748"/>
    <w:rsid w:val="009B1451"/>
    <w:rsid w:val="00A10F99"/>
    <w:rsid w:val="00A2157D"/>
    <w:rsid w:val="00A21EFE"/>
    <w:rsid w:val="00A231E8"/>
    <w:rsid w:val="00A23A66"/>
    <w:rsid w:val="00A25930"/>
    <w:rsid w:val="00A2605D"/>
    <w:rsid w:val="00A34CA7"/>
    <w:rsid w:val="00A359CE"/>
    <w:rsid w:val="00A410EA"/>
    <w:rsid w:val="00A933BE"/>
    <w:rsid w:val="00AB06EA"/>
    <w:rsid w:val="00AB0C5C"/>
    <w:rsid w:val="00AB5D77"/>
    <w:rsid w:val="00AD1297"/>
    <w:rsid w:val="00AD217E"/>
    <w:rsid w:val="00AE2760"/>
    <w:rsid w:val="00AF50B7"/>
    <w:rsid w:val="00AF7070"/>
    <w:rsid w:val="00B14CEE"/>
    <w:rsid w:val="00B80ECC"/>
    <w:rsid w:val="00B83E66"/>
    <w:rsid w:val="00B85524"/>
    <w:rsid w:val="00B87B80"/>
    <w:rsid w:val="00BA484C"/>
    <w:rsid w:val="00BB1743"/>
    <w:rsid w:val="00BD3A74"/>
    <w:rsid w:val="00BD72B0"/>
    <w:rsid w:val="00BE5A11"/>
    <w:rsid w:val="00BF2988"/>
    <w:rsid w:val="00BF4A75"/>
    <w:rsid w:val="00C06C34"/>
    <w:rsid w:val="00C1068B"/>
    <w:rsid w:val="00C17E37"/>
    <w:rsid w:val="00C21E0D"/>
    <w:rsid w:val="00C41571"/>
    <w:rsid w:val="00C4684F"/>
    <w:rsid w:val="00C815DF"/>
    <w:rsid w:val="00C9220D"/>
    <w:rsid w:val="00CB22C2"/>
    <w:rsid w:val="00CC49DD"/>
    <w:rsid w:val="00CC7899"/>
    <w:rsid w:val="00D3470F"/>
    <w:rsid w:val="00D43EEB"/>
    <w:rsid w:val="00D73410"/>
    <w:rsid w:val="00D750A6"/>
    <w:rsid w:val="00D77B76"/>
    <w:rsid w:val="00D84B4A"/>
    <w:rsid w:val="00DB3D20"/>
    <w:rsid w:val="00DD7556"/>
    <w:rsid w:val="00DE2725"/>
    <w:rsid w:val="00DF1C72"/>
    <w:rsid w:val="00DF4B1C"/>
    <w:rsid w:val="00DF5AD9"/>
    <w:rsid w:val="00E27B06"/>
    <w:rsid w:val="00E70505"/>
    <w:rsid w:val="00E80C5A"/>
    <w:rsid w:val="00E8202F"/>
    <w:rsid w:val="00E87ACA"/>
    <w:rsid w:val="00EC130F"/>
    <w:rsid w:val="00EE26D3"/>
    <w:rsid w:val="00F00CC3"/>
    <w:rsid w:val="00F127A7"/>
    <w:rsid w:val="00F4085A"/>
    <w:rsid w:val="00F464F1"/>
    <w:rsid w:val="00F47F6E"/>
    <w:rsid w:val="00F53019"/>
    <w:rsid w:val="00F77A48"/>
    <w:rsid w:val="00F82DB4"/>
    <w:rsid w:val="00F86567"/>
    <w:rsid w:val="00F953D2"/>
    <w:rsid w:val="00FD215D"/>
    <w:rsid w:val="00FD3D03"/>
    <w:rsid w:val="00FE4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145FD-D0A8-4723-8D2B-D03F16EF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4252"/>
  </w:style>
  <w:style w:type="paragraph" w:styleId="Heading1">
    <w:name w:val="heading 1"/>
    <w:basedOn w:val="Normal"/>
    <w:next w:val="Normal"/>
    <w:link w:val="Heading1Char"/>
    <w:uiPriority w:val="9"/>
    <w:qFormat/>
    <w:rsid w:val="006B09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5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B093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0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B093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0935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B0935"/>
    <w:rPr>
      <w:color w:val="5A5A5A" w:themeColor="text1" w:themeTint="A5"/>
      <w:spacing w:val="15"/>
    </w:rPr>
  </w:style>
  <w:style w:type="paragraph" w:styleId="Caption">
    <w:name w:val="caption"/>
    <w:basedOn w:val="Normal"/>
    <w:next w:val="Normal"/>
    <w:uiPriority w:val="35"/>
    <w:unhideWhenUsed/>
    <w:qFormat/>
    <w:rsid w:val="002372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555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774B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4B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B12"/>
    <w:rPr>
      <w:rFonts w:ascii="Segoe UI" w:hAnsi="Segoe UI" w:cs="Segoe UI"/>
      <w:sz w:val="18"/>
      <w:szCs w:val="18"/>
    </w:rPr>
  </w:style>
  <w:style w:type="paragraph" w:customStyle="1" w:styleId="StyleHeading1LatinTimesNewRoman12pt">
    <w:name w:val="Style Heading 1 + (Latin) Times New Roman 12 pt"/>
    <w:basedOn w:val="Normal"/>
    <w:rsid w:val="005910D9"/>
    <w:pPr>
      <w:spacing w:after="0" w:line="240" w:lineRule="auto"/>
    </w:pPr>
    <w:rPr>
      <w:rFonts w:ascii="Times New Roman" w:eastAsia="Batang" w:hAnsi="Times New Roman" w:cs="Times New Roman"/>
      <w:sz w:val="24"/>
      <w:szCs w:val="24"/>
      <w:lang w:eastAsia="ko-KR"/>
    </w:rPr>
  </w:style>
  <w:style w:type="character" w:styleId="PlaceholderText">
    <w:name w:val="Placeholder Text"/>
    <w:basedOn w:val="DefaultParagraphFont"/>
    <w:uiPriority w:val="99"/>
    <w:semiHidden/>
    <w:rsid w:val="00F82DB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798</Words>
  <Characters>4552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Seqian Wang</dc:creator>
  <cp:keywords/>
  <dc:description/>
  <cp:lastModifiedBy>Seqian Wang</cp:lastModifiedBy>
  <cp:revision>177</cp:revision>
  <cp:lastPrinted>2014-03-12T16:06:00Z</cp:lastPrinted>
  <dcterms:created xsi:type="dcterms:W3CDTF">2014-03-03T22:19:00Z</dcterms:created>
  <dcterms:modified xsi:type="dcterms:W3CDTF">2014-03-12T16:06:00Z</dcterms:modified>
</cp:coreProperties>
</file>