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f1fec25fb63246f5"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999" w:rsidRDefault="00875999" w:rsidP="00875999">
      <w:pPr>
        <w:pStyle w:val="Heading1"/>
      </w:pPr>
      <w:r>
        <w:t>I.</w:t>
      </w:r>
      <w:r>
        <w:tab/>
        <w:t>INTRODUCTION</w:t>
      </w:r>
      <w:r>
        <w:rPr>
          <w:rStyle w:val="FootnoteReference"/>
          <w:b w:val="0"/>
          <w:vertAlign w:val="superscript"/>
        </w:rPr>
        <w:footnoteReference w:id="1"/>
      </w:r>
    </w:p>
    <w:p w:rsidR="00875999" w:rsidRDefault="00875999" w:rsidP="00875999">
      <w:pPr>
        <w:pStyle w:val="Header"/>
        <w:widowControl/>
        <w:tabs>
          <w:tab w:val="clear" w:pos="4320"/>
          <w:tab w:val="clear" w:pos="8640"/>
        </w:tabs>
        <w:rPr>
          <w:rFonts w:ascii="Times New Roman" w:hAnsi="Times New Roman"/>
        </w:rPr>
      </w:pPr>
    </w:p>
    <w:p w:rsidR="00875999" w:rsidRDefault="00875999" w:rsidP="00875999">
      <w:pPr>
        <w:widowControl/>
        <w:rPr>
          <w:rFonts w:ascii="Times New Roman" w:hAnsi="Times New Roman"/>
        </w:rPr>
      </w:pPr>
    </w:p>
    <w:p w:rsidR="00875999" w:rsidRDefault="00875999" w:rsidP="00875999">
      <w:pPr>
        <w:widowControl/>
        <w:ind w:left="720"/>
        <w:rPr>
          <w:rFonts w:ascii="Times New Roman" w:hAnsi="Times New Roman"/>
        </w:rPr>
      </w:pPr>
      <w:r>
        <w:rPr>
          <w:rFonts w:ascii="Times New Roman" w:hAnsi="Times New Roman"/>
        </w:rPr>
        <w:t xml:space="preserve">The Manual should be kept at hand for easy reference.  You are asked and encouraged to raise questions, criticisms or comments about the manual.  Suggestions for changes or additions are welcome.  </w:t>
      </w:r>
      <w:r>
        <w:rPr>
          <w:rFonts w:ascii="Times New Roman" w:hAnsi="Times New Roman"/>
          <w:b/>
        </w:rPr>
        <w:t>Any questions regarding compliance issues must be directed to the Senior Vice-President – Compliance who is the Chief Compliance Officer</w:t>
      </w:r>
    </w:p>
    <w:p w:rsidR="00875999" w:rsidRDefault="00875999" w:rsidP="00875999">
      <w:pPr>
        <w:widowControl/>
        <w:rPr>
          <w:rFonts w:ascii="Times New Roman" w:hAnsi="Times New Roman"/>
        </w:rPr>
      </w:pPr>
    </w:p>
    <w:p w:rsidR="00875999" w:rsidRDefault="00875999" w:rsidP="00875999">
      <w:pPr>
        <w:widowControl/>
        <w:ind w:left="720"/>
        <w:rPr>
          <w:rFonts w:ascii="Times New Roman" w:hAnsi="Times New Roman"/>
        </w:rPr>
      </w:pPr>
      <w:r>
        <w:rPr>
          <w:rFonts w:ascii="Times New Roman" w:hAnsi="Times New Roman"/>
          <w:b/>
        </w:rPr>
        <w:t xml:space="preserve">The Firm expects you to be thoroughly familiar with the procedures and policies as set forth in this manual. </w:t>
      </w:r>
      <w:r>
        <w:rPr>
          <w:rFonts w:ascii="Times New Roman" w:hAnsi="Times New Roman"/>
        </w:rPr>
        <w:t xml:space="preserve"> Adherence to the policies and procedures set forth will help to achieve our goal of uniform compliance.  The Firm also requires you to be familiar with the Code of Ethics which is available to all employees and to clients upon request. </w:t>
      </w:r>
    </w:p>
    <w:p w:rsidR="00875999" w:rsidRDefault="00875999" w:rsidP="00875999">
      <w:pPr>
        <w:widowControl/>
        <w:rPr>
          <w:rFonts w:ascii="Times New Roman" w:hAnsi="Times New Roman"/>
        </w:rPr>
      </w:pPr>
    </w:p>
    <w:p w:rsidR="00875999" w:rsidRDefault="00875999" w:rsidP="00875999">
      <w:pPr>
        <w:widowControl/>
        <w:ind w:left="1440" w:hanging="720"/>
        <w:rPr>
          <w:rFonts w:ascii="Times New Roman" w:hAnsi="Times New Roman"/>
          <w:b/>
        </w:rPr>
      </w:pPr>
      <w:r>
        <w:rPr>
          <w:rFonts w:ascii="Times New Roman" w:hAnsi="Times New Roman"/>
        </w:rPr>
        <w:t>A.</w:t>
      </w:r>
      <w:r>
        <w:rPr>
          <w:rFonts w:ascii="Times New Roman" w:hAnsi="Times New Roman"/>
        </w:rPr>
        <w:tab/>
      </w:r>
      <w:r>
        <w:rPr>
          <w:rFonts w:ascii="Times New Roman" w:hAnsi="Times New Roman"/>
          <w:u w:val="single"/>
        </w:rPr>
        <w:t>Use and Distribution of the Manual</w:t>
      </w:r>
      <w:r>
        <w:rPr>
          <w:rFonts w:ascii="Times New Roman" w:hAnsi="Times New Roman"/>
        </w:rPr>
        <w:t xml:space="preserve">.  The Manual is a basic part of the Firm's Compliance Program.  It is intended to be revised or supplemented from time to time.  </w:t>
      </w:r>
      <w:r>
        <w:rPr>
          <w:rFonts w:ascii="Times New Roman" w:hAnsi="Times New Roman"/>
          <w:b/>
        </w:rPr>
        <w:t xml:space="preserve">It is the responsibility of the holder to see that his/her copy is up to date by inserting new material as instructed or review the current copy on a shared directory.  The adequacy of the policies and procedures will be evaluated at least annually and a report provided to management. </w:t>
      </w:r>
    </w:p>
    <w:p w:rsidR="00875999" w:rsidRDefault="00875999" w:rsidP="00875999">
      <w:pPr>
        <w:widowControl/>
        <w:ind w:left="360"/>
        <w:rPr>
          <w:rFonts w:ascii="Times New Roman" w:hAnsi="Times New Roman"/>
        </w:rPr>
      </w:pPr>
    </w:p>
    <w:p w:rsidR="00875999" w:rsidRDefault="00875999" w:rsidP="00875999">
      <w:pPr>
        <w:widowControl/>
        <w:ind w:left="1440"/>
        <w:rPr>
          <w:rFonts w:ascii="Times New Roman" w:hAnsi="Times New Roman"/>
        </w:rPr>
      </w:pPr>
      <w:r>
        <w:rPr>
          <w:rFonts w:ascii="Times New Roman" w:hAnsi="Times New Roman"/>
        </w:rPr>
        <w:t>Regarding the Manual, each officer, principal, manager, supervisor or any other person having managerial or supervisory responsibilities must:</w:t>
      </w:r>
    </w:p>
    <w:p w:rsidR="00875999" w:rsidRDefault="00875999" w:rsidP="00875999">
      <w:pPr>
        <w:widowControl/>
        <w:ind w:left="360"/>
        <w:rPr>
          <w:rFonts w:ascii="Times New Roman" w:hAnsi="Times New Roman"/>
        </w:rPr>
      </w:pPr>
    </w:p>
    <w:p w:rsidR="00875999" w:rsidRDefault="00875999" w:rsidP="00875999">
      <w:pPr>
        <w:widowControl/>
        <w:ind w:left="1080" w:firstLine="360"/>
        <w:rPr>
          <w:rFonts w:ascii="Times New Roman" w:hAnsi="Times New Roman"/>
        </w:rPr>
      </w:pPr>
      <w:r>
        <w:rPr>
          <w:rFonts w:ascii="Times New Roman" w:hAnsi="Times New Roman"/>
        </w:rPr>
        <w:t>(1)</w:t>
      </w:r>
      <w:r>
        <w:rPr>
          <w:rFonts w:ascii="Times New Roman" w:hAnsi="Times New Roman"/>
        </w:rPr>
        <w:tab/>
        <w:t>know and understand the contents;</w:t>
      </w:r>
    </w:p>
    <w:p w:rsidR="00875999" w:rsidRDefault="00875999" w:rsidP="00875999">
      <w:pPr>
        <w:widowControl/>
        <w:ind w:left="1080" w:firstLine="360"/>
        <w:rPr>
          <w:rFonts w:ascii="Times New Roman" w:hAnsi="Times New Roman"/>
        </w:rPr>
      </w:pPr>
      <w:r>
        <w:rPr>
          <w:rFonts w:ascii="Times New Roman" w:hAnsi="Times New Roman"/>
        </w:rPr>
        <w:t>(2)</w:t>
      </w:r>
      <w:r>
        <w:rPr>
          <w:rFonts w:ascii="Times New Roman" w:hAnsi="Times New Roman"/>
        </w:rPr>
        <w:tab/>
        <w:t>provide new employees, including trainees, with a copy;</w:t>
      </w:r>
    </w:p>
    <w:p w:rsidR="00875999" w:rsidRDefault="00875999" w:rsidP="00875999">
      <w:pPr>
        <w:widowControl/>
        <w:ind w:left="2160" w:hanging="720"/>
        <w:rPr>
          <w:rFonts w:ascii="Times New Roman" w:hAnsi="Times New Roman"/>
        </w:rPr>
      </w:pPr>
      <w:r>
        <w:rPr>
          <w:rFonts w:ascii="Times New Roman" w:hAnsi="Times New Roman"/>
        </w:rPr>
        <w:t>(3)</w:t>
      </w:r>
      <w:r>
        <w:rPr>
          <w:rFonts w:ascii="Times New Roman" w:hAnsi="Times New Roman"/>
        </w:rPr>
        <w:tab/>
        <w:t>ensure that all holders of the Manual whom you supervise know and understand the contents, and use it in day</w:t>
      </w:r>
      <w:r>
        <w:rPr>
          <w:rFonts w:ascii="Times New Roman" w:hAnsi="Times New Roman"/>
        </w:rPr>
        <w:noBreakHyphen/>
        <w:t>to</w:t>
      </w:r>
      <w:r>
        <w:rPr>
          <w:rFonts w:ascii="Times New Roman" w:hAnsi="Times New Roman"/>
        </w:rPr>
        <w:noBreakHyphen/>
        <w:t>day activities;</w:t>
      </w:r>
    </w:p>
    <w:p w:rsidR="00875999" w:rsidRDefault="00875999" w:rsidP="00875999">
      <w:pPr>
        <w:widowControl/>
        <w:ind w:left="2160" w:hanging="720"/>
        <w:rPr>
          <w:rFonts w:ascii="Times New Roman" w:hAnsi="Times New Roman"/>
        </w:rPr>
      </w:pPr>
      <w:r>
        <w:rPr>
          <w:rFonts w:ascii="Times New Roman" w:hAnsi="Times New Roman"/>
        </w:rPr>
        <w:t>(4)</w:t>
      </w:r>
      <w:r>
        <w:rPr>
          <w:rFonts w:ascii="Times New Roman" w:hAnsi="Times New Roman"/>
        </w:rPr>
        <w:tab/>
        <w:t>ensure that any supplements are distributed to persons under your supervision with proper instructions for their use.</w:t>
      </w:r>
    </w:p>
    <w:p w:rsidR="00875999" w:rsidRDefault="00875999" w:rsidP="00875999">
      <w:pPr>
        <w:pStyle w:val="Header"/>
        <w:widowControl/>
        <w:tabs>
          <w:tab w:val="clear" w:pos="4320"/>
          <w:tab w:val="clear" w:pos="8640"/>
        </w:tabs>
        <w:rPr>
          <w:rFonts w:ascii="Times New Roman" w:hAnsi="Times New Roman"/>
        </w:rPr>
      </w:pPr>
    </w:p>
    <w:p w:rsidR="00875999" w:rsidRDefault="00875999" w:rsidP="00875999">
      <w:pPr>
        <w:widowControl/>
        <w:ind w:left="1440"/>
        <w:rPr>
          <w:rFonts w:ascii="Times New Roman" w:hAnsi="Times New Roman"/>
        </w:rPr>
      </w:pPr>
      <w:r>
        <w:rPr>
          <w:rFonts w:ascii="Times New Roman" w:hAnsi="Times New Roman"/>
        </w:rPr>
        <w:t>See the Firm’s organizational chart for the supervisory system.</w:t>
      </w:r>
    </w:p>
    <w:p w:rsidR="00875999" w:rsidRDefault="00875999" w:rsidP="00875999">
      <w:pPr>
        <w:pStyle w:val="Header"/>
        <w:widowControl/>
        <w:tabs>
          <w:tab w:val="clear" w:pos="4320"/>
          <w:tab w:val="clear" w:pos="8640"/>
        </w:tabs>
        <w:rPr>
          <w:rFonts w:ascii="Times New Roman" w:hAnsi="Times New Roman"/>
        </w:rPr>
      </w:pPr>
    </w:p>
    <w:p w:rsidR="00875999" w:rsidRDefault="00875999" w:rsidP="00875999">
      <w:pPr>
        <w:widowControl/>
        <w:ind w:left="1440" w:hanging="720"/>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Overview of the Advisers Act</w:t>
      </w:r>
      <w:r>
        <w:rPr>
          <w:rFonts w:ascii="Times New Roman" w:hAnsi="Times New Roman"/>
        </w:rPr>
        <w:t>.  Before we begin our examination of specific compliance issues, which you should understand, we need to first examine existing Investment Adviser regulations and determine how and to what extent they affect you.</w:t>
      </w:r>
    </w:p>
    <w:p w:rsidR="00875999" w:rsidRDefault="00875999" w:rsidP="00875999">
      <w:pPr>
        <w:pStyle w:val="Header"/>
        <w:widowControl/>
        <w:tabs>
          <w:tab w:val="clear" w:pos="4320"/>
          <w:tab w:val="clear" w:pos="8640"/>
        </w:tabs>
        <w:rPr>
          <w:rFonts w:ascii="Times New Roman" w:hAnsi="Times New Roman"/>
        </w:rPr>
      </w:pPr>
    </w:p>
    <w:p w:rsidR="00875999" w:rsidRDefault="00875999" w:rsidP="00875999">
      <w:pPr>
        <w:widowControl/>
        <w:ind w:left="1440"/>
        <w:rPr>
          <w:rFonts w:ascii="Times New Roman" w:hAnsi="Times New Roman"/>
        </w:rPr>
      </w:pPr>
      <w:r>
        <w:rPr>
          <w:rFonts w:ascii="Times New Roman" w:hAnsi="Times New Roman"/>
        </w:rPr>
        <w:t>Congress enacted the Investment Advisers Act of l940 after finding that the activities of those providing investment advice or investment advisory materials were of national concern because of their effect on the economy.  Certain sections of the 1940’s Investment Advisors Act are not referred in this manual due to the inapplicable nature of them in a manual such as this.  These are:</w:t>
      </w:r>
    </w:p>
    <w:p w:rsidR="00875999" w:rsidRDefault="00875999" w:rsidP="00875999">
      <w:pPr>
        <w:widowControl/>
        <w:ind w:left="1440"/>
        <w:rPr>
          <w:rFonts w:ascii="Times New Roman" w:hAnsi="Times New Roman"/>
        </w:rPr>
      </w:pPr>
    </w:p>
    <w:p w:rsidR="00875999" w:rsidRDefault="00875999" w:rsidP="00875999">
      <w:pPr>
        <w:widowControl/>
        <w:ind w:left="1440"/>
        <w:rPr>
          <w:rFonts w:ascii="Times New Roman" w:hAnsi="Times New Roman"/>
        </w:rPr>
      </w:pPr>
      <w:r>
        <w:rPr>
          <w:rFonts w:ascii="Times New Roman" w:hAnsi="Times New Roman"/>
        </w:rPr>
        <w:t>275.0-2</w:t>
      </w:r>
      <w:r>
        <w:rPr>
          <w:rFonts w:ascii="Times New Roman" w:hAnsi="Times New Roman"/>
        </w:rPr>
        <w:tab/>
      </w:r>
      <w:r>
        <w:rPr>
          <w:rFonts w:ascii="Times New Roman" w:hAnsi="Times New Roman"/>
        </w:rPr>
        <w:tab/>
        <w:t>General procedures for serving non-residents</w:t>
      </w:r>
    </w:p>
    <w:p w:rsidR="00875999" w:rsidRDefault="00875999" w:rsidP="00875999">
      <w:pPr>
        <w:widowControl/>
        <w:ind w:left="1440"/>
        <w:rPr>
          <w:rFonts w:ascii="Times New Roman" w:hAnsi="Times New Roman"/>
        </w:rPr>
      </w:pPr>
    </w:p>
    <w:p w:rsidR="00875999" w:rsidRDefault="00875999" w:rsidP="00875999">
      <w:pPr>
        <w:widowControl/>
        <w:ind w:left="1440"/>
        <w:rPr>
          <w:rFonts w:ascii="Times New Roman" w:hAnsi="Times New Roman"/>
        </w:rPr>
      </w:pPr>
      <w:r>
        <w:rPr>
          <w:rFonts w:ascii="Times New Roman" w:hAnsi="Times New Roman"/>
        </w:rPr>
        <w:t>275.0-3</w:t>
      </w:r>
      <w:r>
        <w:rPr>
          <w:rFonts w:ascii="Times New Roman" w:hAnsi="Times New Roman"/>
        </w:rPr>
        <w:tab/>
      </w:r>
      <w:r>
        <w:rPr>
          <w:rFonts w:ascii="Times New Roman" w:hAnsi="Times New Roman"/>
        </w:rPr>
        <w:tab/>
        <w:t>References for rules and regulations.</w:t>
      </w:r>
    </w:p>
    <w:p w:rsidR="00875999" w:rsidRDefault="00875999" w:rsidP="00875999">
      <w:pPr>
        <w:widowControl/>
        <w:ind w:left="1440"/>
        <w:rPr>
          <w:rFonts w:ascii="Times New Roman" w:hAnsi="Times New Roman"/>
        </w:rPr>
      </w:pPr>
    </w:p>
    <w:p w:rsidR="00875999" w:rsidRDefault="00875999" w:rsidP="00875999">
      <w:pPr>
        <w:widowControl/>
        <w:ind w:left="1440"/>
        <w:rPr>
          <w:rFonts w:ascii="Times New Roman" w:hAnsi="Times New Roman"/>
        </w:rPr>
      </w:pPr>
      <w:r>
        <w:rPr>
          <w:rFonts w:ascii="Times New Roman" w:hAnsi="Times New Roman"/>
        </w:rPr>
        <w:t>275.0-5</w:t>
      </w:r>
      <w:r>
        <w:rPr>
          <w:rFonts w:ascii="Times New Roman" w:hAnsi="Times New Roman"/>
        </w:rPr>
        <w:tab/>
      </w:r>
      <w:r>
        <w:rPr>
          <w:rFonts w:ascii="Times New Roman" w:hAnsi="Times New Roman"/>
        </w:rPr>
        <w:tab/>
        <w:t>Procedure with respect to applications and other matters.</w:t>
      </w:r>
    </w:p>
    <w:p w:rsidR="00875999" w:rsidRDefault="00875999" w:rsidP="00875999">
      <w:pPr>
        <w:widowControl/>
        <w:ind w:left="1440"/>
        <w:rPr>
          <w:rFonts w:ascii="Times New Roman" w:hAnsi="Times New Roman"/>
        </w:rPr>
      </w:pPr>
    </w:p>
    <w:p w:rsidR="00875999" w:rsidRDefault="00875999" w:rsidP="00875999">
      <w:pPr>
        <w:widowControl/>
        <w:ind w:left="1440"/>
        <w:rPr>
          <w:rFonts w:ascii="Times New Roman" w:hAnsi="Times New Roman"/>
        </w:rPr>
      </w:pPr>
      <w:r>
        <w:rPr>
          <w:rFonts w:ascii="Times New Roman" w:hAnsi="Times New Roman"/>
        </w:rPr>
        <w:t>275.0-6</w:t>
      </w:r>
      <w:r>
        <w:rPr>
          <w:rFonts w:ascii="Times New Roman" w:hAnsi="Times New Roman"/>
        </w:rPr>
        <w:tab/>
      </w:r>
      <w:r>
        <w:rPr>
          <w:rFonts w:ascii="Times New Roman" w:hAnsi="Times New Roman"/>
        </w:rPr>
        <w:tab/>
        <w:t>Incorporations by reference in applications.</w:t>
      </w:r>
    </w:p>
    <w:p w:rsidR="00875999" w:rsidRDefault="00875999" w:rsidP="00875999">
      <w:pPr>
        <w:widowControl/>
        <w:ind w:left="1440"/>
        <w:rPr>
          <w:rFonts w:ascii="Times New Roman" w:hAnsi="Times New Roman"/>
        </w:rPr>
      </w:pPr>
    </w:p>
    <w:p w:rsidR="00875999" w:rsidRDefault="00875999" w:rsidP="00875999">
      <w:pPr>
        <w:widowControl/>
        <w:ind w:left="1440"/>
        <w:rPr>
          <w:rFonts w:ascii="Times New Roman" w:hAnsi="Times New Roman"/>
        </w:rPr>
      </w:pPr>
      <w:r>
        <w:rPr>
          <w:rFonts w:ascii="Times New Roman" w:hAnsi="Times New Roman"/>
        </w:rPr>
        <w:t>275.0-7</w:t>
      </w:r>
      <w:r>
        <w:rPr>
          <w:rFonts w:ascii="Times New Roman" w:hAnsi="Times New Roman"/>
        </w:rPr>
        <w:tab/>
      </w:r>
      <w:r>
        <w:rPr>
          <w:rFonts w:ascii="Times New Roman" w:hAnsi="Times New Roman"/>
        </w:rPr>
        <w:tab/>
        <w:t xml:space="preserve">Small Entities under the Investment Advisors Act for </w:t>
      </w:r>
    </w:p>
    <w:p w:rsidR="00875999" w:rsidRDefault="00875999" w:rsidP="00875999">
      <w:pPr>
        <w:widowControl/>
        <w:ind w:left="2880" w:firstLine="720"/>
        <w:rPr>
          <w:rFonts w:ascii="Times New Roman" w:hAnsi="Times New Roman"/>
        </w:rPr>
      </w:pPr>
      <w:r>
        <w:rPr>
          <w:rFonts w:ascii="Times New Roman" w:hAnsi="Times New Roman"/>
        </w:rPr>
        <w:t>purposes of the Regulatory Flexibility Act.</w:t>
      </w:r>
    </w:p>
    <w:p w:rsidR="00875999" w:rsidRDefault="00875999" w:rsidP="00875999">
      <w:pPr>
        <w:widowControl/>
        <w:ind w:left="3600" w:hanging="2160"/>
        <w:rPr>
          <w:rFonts w:ascii="Times New Roman" w:hAnsi="Times New Roman"/>
        </w:rPr>
      </w:pPr>
    </w:p>
    <w:p w:rsidR="00875999" w:rsidRDefault="00875999" w:rsidP="00875999">
      <w:pPr>
        <w:widowControl/>
        <w:ind w:left="3600" w:hanging="2160"/>
        <w:rPr>
          <w:rFonts w:ascii="Times New Roman" w:hAnsi="Times New Roman"/>
        </w:rPr>
      </w:pPr>
      <w:r>
        <w:rPr>
          <w:rFonts w:ascii="Times New Roman" w:hAnsi="Times New Roman"/>
        </w:rPr>
        <w:t>275.203A-5</w:t>
      </w:r>
      <w:r>
        <w:rPr>
          <w:rFonts w:ascii="Times New Roman" w:hAnsi="Times New Roman"/>
        </w:rPr>
        <w:tab/>
      </w:r>
      <w:r>
        <w:rPr>
          <w:rFonts w:ascii="Times New Roman" w:hAnsi="Times New Roman"/>
        </w:rPr>
        <w:tab/>
        <w:t>Reserved.</w:t>
      </w:r>
    </w:p>
    <w:p w:rsidR="00875999" w:rsidRDefault="00875999" w:rsidP="00875999">
      <w:pPr>
        <w:widowControl/>
        <w:ind w:left="3600" w:hanging="2160"/>
        <w:rPr>
          <w:rFonts w:ascii="Times New Roman" w:hAnsi="Times New Roman"/>
        </w:rPr>
      </w:pPr>
    </w:p>
    <w:p w:rsidR="00875999" w:rsidRDefault="00875999" w:rsidP="00875999">
      <w:pPr>
        <w:widowControl/>
        <w:ind w:left="3600" w:hanging="2160"/>
        <w:rPr>
          <w:rFonts w:ascii="Times New Roman" w:hAnsi="Times New Roman"/>
        </w:rPr>
      </w:pPr>
      <w:r>
        <w:rPr>
          <w:rFonts w:ascii="Times New Roman" w:hAnsi="Times New Roman"/>
        </w:rPr>
        <w:t>275.203A-6</w:t>
      </w:r>
      <w:r>
        <w:rPr>
          <w:rFonts w:ascii="Times New Roman" w:hAnsi="Times New Roman"/>
        </w:rPr>
        <w:tab/>
      </w:r>
      <w:r>
        <w:rPr>
          <w:rFonts w:ascii="Times New Roman" w:hAnsi="Times New Roman"/>
        </w:rPr>
        <w:tab/>
        <w:t>Reserved</w:t>
      </w:r>
    </w:p>
    <w:p w:rsidR="00875999" w:rsidRDefault="00875999" w:rsidP="00875999">
      <w:pPr>
        <w:widowControl/>
        <w:ind w:left="3600" w:hanging="2160"/>
        <w:rPr>
          <w:rFonts w:ascii="Times New Roman" w:hAnsi="Times New Roman"/>
        </w:rPr>
      </w:pPr>
    </w:p>
    <w:p w:rsidR="00875999" w:rsidRDefault="00875999" w:rsidP="00875999">
      <w:pPr>
        <w:widowControl/>
        <w:ind w:left="3600" w:hanging="2160"/>
        <w:rPr>
          <w:rFonts w:ascii="Times New Roman" w:hAnsi="Times New Roman"/>
        </w:rPr>
      </w:pPr>
      <w:r>
        <w:rPr>
          <w:rFonts w:ascii="Times New Roman" w:hAnsi="Times New Roman"/>
        </w:rPr>
        <w:t>275.205-1</w:t>
      </w:r>
      <w:r>
        <w:rPr>
          <w:rFonts w:ascii="Times New Roman" w:hAnsi="Times New Roman"/>
        </w:rPr>
        <w:tab/>
      </w:r>
      <w:r>
        <w:rPr>
          <w:rFonts w:ascii="Times New Roman" w:hAnsi="Times New Roman"/>
        </w:rPr>
        <w:tab/>
        <w:t>Definition of “Investment Performance” of an Investment company and “Investment Record” of an Appropriate Index of Securities Prices.</w:t>
      </w:r>
    </w:p>
    <w:p w:rsidR="00875999" w:rsidRDefault="00875999" w:rsidP="00875999">
      <w:pPr>
        <w:widowControl/>
        <w:ind w:left="1440"/>
        <w:rPr>
          <w:rFonts w:ascii="Times New Roman" w:hAnsi="Times New Roman"/>
        </w:rPr>
      </w:pPr>
    </w:p>
    <w:p w:rsidR="00875999" w:rsidRDefault="00875999" w:rsidP="00875999">
      <w:pPr>
        <w:widowControl/>
        <w:ind w:left="3600" w:hanging="2160"/>
        <w:rPr>
          <w:rFonts w:ascii="Times New Roman" w:hAnsi="Times New Roman"/>
        </w:rPr>
      </w:pPr>
      <w:r>
        <w:rPr>
          <w:rFonts w:ascii="Times New Roman" w:hAnsi="Times New Roman"/>
        </w:rPr>
        <w:t>275.205-2</w:t>
      </w:r>
      <w:r>
        <w:rPr>
          <w:rFonts w:ascii="Times New Roman" w:hAnsi="Times New Roman"/>
        </w:rPr>
        <w:tab/>
      </w:r>
      <w:r>
        <w:rPr>
          <w:rFonts w:ascii="Times New Roman" w:hAnsi="Times New Roman"/>
        </w:rPr>
        <w:tab/>
        <w:t>Definition of “Specified Period” over which the asset value of the company or fund under management is averaged.</w:t>
      </w:r>
    </w:p>
    <w:p w:rsidR="00875999" w:rsidRDefault="00875999" w:rsidP="00875999">
      <w:pPr>
        <w:widowControl/>
        <w:rPr>
          <w:rFonts w:ascii="Times New Roman" w:hAnsi="Times New Roman"/>
        </w:rPr>
      </w:pPr>
    </w:p>
    <w:p w:rsidR="00875999" w:rsidRDefault="00875999" w:rsidP="00875999">
      <w:pPr>
        <w:widowControl/>
        <w:ind w:left="3600" w:hanging="2160"/>
        <w:rPr>
          <w:rFonts w:ascii="Times New Roman" w:hAnsi="Times New Roman"/>
        </w:rPr>
      </w:pPr>
      <w:r>
        <w:rPr>
          <w:rFonts w:ascii="Times New Roman" w:hAnsi="Times New Roman"/>
        </w:rPr>
        <w:t xml:space="preserve">275.206 (3)-1 </w:t>
      </w:r>
      <w:r>
        <w:rPr>
          <w:rFonts w:ascii="Times New Roman" w:hAnsi="Times New Roman"/>
        </w:rPr>
        <w:tab/>
      </w:r>
      <w:r>
        <w:rPr>
          <w:rFonts w:ascii="Times New Roman" w:hAnsi="Times New Roman"/>
        </w:rPr>
        <w:tab/>
        <w:t>Exemption of Investment Advisers registered as Broker Dealers in connection with the provision of certain Investment Advisory services.</w:t>
      </w:r>
    </w:p>
    <w:p w:rsidR="00875999" w:rsidRDefault="00875999" w:rsidP="00875999">
      <w:pPr>
        <w:widowControl/>
        <w:ind w:left="2160" w:hanging="1620"/>
        <w:rPr>
          <w:rFonts w:ascii="Times New Roman" w:hAnsi="Times New Roman"/>
        </w:rPr>
      </w:pPr>
    </w:p>
    <w:p w:rsidR="00875999" w:rsidRDefault="00875999" w:rsidP="00875999">
      <w:pPr>
        <w:widowControl/>
        <w:ind w:left="3600" w:hanging="2160"/>
        <w:rPr>
          <w:rFonts w:ascii="Times New Roman" w:hAnsi="Times New Roman"/>
        </w:rPr>
      </w:pPr>
      <w:r>
        <w:rPr>
          <w:rFonts w:ascii="Times New Roman" w:hAnsi="Times New Roman"/>
        </w:rPr>
        <w:t>275.222-1</w:t>
      </w:r>
      <w:r>
        <w:rPr>
          <w:rFonts w:ascii="Times New Roman" w:hAnsi="Times New Roman"/>
        </w:rPr>
        <w:tab/>
      </w:r>
      <w:r>
        <w:rPr>
          <w:rFonts w:ascii="Times New Roman" w:hAnsi="Times New Roman"/>
        </w:rPr>
        <w:tab/>
        <w:t>Definitions.</w:t>
      </w:r>
    </w:p>
    <w:p w:rsidR="00875999" w:rsidRDefault="00875999" w:rsidP="00875999">
      <w:pPr>
        <w:widowControl/>
        <w:ind w:left="3600" w:hanging="2160"/>
        <w:rPr>
          <w:rFonts w:ascii="Times New Roman" w:hAnsi="Times New Roman"/>
        </w:rPr>
      </w:pPr>
    </w:p>
    <w:p w:rsidR="00875999" w:rsidRDefault="00875999" w:rsidP="00875999">
      <w:pPr>
        <w:widowControl/>
        <w:ind w:left="3600" w:hanging="2160"/>
        <w:rPr>
          <w:rFonts w:ascii="Times New Roman" w:hAnsi="Times New Roman"/>
        </w:rPr>
      </w:pPr>
      <w:r>
        <w:rPr>
          <w:rFonts w:ascii="Times New Roman" w:hAnsi="Times New Roman"/>
        </w:rPr>
        <w:t>275.222-2</w:t>
      </w:r>
      <w:r>
        <w:rPr>
          <w:rFonts w:ascii="Times New Roman" w:hAnsi="Times New Roman"/>
        </w:rPr>
        <w:tab/>
      </w:r>
      <w:r>
        <w:rPr>
          <w:rFonts w:ascii="Times New Roman" w:hAnsi="Times New Roman"/>
        </w:rPr>
        <w:tab/>
        <w:t>Definition of “client” for purposes of the National De Minimus Standard.</w:t>
      </w:r>
    </w:p>
    <w:p w:rsidR="00875999" w:rsidRDefault="00875999" w:rsidP="00875999">
      <w:pPr>
        <w:widowControl/>
        <w:ind w:left="3600" w:hanging="2160"/>
        <w:rPr>
          <w:rFonts w:ascii="Times New Roman" w:hAnsi="Times New Roman"/>
        </w:rPr>
      </w:pPr>
    </w:p>
    <w:p w:rsidR="00875999" w:rsidRDefault="00875999" w:rsidP="00875999">
      <w:pPr>
        <w:widowControl/>
        <w:ind w:left="3600" w:hanging="2160"/>
        <w:rPr>
          <w:rFonts w:ascii="Times New Roman" w:hAnsi="Times New Roman"/>
        </w:rPr>
      </w:pPr>
    </w:p>
    <w:p w:rsidR="00875999" w:rsidRDefault="00875999" w:rsidP="00875999">
      <w:pPr>
        <w:widowControl/>
        <w:ind w:left="1440"/>
        <w:rPr>
          <w:rFonts w:ascii="Times New Roman" w:hAnsi="Times New Roman"/>
        </w:rPr>
      </w:pPr>
      <w:r>
        <w:rPr>
          <w:rFonts w:ascii="Times New Roman" w:hAnsi="Times New Roman"/>
        </w:rPr>
        <w:t>One of the important provisions of the Investment Advisers Act of l940 calls for the registration of Investment Advisers with the Securities and Exchange Commission (the "Commission").  Once registered, the Adviser must comply with the statute and regulations promulgated under the Investment Advisers Act of l940.  Included among these are numerous anti</w:t>
      </w:r>
      <w:r>
        <w:rPr>
          <w:rFonts w:ascii="Times New Roman" w:hAnsi="Times New Roman"/>
        </w:rPr>
        <w:noBreakHyphen/>
        <w:t>fraud provisions and various disclosure and financial reporting requirements.  In general beginning in 2011 advisers with assets under management greater than $100 million will be registered with the SEC.</w:t>
      </w:r>
    </w:p>
    <w:p w:rsidR="00875999" w:rsidRDefault="00875999" w:rsidP="00875999">
      <w:pPr>
        <w:pStyle w:val="a"/>
        <w:widowControl/>
        <w:ind w:left="0" w:firstLine="0"/>
        <w:rPr>
          <w:rFonts w:ascii="Times New Roman" w:hAnsi="Times New Roman"/>
        </w:rPr>
      </w:pPr>
    </w:p>
    <w:p w:rsidR="00875999" w:rsidRDefault="00875999" w:rsidP="00875999">
      <w:pPr>
        <w:widowControl/>
        <w:ind w:left="1440"/>
        <w:rPr>
          <w:rFonts w:ascii="Times New Roman" w:hAnsi="Times New Roman"/>
        </w:rPr>
      </w:pPr>
      <w:r>
        <w:rPr>
          <w:rFonts w:ascii="Times New Roman" w:hAnsi="Times New Roman"/>
        </w:rPr>
        <w:t>All other advisers are registered with and regulated by states.</w:t>
      </w:r>
    </w:p>
    <w:p w:rsidR="00875999" w:rsidRDefault="00875999" w:rsidP="00875999">
      <w:pPr>
        <w:widowControl/>
        <w:ind w:left="2160" w:hanging="720"/>
        <w:rPr>
          <w:rFonts w:ascii="Times New Roman" w:hAnsi="Times New Roman"/>
        </w:rPr>
      </w:pPr>
    </w:p>
    <w:p w:rsidR="00875999" w:rsidRDefault="00875999" w:rsidP="00875999">
      <w:pPr>
        <w:pStyle w:val="BodyTextIndent2"/>
        <w:numPr>
          <w:ilvl w:val="0"/>
          <w:numId w:val="3"/>
        </w:numPr>
        <w:tabs>
          <w:tab w:val="clear" w:pos="-1440"/>
          <w:tab w:val="clear" w:pos="1440"/>
        </w:tabs>
      </w:pPr>
      <w:r>
        <w:rPr>
          <w:u w:val="single"/>
        </w:rPr>
        <w:t>Definitions</w:t>
      </w:r>
      <w:r>
        <w:t>.</w:t>
      </w:r>
    </w:p>
    <w:p w:rsidR="00875999" w:rsidRDefault="00875999" w:rsidP="00875999">
      <w:pPr>
        <w:pStyle w:val="BodyTextIndent2"/>
        <w:tabs>
          <w:tab w:val="clear" w:pos="-1440"/>
        </w:tabs>
      </w:pPr>
    </w:p>
    <w:p w:rsidR="00875999" w:rsidRDefault="00875999" w:rsidP="00875999">
      <w:pPr>
        <w:pStyle w:val="BodyTextIndent2"/>
        <w:tabs>
          <w:tab w:val="clear" w:pos="-1440"/>
        </w:tabs>
        <w:ind w:firstLine="0"/>
      </w:pPr>
      <w:r>
        <w:t>For purposes of section 203A of the Act (15 U.S.C. 80b-3a) and the rules thereunder:</w:t>
      </w:r>
    </w:p>
    <w:p w:rsidR="00875999" w:rsidRDefault="00875999" w:rsidP="00875999">
      <w:pPr>
        <w:ind w:left="1440"/>
        <w:rPr>
          <w:rFonts w:ascii="Times New Roman" w:hAnsi="Times New Roman"/>
          <w:b/>
          <w:kern w:val="28"/>
        </w:rPr>
      </w:pPr>
    </w:p>
    <w:p w:rsidR="00875999" w:rsidRDefault="00875999" w:rsidP="00875999">
      <w:pPr>
        <w:ind w:left="1440"/>
        <w:rPr>
          <w:rFonts w:ascii="Times New Roman" w:hAnsi="Times New Roman"/>
          <w:kern w:val="28"/>
        </w:rPr>
      </w:pPr>
      <w:r>
        <w:rPr>
          <w:rFonts w:ascii="Times New Roman" w:hAnsi="Times New Roman"/>
          <w:b/>
          <w:kern w:val="28"/>
        </w:rPr>
        <w:t>Investment Adviser Representative</w:t>
      </w:r>
      <w:r>
        <w:rPr>
          <w:rFonts w:ascii="Times New Roman" w:hAnsi="Times New Roman"/>
          <w:kern w:val="28"/>
        </w:rPr>
        <w:t>. “Investment adviser representative” of an investment adviser means a supervised person of the investment adviser.</w:t>
      </w:r>
    </w:p>
    <w:p w:rsidR="00875999" w:rsidRDefault="00875999" w:rsidP="00875999">
      <w:pPr>
        <w:ind w:left="2160" w:hanging="720"/>
        <w:rPr>
          <w:rFonts w:ascii="Times New Roman" w:hAnsi="Times New Roman"/>
          <w:kern w:val="28"/>
        </w:rPr>
      </w:pPr>
    </w:p>
    <w:p w:rsidR="00875999" w:rsidRDefault="00875999" w:rsidP="00875999">
      <w:pPr>
        <w:widowControl/>
        <w:ind w:left="2880" w:hanging="720"/>
        <w:rPr>
          <w:rFonts w:ascii="Times New Roman" w:hAnsi="Times New Roman"/>
          <w:kern w:val="28"/>
        </w:rPr>
      </w:pPr>
      <w:r>
        <w:rPr>
          <w:rFonts w:ascii="Times New Roman" w:hAnsi="Times New Roman"/>
          <w:kern w:val="28"/>
        </w:rPr>
        <w:t>(i)</w:t>
      </w:r>
      <w:r>
        <w:rPr>
          <w:rFonts w:ascii="Times New Roman" w:hAnsi="Times New Roman"/>
          <w:kern w:val="28"/>
        </w:rPr>
        <w:tab/>
        <w:t xml:space="preserve">Who has more than five clients who are natural persons (other than excepted persons described in paragraph (a)(3)(i) of this section); and </w:t>
      </w:r>
    </w:p>
    <w:p w:rsidR="00875999" w:rsidRDefault="00875999" w:rsidP="00875999">
      <w:pPr>
        <w:ind w:left="2160" w:hanging="720"/>
        <w:rPr>
          <w:rFonts w:ascii="Times New Roman" w:hAnsi="Times New Roman"/>
          <w:kern w:val="28"/>
        </w:rPr>
      </w:pPr>
    </w:p>
    <w:p w:rsidR="00875999" w:rsidRDefault="00875999" w:rsidP="00875999">
      <w:pPr>
        <w:ind w:left="2880" w:hanging="720"/>
        <w:rPr>
          <w:rFonts w:ascii="Times New Roman" w:hAnsi="Times New Roman"/>
          <w:kern w:val="28"/>
        </w:rPr>
      </w:pPr>
      <w:r>
        <w:rPr>
          <w:rFonts w:ascii="Times New Roman" w:hAnsi="Times New Roman"/>
        </w:rPr>
        <w:t>(ii)</w:t>
      </w:r>
      <w:r>
        <w:rPr>
          <w:rFonts w:ascii="Times New Roman" w:hAnsi="Times New Roman"/>
        </w:rPr>
        <w:tab/>
        <w:t xml:space="preserve">More than 10 percent of whose clients are natural persons </w:t>
      </w:r>
      <w:r>
        <w:rPr>
          <w:rFonts w:ascii="Times New Roman" w:hAnsi="Times New Roman"/>
          <w:kern w:val="28"/>
        </w:rPr>
        <w:t>(other than excepted persons described in paragraph (a)(3)(i) of this section).</w:t>
      </w:r>
    </w:p>
    <w:p w:rsidR="00875999" w:rsidRDefault="00875999" w:rsidP="00875999">
      <w:pPr>
        <w:ind w:left="2880" w:hanging="720"/>
        <w:rPr>
          <w:rFonts w:ascii="Times New Roman" w:hAnsi="Times New Roman"/>
          <w:kern w:val="28"/>
        </w:rPr>
      </w:pPr>
    </w:p>
    <w:p w:rsidR="00875999" w:rsidRDefault="00875999" w:rsidP="00875999">
      <w:pPr>
        <w:ind w:left="2160" w:hanging="720"/>
        <w:rPr>
          <w:rFonts w:ascii="Times New Roman" w:hAnsi="Times New Roman"/>
          <w:kern w:val="28"/>
        </w:rPr>
      </w:pPr>
      <w:r>
        <w:rPr>
          <w:rFonts w:ascii="Times New Roman" w:hAnsi="Times New Roman"/>
          <w:kern w:val="28"/>
        </w:rPr>
        <w:t>(1)</w:t>
      </w:r>
      <w:r>
        <w:rPr>
          <w:rFonts w:ascii="Times New Roman" w:hAnsi="Times New Roman"/>
          <w:kern w:val="28"/>
        </w:rPr>
        <w:tab/>
        <w:t>Notwithstanding paragraph (a)(1) of this section, a supervised person is not an investment adviser representative if the supervised person:</w:t>
      </w:r>
    </w:p>
    <w:p w:rsidR="00875999" w:rsidRDefault="00875999" w:rsidP="00875999">
      <w:pPr>
        <w:ind w:left="1440"/>
        <w:rPr>
          <w:rFonts w:ascii="Times New Roman" w:hAnsi="Times New Roman"/>
        </w:rPr>
      </w:pPr>
    </w:p>
    <w:p w:rsidR="00875999" w:rsidRDefault="00875999" w:rsidP="00875999">
      <w:pPr>
        <w:pStyle w:val="Header"/>
        <w:tabs>
          <w:tab w:val="clear" w:pos="4320"/>
          <w:tab w:val="clear" w:pos="8640"/>
        </w:tabs>
        <w:ind w:left="2880" w:hanging="720"/>
        <w:rPr>
          <w:rFonts w:ascii="Times New Roman" w:hAnsi="Times New Roman"/>
        </w:rPr>
      </w:pPr>
      <w:r>
        <w:rPr>
          <w:rFonts w:ascii="Times New Roman" w:hAnsi="Times New Roman"/>
        </w:rPr>
        <w:t>(i)</w:t>
      </w:r>
      <w:r>
        <w:rPr>
          <w:rFonts w:ascii="Times New Roman" w:hAnsi="Times New Roman"/>
        </w:rPr>
        <w:tab/>
        <w:t xml:space="preserve">Does not on a regular basis solicit, meet with, or otherwise communicate with clients of the investment adviser; or </w:t>
      </w:r>
    </w:p>
    <w:p w:rsidR="00875999" w:rsidRDefault="00875999" w:rsidP="00875999">
      <w:pPr>
        <w:pStyle w:val="Header"/>
        <w:tabs>
          <w:tab w:val="clear" w:pos="4320"/>
          <w:tab w:val="clear" w:pos="8640"/>
        </w:tabs>
        <w:ind w:left="2880" w:hanging="720"/>
        <w:rPr>
          <w:rFonts w:ascii="Times New Roman" w:hAnsi="Times New Roman"/>
        </w:rPr>
      </w:pPr>
      <w:r>
        <w:rPr>
          <w:rFonts w:ascii="Times New Roman" w:hAnsi="Times New Roman"/>
        </w:rPr>
        <w:t>(ii)</w:t>
      </w:r>
      <w:r>
        <w:rPr>
          <w:rFonts w:ascii="Times New Roman" w:hAnsi="Times New Roman"/>
        </w:rPr>
        <w:tab/>
        <w:t>Provides only impersonal investment advice</w:t>
      </w:r>
    </w:p>
    <w:p w:rsidR="00875999" w:rsidRDefault="00875999" w:rsidP="00875999">
      <w:pPr>
        <w:pStyle w:val="Header"/>
        <w:tabs>
          <w:tab w:val="clear" w:pos="4320"/>
          <w:tab w:val="clear" w:pos="8640"/>
        </w:tabs>
        <w:ind w:left="2880" w:hanging="720"/>
        <w:rPr>
          <w:rFonts w:ascii="Times New Roman" w:hAnsi="Times New Roman"/>
        </w:rPr>
      </w:pPr>
    </w:p>
    <w:p w:rsidR="00875999" w:rsidRDefault="00875999" w:rsidP="00875999">
      <w:pPr>
        <w:pStyle w:val="Header"/>
        <w:numPr>
          <w:ilvl w:val="0"/>
          <w:numId w:val="1"/>
        </w:numPr>
        <w:tabs>
          <w:tab w:val="clear" w:pos="4320"/>
          <w:tab w:val="clear" w:pos="8640"/>
        </w:tabs>
        <w:rPr>
          <w:rFonts w:ascii="Times New Roman" w:hAnsi="Times New Roman"/>
        </w:rPr>
      </w:pPr>
      <w:r>
        <w:rPr>
          <w:rFonts w:ascii="Times New Roman" w:hAnsi="Times New Roman"/>
        </w:rPr>
        <w:t>For purposes of this section:</w:t>
      </w:r>
    </w:p>
    <w:p w:rsidR="00875999" w:rsidRDefault="00875999" w:rsidP="00875999">
      <w:pPr>
        <w:pStyle w:val="Header"/>
        <w:tabs>
          <w:tab w:val="clear" w:pos="4320"/>
          <w:tab w:val="clear" w:pos="8640"/>
        </w:tabs>
        <w:ind w:left="1440"/>
        <w:rPr>
          <w:rFonts w:ascii="Times New Roman" w:hAnsi="Times New Roman"/>
        </w:rPr>
      </w:pPr>
    </w:p>
    <w:p w:rsidR="00875999" w:rsidRDefault="00875999" w:rsidP="00875999">
      <w:pPr>
        <w:pStyle w:val="Header"/>
        <w:tabs>
          <w:tab w:val="clear" w:pos="4320"/>
          <w:tab w:val="clear" w:pos="8640"/>
        </w:tabs>
        <w:ind w:left="2880" w:hanging="720"/>
        <w:rPr>
          <w:rFonts w:ascii="Times New Roman" w:hAnsi="Times New Roman"/>
        </w:rPr>
      </w:pPr>
      <w:r>
        <w:rPr>
          <w:rFonts w:ascii="Times New Roman" w:hAnsi="Times New Roman"/>
        </w:rPr>
        <w:t>(i)</w:t>
      </w:r>
      <w:r>
        <w:rPr>
          <w:rFonts w:ascii="Times New Roman" w:hAnsi="Times New Roman"/>
        </w:rPr>
        <w:tab/>
        <w:t>“Excepted person” means a natural person who is a qualified client as described in §275.205-3(d)(1).</w:t>
      </w:r>
    </w:p>
    <w:p w:rsidR="00875999" w:rsidRDefault="00875999" w:rsidP="00875999">
      <w:pPr>
        <w:pStyle w:val="Header"/>
        <w:tabs>
          <w:tab w:val="clear" w:pos="4320"/>
          <w:tab w:val="clear" w:pos="8640"/>
        </w:tabs>
        <w:ind w:left="2880" w:hanging="720"/>
        <w:rPr>
          <w:rFonts w:ascii="Times New Roman" w:hAnsi="Times New Roman"/>
        </w:rPr>
      </w:pPr>
      <w:r>
        <w:rPr>
          <w:rFonts w:ascii="Times New Roman" w:hAnsi="Times New Roman"/>
        </w:rPr>
        <w:t>(ii)</w:t>
      </w:r>
      <w:r>
        <w:rPr>
          <w:rFonts w:ascii="Times New Roman" w:hAnsi="Times New Roman"/>
        </w:rPr>
        <w:tab/>
        <w:t>“Impersonal investment advice” means investment advisory services provided by means of written material or oral statements that do not purport to meet the objectives or needs of specific individuals or accounts.</w:t>
      </w:r>
    </w:p>
    <w:p w:rsidR="00875999" w:rsidRDefault="00875999" w:rsidP="00875999">
      <w:pPr>
        <w:pStyle w:val="Header"/>
        <w:tabs>
          <w:tab w:val="clear" w:pos="4320"/>
          <w:tab w:val="clear" w:pos="8640"/>
        </w:tabs>
        <w:ind w:left="2880" w:hanging="720"/>
        <w:rPr>
          <w:rFonts w:ascii="Times New Roman" w:hAnsi="Times New Roman"/>
        </w:rPr>
      </w:pPr>
    </w:p>
    <w:p w:rsidR="00875999" w:rsidRDefault="00875999" w:rsidP="00875999">
      <w:pPr>
        <w:pStyle w:val="Header"/>
        <w:numPr>
          <w:ilvl w:val="0"/>
          <w:numId w:val="1"/>
        </w:numPr>
        <w:tabs>
          <w:tab w:val="clear" w:pos="4320"/>
          <w:tab w:val="clear" w:pos="8640"/>
        </w:tabs>
        <w:rPr>
          <w:rFonts w:ascii="Times New Roman" w:hAnsi="Times New Roman"/>
        </w:rPr>
      </w:pPr>
      <w:r>
        <w:rPr>
          <w:rFonts w:ascii="Times New Roman" w:hAnsi="Times New Roman"/>
        </w:rPr>
        <w:t>Supervised persons may rely on the definition of “client” in §275.203(b)(3)-1 without giving regard to paragraph (b) (6) of that section  to identify clients for purposes of paragraph (a)(1) of this section, except that supervised persons need not count clients that are not residents of the United States.</w:t>
      </w:r>
    </w:p>
    <w:p w:rsidR="00875999" w:rsidRDefault="00875999" w:rsidP="00875999">
      <w:pPr>
        <w:pStyle w:val="Header"/>
        <w:tabs>
          <w:tab w:val="clear" w:pos="4320"/>
          <w:tab w:val="clear" w:pos="8640"/>
        </w:tabs>
        <w:ind w:left="1440"/>
        <w:rPr>
          <w:rFonts w:ascii="Times New Roman" w:hAnsi="Times New Roman"/>
        </w:rPr>
      </w:pPr>
    </w:p>
    <w:p w:rsidR="00875999" w:rsidRDefault="00875999" w:rsidP="00875999">
      <w:pPr>
        <w:pStyle w:val="Header"/>
        <w:tabs>
          <w:tab w:val="clear" w:pos="4320"/>
          <w:tab w:val="clear" w:pos="8640"/>
        </w:tabs>
        <w:ind w:left="1440"/>
        <w:rPr>
          <w:rFonts w:ascii="Times New Roman" w:hAnsi="Times New Roman"/>
        </w:rPr>
      </w:pPr>
      <w:r>
        <w:rPr>
          <w:rFonts w:ascii="Times New Roman" w:hAnsi="Times New Roman"/>
          <w:b/>
        </w:rPr>
        <w:t>Place of Business</w:t>
      </w:r>
      <w:r>
        <w:rPr>
          <w:rFonts w:ascii="Times New Roman" w:hAnsi="Times New Roman"/>
        </w:rPr>
        <w:t>. “Place of business” of an investment adviser representative means:</w:t>
      </w:r>
    </w:p>
    <w:p w:rsidR="00875999" w:rsidRDefault="00875999" w:rsidP="00875999">
      <w:pPr>
        <w:pStyle w:val="Header"/>
        <w:tabs>
          <w:tab w:val="clear" w:pos="4320"/>
          <w:tab w:val="clear" w:pos="8640"/>
        </w:tabs>
        <w:ind w:left="720"/>
        <w:rPr>
          <w:rFonts w:ascii="Times New Roman" w:hAnsi="Times New Roman"/>
        </w:rPr>
      </w:pPr>
    </w:p>
    <w:p w:rsidR="00875999" w:rsidRDefault="00875999" w:rsidP="00875999">
      <w:pPr>
        <w:pStyle w:val="Header"/>
        <w:tabs>
          <w:tab w:val="clear" w:pos="4320"/>
          <w:tab w:val="clear" w:pos="8640"/>
        </w:tabs>
        <w:ind w:left="2160" w:hanging="720"/>
        <w:rPr>
          <w:rFonts w:ascii="Times New Roman" w:hAnsi="Times New Roman"/>
        </w:rPr>
      </w:pPr>
      <w:r>
        <w:rPr>
          <w:rFonts w:ascii="Times New Roman" w:hAnsi="Times New Roman"/>
        </w:rPr>
        <w:t>(1)</w:t>
      </w:r>
      <w:r>
        <w:rPr>
          <w:rFonts w:ascii="Times New Roman" w:hAnsi="Times New Roman"/>
        </w:rPr>
        <w:tab/>
        <w:t>An office at which the investment adviser representative regularly provides investment advisory services, solicits, meets with, or otherwise communicates with clients; and</w:t>
      </w:r>
    </w:p>
    <w:p w:rsidR="00875999" w:rsidRDefault="00875999" w:rsidP="00875999">
      <w:pPr>
        <w:pStyle w:val="Header"/>
        <w:tabs>
          <w:tab w:val="clear" w:pos="4320"/>
          <w:tab w:val="clear" w:pos="8640"/>
        </w:tabs>
        <w:ind w:left="2160" w:hanging="720"/>
        <w:rPr>
          <w:rFonts w:ascii="Times New Roman" w:hAnsi="Times New Roman"/>
        </w:rPr>
      </w:pPr>
    </w:p>
    <w:p w:rsidR="00875999" w:rsidRDefault="00875999" w:rsidP="00875999">
      <w:pPr>
        <w:pStyle w:val="Header"/>
        <w:numPr>
          <w:ilvl w:val="0"/>
          <w:numId w:val="2"/>
        </w:numPr>
        <w:tabs>
          <w:tab w:val="clear" w:pos="4320"/>
          <w:tab w:val="clear" w:pos="8640"/>
        </w:tabs>
        <w:rPr>
          <w:rFonts w:ascii="Times New Roman" w:hAnsi="Times New Roman"/>
        </w:rPr>
      </w:pPr>
      <w:r>
        <w:rPr>
          <w:rFonts w:ascii="Times New Roman" w:hAnsi="Times New Roman"/>
        </w:rPr>
        <w:t>Any other location that is held out to the general public as a location at which the investment adviser representative provides investment advisory services, solicits, meets with or otherwise communicates with clients.</w:t>
      </w:r>
    </w:p>
    <w:p w:rsidR="00875999" w:rsidRDefault="00875999" w:rsidP="00875999">
      <w:pPr>
        <w:pStyle w:val="Header"/>
        <w:tabs>
          <w:tab w:val="clear" w:pos="4320"/>
          <w:tab w:val="clear" w:pos="8640"/>
        </w:tabs>
        <w:rPr>
          <w:rFonts w:ascii="Times New Roman" w:hAnsi="Times New Roman"/>
        </w:rPr>
      </w:pPr>
    </w:p>
    <w:p w:rsidR="00875999" w:rsidRDefault="00875999" w:rsidP="00875999">
      <w:pPr>
        <w:pStyle w:val="Header"/>
        <w:tabs>
          <w:tab w:val="clear" w:pos="4320"/>
          <w:tab w:val="clear" w:pos="8640"/>
        </w:tabs>
        <w:ind w:left="1440"/>
        <w:rPr>
          <w:rFonts w:ascii="Times New Roman" w:hAnsi="Times New Roman"/>
        </w:rPr>
      </w:pPr>
      <w:r>
        <w:rPr>
          <w:rFonts w:ascii="Times New Roman" w:hAnsi="Times New Roman"/>
          <w:b/>
        </w:rPr>
        <w:t>Principal Office and Place of Business</w:t>
      </w:r>
      <w:r>
        <w:rPr>
          <w:rFonts w:ascii="Times New Roman" w:hAnsi="Times New Roman"/>
        </w:rPr>
        <w:t>.  “Principal office and place of business” of an investment adviser means the executive office of the investment adviser from which the officers, partners, or managers of the investment adviser direct, control, and coordinate the activities of the investment adviser.</w:t>
      </w:r>
    </w:p>
    <w:p w:rsidR="00875999" w:rsidRDefault="00875999" w:rsidP="00875999">
      <w:pPr>
        <w:pStyle w:val="Header"/>
        <w:tabs>
          <w:tab w:val="clear" w:pos="4320"/>
          <w:tab w:val="clear" w:pos="8640"/>
        </w:tabs>
        <w:ind w:left="450"/>
        <w:rPr>
          <w:rFonts w:ascii="Times New Roman" w:hAnsi="Times New Roman"/>
        </w:rPr>
      </w:pPr>
    </w:p>
    <w:p w:rsidR="00875999" w:rsidRDefault="00875999" w:rsidP="00875999">
      <w:pPr>
        <w:pStyle w:val="Header"/>
        <w:keepNext/>
        <w:keepLines/>
        <w:widowControl/>
        <w:tabs>
          <w:tab w:val="clear" w:pos="4320"/>
          <w:tab w:val="clear" w:pos="8640"/>
        </w:tabs>
        <w:ind w:left="1440"/>
        <w:rPr>
          <w:rFonts w:ascii="Times New Roman" w:hAnsi="Times New Roman"/>
          <w:b/>
          <w:u w:val="single"/>
        </w:rPr>
      </w:pPr>
      <w:r>
        <w:rPr>
          <w:rFonts w:ascii="Times New Roman" w:hAnsi="Times New Roman"/>
          <w:b/>
        </w:rPr>
        <w:t>“Client” of an Investment Adviser</w:t>
      </w:r>
      <w:r>
        <w:rPr>
          <w:rFonts w:ascii="Times New Roman" w:hAnsi="Times New Roman"/>
          <w:b/>
          <w:u w:val="single"/>
        </w:rPr>
        <w:t>.</w:t>
      </w:r>
    </w:p>
    <w:p w:rsidR="00875999" w:rsidRDefault="00875999" w:rsidP="00875999">
      <w:pPr>
        <w:pStyle w:val="Header"/>
        <w:keepNext/>
        <w:keepLines/>
        <w:widowControl/>
        <w:tabs>
          <w:tab w:val="clear" w:pos="4320"/>
          <w:tab w:val="clear" w:pos="8640"/>
        </w:tabs>
        <w:ind w:left="720"/>
        <w:rPr>
          <w:rFonts w:ascii="Times New Roman" w:hAnsi="Times New Roman"/>
          <w:u w:val="single"/>
        </w:rPr>
      </w:pPr>
    </w:p>
    <w:p w:rsidR="00875999" w:rsidRDefault="00875999" w:rsidP="00875999">
      <w:pPr>
        <w:pStyle w:val="Header"/>
        <w:keepNext/>
        <w:keepLines/>
        <w:widowControl/>
        <w:tabs>
          <w:tab w:val="clear" w:pos="4320"/>
          <w:tab w:val="clear" w:pos="8640"/>
        </w:tabs>
        <w:ind w:left="2880" w:hanging="720"/>
        <w:rPr>
          <w:rFonts w:ascii="Times New Roman" w:hAnsi="Times New Roman"/>
        </w:rPr>
      </w:pPr>
      <w:r>
        <w:rPr>
          <w:rFonts w:ascii="Times New Roman" w:hAnsi="Times New Roman"/>
        </w:rPr>
        <w:t>(1)</w:t>
      </w:r>
      <w:r>
        <w:rPr>
          <w:rFonts w:ascii="Times New Roman" w:hAnsi="Times New Roman"/>
        </w:rPr>
        <w:tab/>
        <w:t>General.  For purposes of section 203(b)(3) of the Act [15 U.S.C 80b-3(b)(3)], the following are deemed a single client:</w:t>
      </w:r>
    </w:p>
    <w:p w:rsidR="00875999" w:rsidRDefault="00875999" w:rsidP="00875999">
      <w:pPr>
        <w:pStyle w:val="Header"/>
        <w:tabs>
          <w:tab w:val="clear" w:pos="4320"/>
          <w:tab w:val="clear" w:pos="8640"/>
        </w:tabs>
        <w:ind w:left="450"/>
        <w:rPr>
          <w:rFonts w:ascii="Times New Roman" w:hAnsi="Times New Roman"/>
        </w:rPr>
      </w:pPr>
    </w:p>
    <w:p w:rsidR="00875999" w:rsidRDefault="00875999" w:rsidP="00875999">
      <w:pPr>
        <w:pStyle w:val="Header"/>
        <w:tabs>
          <w:tab w:val="clear" w:pos="4320"/>
          <w:tab w:val="clear" w:pos="8640"/>
        </w:tabs>
        <w:ind w:left="2880"/>
        <w:rPr>
          <w:rFonts w:ascii="Times New Roman" w:hAnsi="Times New Roman"/>
        </w:rPr>
      </w:pPr>
      <w:r>
        <w:rPr>
          <w:rFonts w:ascii="Times New Roman" w:hAnsi="Times New Roman"/>
        </w:rPr>
        <w:t>(A)</w:t>
      </w:r>
      <w:r>
        <w:rPr>
          <w:rFonts w:ascii="Times New Roman" w:hAnsi="Times New Roman"/>
        </w:rPr>
        <w:tab/>
        <w:t>A natural person, and:</w:t>
      </w:r>
    </w:p>
    <w:p w:rsidR="00875999" w:rsidRDefault="00875999" w:rsidP="00875999">
      <w:pPr>
        <w:pStyle w:val="Header"/>
        <w:tabs>
          <w:tab w:val="clear" w:pos="4320"/>
          <w:tab w:val="clear" w:pos="8640"/>
        </w:tabs>
        <w:ind w:left="45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(i)</w:t>
      </w:r>
      <w:r>
        <w:rPr>
          <w:rFonts w:ascii="Times New Roman" w:hAnsi="Times New Roman"/>
        </w:rPr>
        <w:tab/>
        <w:t>Any minor child of the natural person;</w:t>
      </w:r>
    </w:p>
    <w:p w:rsidR="00875999" w:rsidRDefault="00875999" w:rsidP="00875999">
      <w:pPr>
        <w:pStyle w:val="Header"/>
        <w:tabs>
          <w:tab w:val="clear" w:pos="4320"/>
          <w:tab w:val="clear" w:pos="8640"/>
        </w:tabs>
        <w:ind w:left="4320" w:hanging="387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(ii)</w:t>
      </w:r>
      <w:r>
        <w:rPr>
          <w:rFonts w:ascii="Times New Roman" w:hAnsi="Times New Roman"/>
        </w:rPr>
        <w:tab/>
        <w:t>Any relative, spouse, or relative of the spouse of the natural person who has the same principal residence;</w:t>
      </w:r>
    </w:p>
    <w:p w:rsidR="00875999" w:rsidRDefault="00875999" w:rsidP="00875999">
      <w:pPr>
        <w:pStyle w:val="Header"/>
        <w:tabs>
          <w:tab w:val="clear" w:pos="4320"/>
          <w:tab w:val="clear" w:pos="8640"/>
        </w:tabs>
        <w:ind w:left="4320" w:hanging="720"/>
        <w:rPr>
          <w:rFonts w:ascii="Times New Roman" w:hAnsi="Times New Roman"/>
        </w:rPr>
      </w:pPr>
      <w:r>
        <w:rPr>
          <w:rFonts w:ascii="Times New Roman" w:hAnsi="Times New Roman"/>
        </w:rPr>
        <w:t>(iii)</w:t>
      </w:r>
      <w:r>
        <w:rPr>
          <w:rFonts w:ascii="Times New Roman" w:hAnsi="Times New Roman"/>
        </w:rPr>
        <w:tab/>
        <w:t>All accounts of which the natural person and /or the person referred to in this paragraph (a)(1) are the only primary beneficiaries;</w:t>
      </w:r>
    </w:p>
    <w:p w:rsidR="00875999" w:rsidRDefault="00875999" w:rsidP="00875999">
      <w:pPr>
        <w:pStyle w:val="Header"/>
        <w:tabs>
          <w:tab w:val="clear" w:pos="4320"/>
          <w:tab w:val="clear" w:pos="8640"/>
        </w:tabs>
        <w:ind w:left="450"/>
        <w:rPr>
          <w:rFonts w:ascii="Times New Roman" w:hAnsi="Times New Roman"/>
        </w:rPr>
      </w:pPr>
    </w:p>
    <w:p w:rsidR="00875999" w:rsidRDefault="00875999" w:rsidP="00875999">
      <w:pPr>
        <w:pStyle w:val="Header"/>
        <w:tabs>
          <w:tab w:val="clear" w:pos="4320"/>
          <w:tab w:val="clear" w:pos="8640"/>
        </w:tabs>
        <w:ind w:left="3600" w:hanging="720"/>
        <w:rPr>
          <w:rFonts w:ascii="Times New Roman" w:hAnsi="Times New Roman"/>
        </w:rPr>
      </w:pPr>
      <w:r>
        <w:rPr>
          <w:rFonts w:ascii="Times New Roman" w:hAnsi="Times New Roman"/>
        </w:rPr>
        <w:t>(B)</w:t>
      </w:r>
      <w:r>
        <w:rPr>
          <w:rFonts w:ascii="Times New Roman" w:hAnsi="Times New Roman"/>
        </w:rPr>
        <w:tab/>
        <w:t xml:space="preserve">(i) A Corporation, general partnership, limited partnership, limited liability company (except when the limited partnership or limited liability company is determine to be a private fund) , trust (other than a trust referred to in paragraph (a)(1)(iv) of this section), or other legal organization (any of which are referred to hereinafter as a “legal organization”) that receives investment advice based on its investment objectives rather than the individual investment objectives of its shareholders, partners, limited partners, members, or beneficiaries (any of which are referred to hereinafter as an “owner”); and </w:t>
      </w:r>
    </w:p>
    <w:p w:rsidR="00875999" w:rsidRDefault="00875999" w:rsidP="00875999">
      <w:pPr>
        <w:pStyle w:val="Header"/>
        <w:tabs>
          <w:tab w:val="clear" w:pos="4320"/>
          <w:tab w:val="clear" w:pos="8640"/>
        </w:tabs>
        <w:ind w:left="450"/>
        <w:rPr>
          <w:rFonts w:ascii="Times New Roman" w:hAnsi="Times New Roman"/>
        </w:rPr>
      </w:pPr>
    </w:p>
    <w:p w:rsidR="00875999" w:rsidRDefault="00875999" w:rsidP="00875999">
      <w:pPr>
        <w:pStyle w:val="Header"/>
        <w:tabs>
          <w:tab w:val="clear" w:pos="4320"/>
          <w:tab w:val="clear" w:pos="8640"/>
        </w:tabs>
        <w:ind w:left="3600"/>
        <w:rPr>
          <w:rFonts w:ascii="Times New Roman" w:hAnsi="Times New Roman"/>
        </w:rPr>
      </w:pPr>
      <w:r>
        <w:rPr>
          <w:rFonts w:ascii="Times New Roman" w:hAnsi="Times New Roman"/>
        </w:rPr>
        <w:t>(ii) Two or more legal organizations referred to in paragraph (a)(2)(i) of this section that have identical owners.</w:t>
      </w:r>
    </w:p>
    <w:p w:rsidR="00875999" w:rsidRDefault="00875999" w:rsidP="00875999">
      <w:pPr>
        <w:pStyle w:val="Header"/>
        <w:tabs>
          <w:tab w:val="clear" w:pos="4320"/>
          <w:tab w:val="clear" w:pos="8640"/>
        </w:tabs>
        <w:ind w:left="2160"/>
        <w:rPr>
          <w:rFonts w:ascii="Times New Roman" w:hAnsi="Times New Roman"/>
        </w:rPr>
      </w:pPr>
    </w:p>
    <w:p w:rsidR="00875999" w:rsidRDefault="00875999" w:rsidP="00875999">
      <w:pPr>
        <w:pStyle w:val="Header"/>
        <w:numPr>
          <w:ilvl w:val="0"/>
          <w:numId w:val="4"/>
        </w:numPr>
        <w:tabs>
          <w:tab w:val="clear" w:pos="1080"/>
          <w:tab w:val="clear" w:pos="4320"/>
          <w:tab w:val="clear" w:pos="8640"/>
        </w:tabs>
        <w:ind w:left="2880" w:hanging="720"/>
        <w:rPr>
          <w:rFonts w:ascii="Times New Roman" w:hAnsi="Times New Roman"/>
        </w:rPr>
      </w:pPr>
      <w:r>
        <w:rPr>
          <w:rFonts w:ascii="Times New Roman" w:hAnsi="Times New Roman"/>
        </w:rPr>
        <w:t>Special Rules.  For purposes of this section:</w:t>
      </w:r>
    </w:p>
    <w:p w:rsidR="00875999" w:rsidRDefault="00875999" w:rsidP="00875999">
      <w:pPr>
        <w:pStyle w:val="Header"/>
        <w:tabs>
          <w:tab w:val="clear" w:pos="4320"/>
          <w:tab w:val="clear" w:pos="8640"/>
        </w:tabs>
        <w:ind w:left="450"/>
        <w:rPr>
          <w:rFonts w:ascii="Times New Roman" w:hAnsi="Times New Roman"/>
        </w:rPr>
      </w:pPr>
    </w:p>
    <w:p w:rsidR="00875999" w:rsidRDefault="00875999" w:rsidP="00875999">
      <w:pPr>
        <w:pStyle w:val="Header"/>
        <w:tabs>
          <w:tab w:val="clear" w:pos="4320"/>
          <w:tab w:val="clear" w:pos="8640"/>
        </w:tabs>
        <w:ind w:left="3600" w:hanging="720"/>
        <w:rPr>
          <w:rFonts w:ascii="Times New Roman" w:hAnsi="Times New Roman"/>
        </w:rPr>
      </w:pPr>
      <w:r>
        <w:rPr>
          <w:rFonts w:ascii="Times New Roman" w:hAnsi="Times New Roman"/>
        </w:rPr>
        <w:t xml:space="preserve">(A) </w:t>
      </w:r>
      <w:r>
        <w:rPr>
          <w:rFonts w:ascii="Times New Roman" w:hAnsi="Times New Roman"/>
        </w:rPr>
        <w:tab/>
        <w:t>An owner must be counted as a client if the investment adviser provides investment advisory services to the owner separate and apart from the investment advisory services provided to the legal organization, provided, however, that the determination that an owner is a client will not affect the applicability of this section with regard to any other owner;</w:t>
      </w:r>
    </w:p>
    <w:p w:rsidR="00875999" w:rsidRDefault="00875999" w:rsidP="00875999">
      <w:pPr>
        <w:pStyle w:val="Header"/>
        <w:tabs>
          <w:tab w:val="clear" w:pos="4320"/>
          <w:tab w:val="clear" w:pos="8640"/>
        </w:tabs>
        <w:ind w:left="450"/>
        <w:rPr>
          <w:rFonts w:ascii="Times New Roman" w:hAnsi="Times New Roman"/>
        </w:rPr>
      </w:pPr>
    </w:p>
    <w:p w:rsidR="00875999" w:rsidRDefault="00875999" w:rsidP="00875999">
      <w:pPr>
        <w:pStyle w:val="Header"/>
        <w:numPr>
          <w:ilvl w:val="0"/>
          <w:numId w:val="5"/>
        </w:numPr>
        <w:tabs>
          <w:tab w:val="clear" w:pos="1800"/>
          <w:tab w:val="clear" w:pos="4320"/>
          <w:tab w:val="clear" w:pos="8640"/>
        </w:tabs>
        <w:ind w:left="3600" w:hanging="720"/>
        <w:rPr>
          <w:rFonts w:ascii="Times New Roman" w:hAnsi="Times New Roman"/>
        </w:rPr>
      </w:pPr>
      <w:r>
        <w:rPr>
          <w:rFonts w:ascii="Times New Roman" w:hAnsi="Times New Roman"/>
        </w:rPr>
        <w:t>An owner need not be counted as a client of an investment adviser solely because the investment adviser, on behalf of the legal organization, offers, promotes, or sells interests in the legal organization to the owner, or reports periodically to the owners as a group solely with respect to the performance of or plans for the legal organization’s assets or similar matters;</w:t>
      </w:r>
    </w:p>
    <w:p w:rsidR="00875999" w:rsidRDefault="00875999" w:rsidP="00875999">
      <w:pPr>
        <w:pStyle w:val="Header"/>
        <w:tabs>
          <w:tab w:val="clear" w:pos="4320"/>
          <w:tab w:val="clear" w:pos="8640"/>
        </w:tabs>
        <w:ind w:left="2880"/>
        <w:rPr>
          <w:rFonts w:ascii="Times New Roman" w:hAnsi="Times New Roman"/>
        </w:rPr>
      </w:pPr>
    </w:p>
    <w:p w:rsidR="00875999" w:rsidRDefault="00875999" w:rsidP="00875999">
      <w:pPr>
        <w:pStyle w:val="Header"/>
        <w:widowControl/>
        <w:numPr>
          <w:ilvl w:val="0"/>
          <w:numId w:val="5"/>
        </w:numPr>
        <w:tabs>
          <w:tab w:val="clear" w:pos="1800"/>
          <w:tab w:val="clear" w:pos="4320"/>
          <w:tab w:val="clear" w:pos="8640"/>
        </w:tabs>
        <w:ind w:left="3600" w:hanging="720"/>
        <w:rPr>
          <w:rFonts w:ascii="Times New Roman" w:hAnsi="Times New Roman"/>
        </w:rPr>
      </w:pPr>
      <w:r>
        <w:rPr>
          <w:rFonts w:ascii="Times New Roman" w:hAnsi="Times New Roman"/>
        </w:rPr>
        <w:t>A limited partnership or limited liability company is a client of any general partner managing member or other person acting as investment adviser to the partnership;</w:t>
      </w:r>
    </w:p>
    <w:p w:rsidR="00875999" w:rsidRDefault="00875999" w:rsidP="00875999">
      <w:pPr>
        <w:pStyle w:val="Header"/>
        <w:tabs>
          <w:tab w:val="clear" w:pos="4320"/>
          <w:tab w:val="clear" w:pos="8640"/>
        </w:tabs>
        <w:rPr>
          <w:rFonts w:ascii="Times New Roman" w:hAnsi="Times New Roman"/>
        </w:rPr>
      </w:pPr>
    </w:p>
    <w:p w:rsidR="00875999" w:rsidRDefault="00875999" w:rsidP="00875999">
      <w:pPr>
        <w:pStyle w:val="Header"/>
        <w:numPr>
          <w:ilvl w:val="0"/>
          <w:numId w:val="5"/>
        </w:numPr>
        <w:tabs>
          <w:tab w:val="clear" w:pos="1800"/>
          <w:tab w:val="clear" w:pos="4320"/>
          <w:tab w:val="clear" w:pos="8640"/>
        </w:tabs>
        <w:ind w:left="3600" w:hanging="720"/>
        <w:rPr>
          <w:rFonts w:ascii="Times New Roman" w:hAnsi="Times New Roman"/>
        </w:rPr>
      </w:pPr>
      <w:r>
        <w:rPr>
          <w:rFonts w:ascii="Times New Roman" w:hAnsi="Times New Roman"/>
        </w:rPr>
        <w:t xml:space="preserve">Any person for whom an investment adviser provides investment advisory services without compensation need not be counted as a client; and </w:t>
      </w:r>
    </w:p>
    <w:p w:rsidR="00875999" w:rsidRDefault="00875999" w:rsidP="00875999">
      <w:pPr>
        <w:pStyle w:val="Header"/>
        <w:tabs>
          <w:tab w:val="clear" w:pos="4320"/>
          <w:tab w:val="clear" w:pos="8640"/>
        </w:tabs>
        <w:rPr>
          <w:rFonts w:ascii="Times New Roman" w:hAnsi="Times New Roman"/>
        </w:rPr>
      </w:pPr>
    </w:p>
    <w:p w:rsidR="00875999" w:rsidRDefault="00875999" w:rsidP="00875999">
      <w:pPr>
        <w:pStyle w:val="Header"/>
        <w:numPr>
          <w:ilvl w:val="0"/>
          <w:numId w:val="5"/>
        </w:numPr>
        <w:tabs>
          <w:tab w:val="clear" w:pos="1800"/>
          <w:tab w:val="clear" w:pos="4320"/>
          <w:tab w:val="clear" w:pos="8640"/>
        </w:tabs>
        <w:ind w:left="3600" w:hanging="720"/>
        <w:rPr>
          <w:rFonts w:ascii="Times New Roman" w:hAnsi="Times New Roman"/>
        </w:rPr>
      </w:pPr>
      <w:r>
        <w:rPr>
          <w:rFonts w:ascii="Times New Roman" w:hAnsi="Times New Roman"/>
        </w:rPr>
        <w:t xml:space="preserve">An investment adviser that has its principal office and place of business outside of the </w:t>
      </w:r>
      <w:smartTag w:uri="urn:schemas-microsoft-com:office:smarttags" w:element="country-region">
        <w:r>
          <w:rPr>
            <w:rFonts w:ascii="Times New Roman" w:hAnsi="Times New Roman"/>
          </w:rPr>
          <w:t>United States</w:t>
        </w:r>
      </w:smartTag>
      <w:r>
        <w:rPr>
          <w:rFonts w:ascii="Times New Roman" w:hAnsi="Times New Roman"/>
        </w:rPr>
        <w:t xml:space="preserve"> must count only clients that are </w:t>
      </w:r>
      <w:smartTag w:uri="urn:schemas-microsoft-com:office:smarttags" w:element="country-region">
        <w:r>
          <w:rPr>
            <w:rFonts w:ascii="Times New Roman" w:hAnsi="Times New Roman"/>
          </w:rPr>
          <w:t>United States</w:t>
        </w:r>
      </w:smartTag>
      <w:r>
        <w:rPr>
          <w:rFonts w:ascii="Times New Roman" w:hAnsi="Times New Roman"/>
        </w:rPr>
        <w:t xml:space="preserve"> residents; an investment adviser that has its principal office and place of business in the </w:t>
      </w:r>
      <w:smartTag w:uri="urn:schemas-microsoft-com:office:smarttags" w:element="place">
        <w:smartTag w:uri="urn:schemas-microsoft-com:office:smarttags" w:element="country-region">
          <w:r>
            <w:rPr>
              <w:rFonts w:ascii="Times New Roman" w:hAnsi="Times New Roman"/>
            </w:rPr>
            <w:t>United States</w:t>
          </w:r>
        </w:smartTag>
      </w:smartTag>
      <w:r>
        <w:rPr>
          <w:rFonts w:ascii="Times New Roman" w:hAnsi="Times New Roman"/>
        </w:rPr>
        <w:t xml:space="preserve"> must count all clients.</w:t>
      </w:r>
    </w:p>
    <w:p w:rsidR="00875999" w:rsidRDefault="00875999" w:rsidP="00875999">
      <w:pPr>
        <w:pStyle w:val="Header"/>
        <w:tabs>
          <w:tab w:val="clear" w:pos="4320"/>
          <w:tab w:val="clear" w:pos="8640"/>
        </w:tabs>
        <w:rPr>
          <w:rFonts w:ascii="Times New Roman" w:hAnsi="Times New Roman"/>
        </w:rPr>
      </w:pPr>
    </w:p>
    <w:p w:rsidR="00875999" w:rsidRDefault="00875999" w:rsidP="00875999">
      <w:pPr>
        <w:pStyle w:val="Header"/>
        <w:tabs>
          <w:tab w:val="clear" w:pos="4320"/>
          <w:tab w:val="clear" w:pos="8640"/>
        </w:tabs>
        <w:ind w:left="2880"/>
        <w:rPr>
          <w:rFonts w:ascii="Times New Roman" w:hAnsi="Times New Roman"/>
        </w:rPr>
      </w:pPr>
    </w:p>
    <w:p w:rsidR="008238F7" w:rsidRPr="00875999" w:rsidRDefault="00961981" w:rsidP="00875999"/>
    <w:sectPr w:rsidR="008238F7" w:rsidRPr="00875999" w:rsidSect="00FD203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1981" w:rsidRDefault="00961981" w:rsidP="00875999">
      <w:r>
        <w:separator/>
      </w:r>
    </w:p>
  </w:endnote>
  <w:endnote w:type="continuationSeparator" w:id="0">
    <w:p w:rsidR="00961981" w:rsidRDefault="00961981" w:rsidP="008759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1981" w:rsidRDefault="00961981" w:rsidP="00875999">
      <w:r>
        <w:separator/>
      </w:r>
    </w:p>
  </w:footnote>
  <w:footnote w:type="continuationSeparator" w:id="0">
    <w:p w:rsidR="00961981" w:rsidRDefault="00961981" w:rsidP="00875999">
      <w:r>
        <w:continuationSeparator/>
      </w:r>
    </w:p>
  </w:footnote>
  <w:footnote w:id="1">
    <w:p w:rsidR="00875999" w:rsidRDefault="00875999" w:rsidP="00875999">
      <w:pPr>
        <w:rPr>
          <w:rFonts w:ascii="Times New Roman" w:hAnsi="Times New Roman"/>
          <w:sz w:val="20"/>
        </w:rPr>
      </w:pPr>
      <w:r>
        <w:rPr>
          <w:rStyle w:val="FootnoteReference"/>
          <w:sz w:val="16"/>
        </w:rPr>
        <w:footnoteRef/>
      </w:r>
      <w:r>
        <w:t xml:space="preserve"> </w:t>
      </w:r>
      <w:r>
        <w:rPr>
          <w:rFonts w:ascii="Times New Roman" w:hAnsi="Times New Roman"/>
          <w:sz w:val="20"/>
        </w:rPr>
        <w:t>275.206(4)-7  (Compliance Procedures and Practices)</w:t>
      </w:r>
    </w:p>
    <w:p w:rsidR="00875999" w:rsidRDefault="00875999" w:rsidP="00875999">
      <w:pPr>
        <w:pStyle w:val="FootnoteText"/>
        <w:rPr>
          <w:rFonts w:ascii="Times New Roman" w:hAnsi="Times New Roman"/>
        </w:rPr>
      </w:pPr>
      <w:r>
        <w:rPr>
          <w:rFonts w:ascii="Times New Roman" w:hAnsi="Times New Roman"/>
        </w:rPr>
        <w:t xml:space="preserve">    275.203.A-1   (Eligibility for SEC registration)</w:t>
      </w:r>
    </w:p>
    <w:p w:rsidR="00875999" w:rsidRDefault="00875999" w:rsidP="00875999">
      <w:pPr>
        <w:pStyle w:val="FootnoteText"/>
      </w:pPr>
      <w:r>
        <w:rPr>
          <w:rFonts w:ascii="Times New Roman" w:hAnsi="Times New Roman"/>
        </w:rPr>
        <w:t xml:space="preserve">    275.203.A-2   (Exemptions from Prohibition on SEC Registration)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C4D84"/>
    <w:multiLevelType w:val="singleLevel"/>
    <w:tmpl w:val="12AEDCC8"/>
    <w:lvl w:ilvl="0">
      <w:start w:val="100"/>
      <w:numFmt w:val="upperRoman"/>
      <w:lvlText w:val="%1."/>
      <w:lvlJc w:val="left"/>
      <w:pPr>
        <w:tabs>
          <w:tab w:val="num" w:pos="1440"/>
        </w:tabs>
        <w:ind w:left="1440" w:hanging="720"/>
      </w:pPr>
      <w:rPr>
        <w:rFonts w:hint="default"/>
      </w:rPr>
    </w:lvl>
  </w:abstractNum>
  <w:abstractNum w:abstractNumId="1">
    <w:nsid w:val="16AC021A"/>
    <w:multiLevelType w:val="singleLevel"/>
    <w:tmpl w:val="8BBC4C50"/>
    <w:lvl w:ilvl="0">
      <w:start w:val="2"/>
      <w:numFmt w:val="upperLetter"/>
      <w:lvlText w:val="(%1)"/>
      <w:lvlJc w:val="left"/>
      <w:pPr>
        <w:tabs>
          <w:tab w:val="num" w:pos="1800"/>
        </w:tabs>
        <w:ind w:left="1800" w:hanging="360"/>
      </w:pPr>
      <w:rPr>
        <w:rFonts w:hint="default"/>
      </w:rPr>
    </w:lvl>
  </w:abstractNum>
  <w:abstractNum w:abstractNumId="2">
    <w:nsid w:val="3B305D31"/>
    <w:multiLevelType w:val="singleLevel"/>
    <w:tmpl w:val="DCA8B51A"/>
    <w:lvl w:ilvl="0">
      <w:start w:val="2"/>
      <w:numFmt w:val="decimal"/>
      <w:lvlText w:val="(%1)"/>
      <w:lvlJc w:val="left"/>
      <w:pPr>
        <w:tabs>
          <w:tab w:val="num" w:pos="2160"/>
        </w:tabs>
        <w:ind w:left="2160" w:hanging="720"/>
      </w:pPr>
      <w:rPr>
        <w:rFonts w:hint="default"/>
      </w:rPr>
    </w:lvl>
  </w:abstractNum>
  <w:abstractNum w:abstractNumId="3">
    <w:nsid w:val="431B1614"/>
    <w:multiLevelType w:val="singleLevel"/>
    <w:tmpl w:val="6348180E"/>
    <w:lvl w:ilvl="0">
      <w:start w:val="2"/>
      <w:numFmt w:val="decimal"/>
      <w:lvlText w:val="(%1)"/>
      <w:lvlJc w:val="left"/>
      <w:pPr>
        <w:tabs>
          <w:tab w:val="num" w:pos="1080"/>
        </w:tabs>
        <w:ind w:left="1080" w:hanging="360"/>
      </w:pPr>
      <w:rPr>
        <w:rFonts w:hint="default"/>
      </w:rPr>
    </w:lvl>
  </w:abstractNum>
  <w:abstractNum w:abstractNumId="4">
    <w:nsid w:val="48F64B6D"/>
    <w:multiLevelType w:val="singleLevel"/>
    <w:tmpl w:val="D4B6E11C"/>
    <w:lvl w:ilvl="0">
      <w:start w:val="2"/>
      <w:numFmt w:val="decimal"/>
      <w:lvlText w:val="(%1)"/>
      <w:lvlJc w:val="left"/>
      <w:pPr>
        <w:tabs>
          <w:tab w:val="num" w:pos="2160"/>
        </w:tabs>
        <w:ind w:left="2160" w:hanging="720"/>
      </w:pPr>
      <w:rPr>
        <w:rFont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875999"/>
    <w:rsid w:val="00875999"/>
    <w:rsid w:val="00961981"/>
    <w:rsid w:val="00965EAA"/>
    <w:rsid w:val="009A07C4"/>
    <w:rsid w:val="00D85461"/>
    <w:rsid w:val="00F71FA8"/>
    <w:rsid w:val="00FD203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999"/>
    <w:pPr>
      <w:widowControl w:val="0"/>
      <w:spacing w:after="0" w:line="240" w:lineRule="auto"/>
    </w:pPr>
    <w:rPr>
      <w:rFonts w:ascii="Courier" w:eastAsia="Times New Roman" w:hAnsi="Courier" w:cs="Times New Roman"/>
      <w:snapToGrid w:val="0"/>
      <w:sz w:val="24"/>
      <w:szCs w:val="20"/>
      <w:lang w:val="en-US"/>
    </w:rPr>
  </w:style>
  <w:style w:type="paragraph" w:styleId="Heading1">
    <w:name w:val="heading 1"/>
    <w:basedOn w:val="Normal"/>
    <w:next w:val="Normal"/>
    <w:link w:val="Heading1Char"/>
    <w:autoRedefine/>
    <w:qFormat/>
    <w:rsid w:val="00875999"/>
    <w:pPr>
      <w:widowControl/>
      <w:tabs>
        <w:tab w:val="left" w:pos="720"/>
      </w:tabs>
      <w:ind w:left="720" w:hanging="720"/>
      <w:jc w:val="both"/>
      <w:outlineLvl w:val="0"/>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5999"/>
    <w:rPr>
      <w:rFonts w:ascii="Times New Roman" w:eastAsia="Times New Roman" w:hAnsi="Times New Roman" w:cs="Times New Roman"/>
      <w:b/>
      <w:snapToGrid w:val="0"/>
      <w:sz w:val="24"/>
      <w:szCs w:val="20"/>
      <w:lang w:val="en-US"/>
    </w:rPr>
  </w:style>
  <w:style w:type="character" w:styleId="FootnoteReference">
    <w:name w:val="footnote reference"/>
    <w:semiHidden/>
    <w:rsid w:val="00875999"/>
  </w:style>
  <w:style w:type="paragraph" w:customStyle="1" w:styleId="a">
    <w:name w:val="_"/>
    <w:basedOn w:val="Normal"/>
    <w:rsid w:val="00875999"/>
    <w:pPr>
      <w:tabs>
        <w:tab w:val="left" w:pos="-1440"/>
      </w:tabs>
      <w:ind w:left="1036" w:hanging="316"/>
    </w:pPr>
  </w:style>
  <w:style w:type="paragraph" w:styleId="Header">
    <w:name w:val="header"/>
    <w:basedOn w:val="Normal"/>
    <w:link w:val="HeaderChar"/>
    <w:rsid w:val="00875999"/>
    <w:pPr>
      <w:tabs>
        <w:tab w:val="center" w:pos="4320"/>
        <w:tab w:val="right" w:pos="8640"/>
      </w:tabs>
    </w:pPr>
  </w:style>
  <w:style w:type="character" w:customStyle="1" w:styleId="HeaderChar">
    <w:name w:val="Header Char"/>
    <w:basedOn w:val="DefaultParagraphFont"/>
    <w:link w:val="Header"/>
    <w:rsid w:val="00875999"/>
    <w:rPr>
      <w:rFonts w:ascii="Courier" w:eastAsia="Times New Roman" w:hAnsi="Courier" w:cs="Times New Roman"/>
      <w:snapToGrid w:val="0"/>
      <w:sz w:val="24"/>
      <w:szCs w:val="20"/>
      <w:lang w:val="en-US"/>
    </w:rPr>
  </w:style>
  <w:style w:type="paragraph" w:styleId="BodyTextIndent2">
    <w:name w:val="Body Text Indent 2"/>
    <w:basedOn w:val="Normal"/>
    <w:link w:val="BodyTextIndent2Char"/>
    <w:rsid w:val="00875999"/>
    <w:pPr>
      <w:widowControl/>
      <w:tabs>
        <w:tab w:val="left" w:pos="-1440"/>
      </w:tabs>
      <w:ind w:left="1440" w:hanging="720"/>
    </w:pPr>
    <w:rPr>
      <w:rFonts w:ascii="Times New Roman" w:hAnsi="Times New Roman"/>
    </w:rPr>
  </w:style>
  <w:style w:type="character" w:customStyle="1" w:styleId="BodyTextIndent2Char">
    <w:name w:val="Body Text Indent 2 Char"/>
    <w:basedOn w:val="DefaultParagraphFont"/>
    <w:link w:val="BodyTextIndent2"/>
    <w:rsid w:val="00875999"/>
    <w:rPr>
      <w:rFonts w:ascii="Times New Roman" w:eastAsia="Times New Roman" w:hAnsi="Times New Roman" w:cs="Times New Roman"/>
      <w:snapToGrid w:val="0"/>
      <w:sz w:val="24"/>
      <w:szCs w:val="20"/>
      <w:lang w:val="en-US"/>
    </w:rPr>
  </w:style>
  <w:style w:type="paragraph" w:styleId="FootnoteText">
    <w:name w:val="footnote text"/>
    <w:basedOn w:val="Normal"/>
    <w:link w:val="FootnoteTextChar"/>
    <w:semiHidden/>
    <w:rsid w:val="00875999"/>
    <w:rPr>
      <w:sz w:val="20"/>
    </w:rPr>
  </w:style>
  <w:style w:type="character" w:customStyle="1" w:styleId="FootnoteTextChar">
    <w:name w:val="Footnote Text Char"/>
    <w:basedOn w:val="DefaultParagraphFont"/>
    <w:link w:val="FootnoteText"/>
    <w:semiHidden/>
    <w:rsid w:val="00875999"/>
    <w:rPr>
      <w:rFonts w:ascii="Courier" w:eastAsia="Times New Roman" w:hAnsi="Courier" w:cs="Times New Roman"/>
      <w:snapToGrid w:val="0"/>
      <w:sz w:val="20"/>
      <w:szCs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Complinet</Company>
  <LinksUpToDate>false</LinksUpToDate>
  <CharactersWithSpaces>8799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barry.conner</dc:creator>
  <cp:keywords/>
  <dc:description/>
  <cp:lastModifiedBy>barry.conner</cp:lastModifiedBy>
  <cp:revision>1</cp:revision>
  <dcterms:created xsi:type="dcterms:W3CDTF">2012-10-08T12:33:00Z</dcterms:created>
  <dcterms:modified xsi:type="dcterms:W3CDTF">2012-10-08T13:01:00Z</dcterms:modified>
</cp:coreProperties>
</file>