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8"/>
        </w:rPr>
        <w:t>王宜静</w:t>
      </w:r>
    </w:p>
    <w:p>
      <w:pPr>
        <w:spacing w:after="20"/>
        <w:jc w:val="center"/>
      </w:pPr>
      <w:r>
        <w:rPr>
          <w:b/>
          <w:sz w:val="21"/>
        </w:rPr>
        <w:t>求职目标：海外业务风险管理｜大宗商品贸易风险管理</w:t>
      </w:r>
    </w:p>
    <w:p>
      <w:pPr>
        <w:spacing w:after="60"/>
        <w:jc w:val="center"/>
      </w:pPr>
      <w:r>
        <w:t>18482179729</w:t>
      </w:r>
      <w:r>
        <w:t xml:space="preserve">  |  </w:t>
      </w:r>
      <w:r>
        <w:t>wangyj126000@163.com</w:t>
      </w:r>
      <w:r>
        <w:t xml:space="preserve">  |  </w:t>
      </w:r>
      <w:r>
        <w:t>北京</w:t>
      </w:r>
      <w:r>
        <w:t xml:space="preserve">  |  </w:t>
      </w:r>
      <w:r>
        <w:t>32岁</w:t>
      </w:r>
    </w:p>
    <w:p>
      <w:pPr>
        <w:spacing w:before="60" w:after="30"/>
        <w:shd w:fill="DCE6F1"/>
        <w:keepNext/>
      </w:pPr>
      <w:r>
        <w:rPr>
          <w:b/>
          <w:color w:val="1F4E79"/>
          <w:sz w:val="21"/>
        </w:rPr>
        <w:t>个人概述</w:t>
      </w:r>
    </w:p>
    <w:p>
      <w:r>
        <w:rPr>
          <w:rFonts w:ascii="微软雅黑" w:hAnsi="微软雅黑" w:eastAsia="微软雅黑"/>
          <w:b w:val="0"/>
        </w:rPr>
        <w:t xml:space="preserve">会计学本科、国际金融管理硕士，具备 </w:t>
      </w:r>
      <w:r>
        <w:rPr>
          <w:rFonts w:ascii="微软雅黑" w:hAnsi="微软雅黑" w:eastAsia="微软雅黑"/>
          <w:b/>
        </w:rPr>
        <w:t>6年金融风险管理、管理咨询及风控系统建设经验</w:t>
      </w:r>
      <w:r>
        <w:rPr>
          <w:rFonts w:ascii="微软雅黑" w:hAnsi="微软雅黑" w:eastAsia="微软雅黑"/>
          <w:b w:val="0"/>
        </w:rPr>
        <w:t>，其中超过3年聚焦大宗商品及贸易场景。长期服务央国企、金融机构及大型企业，熟悉国际大宗商品贸易和进出口业务中的合同定价、风险敞口、衍生品套保及存续期管理关键环节；能够贯通境外业务风险评估、业务模式审查、市场/信用风险量化、制度流程优化、执行监督及系统落地。</w:t>
      </w:r>
    </w:p>
    <w:p>
      <w:pPr>
        <w:spacing w:before="60" w:after="30"/>
        <w:shd w:fill="DCE6F1"/>
        <w:keepNext/>
      </w:pPr>
      <w:r>
        <w:rPr>
          <w:b/>
          <w:color w:val="1F4E79"/>
          <w:sz w:val="21"/>
        </w:rPr>
        <w:t>核心能力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大宗商品与贸易风险：</w:t>
      </w:r>
      <w:r>
        <w:rPr>
          <w:rFonts w:ascii="微软雅黑" w:hAnsi="微软雅黑" w:eastAsia="微软雅黑"/>
          <w:b w:val="0"/>
        </w:rPr>
        <w:t xml:space="preserve"> 熟悉原油、天然气、化工品等业务场景，能够结合业务模式及流程识别价格、基差、月差、汇率和交易对手风险，评估衍生品业务模式与套期保值策略，并提出可执行的风险改进建议。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境外业务与合规管理：</w:t>
      </w:r>
      <w:r>
        <w:rPr>
          <w:rFonts w:ascii="微软雅黑" w:hAnsi="微软雅黑" w:eastAsia="微软雅黑"/>
          <w:b w:val="0"/>
        </w:rPr>
        <w:t xml:space="preserve"> 具备境外投资国别风险评估、国际化业务穿透式监管及关键流程审阅经验，能够从政治经济、政策监管、市场、运营、财务和法律合规等维度开展专项评估，推动管控要求嵌入业务流程。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市场与信用风险量化：</w:t>
      </w:r>
      <w:r>
        <w:rPr>
          <w:rFonts w:ascii="微软雅黑" w:hAnsi="微软雅黑" w:eastAsia="微软雅黑"/>
          <w:b w:val="0"/>
        </w:rPr>
        <w:t xml:space="preserve"> 熟悉风险敞口、风险限额、VaR/ES、压力测试、P&amp;L归因、套期有效性，以及客户准入、评级/评分、授信、信用敞口与集中度管理；能够设计指标口径、监测规则并开展数据分析。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机制优化与推动落地：</w:t>
      </w:r>
      <w:r>
        <w:rPr>
          <w:rFonts w:ascii="微软雅黑" w:hAnsi="微软雅黑" w:eastAsia="微软雅黑"/>
          <w:b w:val="0"/>
        </w:rPr>
        <w:t xml:space="preserve"> 能够将风险管理要求转化为制度流程、控制标准、KRI、计量规则和系统功能；具备跨业务、数据及研发团队协调经验，能够独立推进方案设计、测试验证、问题闭环及上线。</w:t>
      </w:r>
    </w:p>
    <w:p>
      <w:pPr>
        <w:spacing w:before="60" w:after="30"/>
        <w:shd w:fill="DCE6F1"/>
        <w:keepNext/>
      </w:pPr>
      <w:r>
        <w:rPr>
          <w:b/>
          <w:color w:val="1F4E79"/>
          <w:sz w:val="21"/>
        </w:rPr>
        <w:t>工作经历</w:t>
      </w:r>
    </w:p>
    <w:p>
      <w:pPr>
        <w:spacing w:before="50" w:after="0"/>
        <w:keepNext/>
      </w:pPr>
      <w:r>
        <w:rPr>
          <w:b/>
          <w:color w:val="1F4E79"/>
          <w:sz w:val="18"/>
        </w:rPr>
        <w:t>毕马威企业咨询（中国）有限公司</w:t>
      </w:r>
    </w:p>
    <w:p>
      <w:pPr>
        <w:spacing w:after="20"/>
        <w:keepNext/>
      </w:pPr>
      <w:r>
        <w:rPr>
          <w:rFonts w:ascii="微软雅黑" w:hAnsi="微软雅黑" w:eastAsia="微软雅黑"/>
          <w:b/>
          <w:color w:val="555555"/>
          <w:sz w:val="18"/>
        </w:rPr>
        <w:t>公司治理、风险和合规管理咨询｜高级咨询顾问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　2025.10–至今</w:t>
      </w:r>
    </w:p>
    <w:p>
      <w:r>
        <w:rPr>
          <w:rFonts w:ascii="微软雅黑" w:hAnsi="微软雅黑" w:eastAsia="微软雅黑"/>
          <w:b w:val="0"/>
        </w:rPr>
        <w:t>聚焦央国企穿透式风险监管、境外投资风险评估及关键业务流程优化，参与风险管理机制设计、专项评估、流程审阅与管理工具建设。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境外及重点业务风险机制建设：</w:t>
      </w:r>
      <w:r>
        <w:rPr>
          <w:rFonts w:ascii="微软雅黑" w:hAnsi="微软雅黑" w:eastAsia="微软雅黑"/>
          <w:b w:val="0"/>
        </w:rPr>
        <w:t xml:space="preserve"> 围绕国资委穿透式监管要求，参与能源企业投资、财务、国际化等重点领域风险管理体系设计；梳理关键风险场景，明确管控要求、控制标准、KRI及监测规则，推动监管要求落实到业务流程和关键控制点，为境外业务持续监督提供机制与指标支持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境外投资及新项目风险评估：</w:t>
      </w:r>
      <w:r>
        <w:rPr>
          <w:rFonts w:ascii="微软雅黑" w:hAnsi="微软雅黑" w:eastAsia="微软雅黑"/>
          <w:b w:val="0"/>
        </w:rPr>
        <w:t xml:space="preserve"> 协助五矿集团下属企业开展南非矿产投资项目国别与合规风险评估，从政治经济、政策监管、社会环境等维度分析外部风险，并结合项目识别市场、运营、财务及法律合规风险，为投资决策和后续风险应对提供支持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业务流程审阅与控制优化：</w:t>
      </w:r>
      <w:r>
        <w:rPr>
          <w:rFonts w:ascii="微软雅黑" w:hAnsi="微软雅黑" w:eastAsia="微软雅黑"/>
          <w:b w:val="0"/>
        </w:rPr>
        <w:t xml:space="preserve"> 围绕能源企业大型装备全生命周期、合同管理等关键业务梳理流程与职责，审阅审批权限及控制机制，识别流程薄弱环节并提出改进建议，推动风险要求嵌入业务执行。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风险工具建设：</w:t>
      </w:r>
      <w:r>
        <w:rPr>
          <w:rFonts w:ascii="微软雅黑" w:hAnsi="微软雅黑" w:eastAsia="微软雅黑"/>
          <w:b w:val="0"/>
        </w:rPr>
        <w:t xml:space="preserve"> 参与穿透式监管平台原型及Demo设计，将风险指标、预警规则和监测要求转化为系统功能方案，支持风险持续监测。</w:t>
      </w:r>
    </w:p>
    <w:p>
      <w:pPr>
        <w:spacing w:before="50" w:after="0"/>
        <w:keepNext/>
      </w:pPr>
      <w:r>
        <w:rPr>
          <w:b/>
          <w:color w:val="1F4E79"/>
          <w:sz w:val="18"/>
        </w:rPr>
        <w:t>天阳宏业科技股份有限公司</w:t>
      </w:r>
    </w:p>
    <w:p>
      <w:pPr>
        <w:spacing w:after="20"/>
        <w:keepNext/>
      </w:pPr>
      <w:r>
        <w:rPr>
          <w:rFonts w:ascii="微软雅黑" w:hAnsi="微软雅黑" w:eastAsia="微软雅黑"/>
          <w:b/>
          <w:color w:val="555555"/>
          <w:sz w:val="18"/>
        </w:rPr>
        <w:t>市场风险管理系统需求分析师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　2024.12–2025.09</w:t>
      </w:r>
    </w:p>
    <w:p>
      <w:r>
        <w:rPr>
          <w:rFonts w:ascii="微软雅黑" w:hAnsi="微软雅黑" w:eastAsia="微软雅黑"/>
          <w:b w:val="0"/>
        </w:rPr>
        <w:t>参与银行市场风险管理系统建设，负责将市场风险计量、监控及监管要求转化为系统功能、业务规则与数据口径。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需求与功能设计：</w:t>
      </w:r>
      <w:r>
        <w:rPr>
          <w:rFonts w:ascii="微软雅黑" w:hAnsi="微软雅黑" w:eastAsia="微软雅黑"/>
          <w:b w:val="0"/>
        </w:rPr>
        <w:t xml:space="preserve"> 围绕压力测试、风险限额、VaR/ES、P&amp;L归因及交易行为监控开展需求分析，设计功能交互、计量规则、数据来源和取数逻辑，编制需求说明书及系统原型，协调业务、数据与研发团队推进开发。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测试与数据验证：</w:t>
      </w:r>
      <w:r>
        <w:rPr>
          <w:rFonts w:ascii="微软雅黑" w:hAnsi="微软雅黑" w:eastAsia="微软雅黑"/>
          <w:b w:val="0"/>
        </w:rPr>
        <w:t xml:space="preserve"> 参与SIT、UAT及上线验证，使用SQL、Excel抽取数据、复算指标并开展系统对账，定位数据口径、计算逻辑及功能实现问题，跟踪推动闭环解决。</w:t>
      </w:r>
    </w:p>
    <w:p>
      <w:r>
        <w:br w:type="page"/>
      </w:r>
    </w:p>
    <w:p>
      <w:pPr>
        <w:spacing w:before="50" w:after="0"/>
        <w:keepNext/>
      </w:pPr>
      <w:r>
        <w:rPr>
          <w:b/>
          <w:color w:val="1F4E79"/>
          <w:sz w:val="18"/>
        </w:rPr>
        <w:t>毕马威企业咨询（中国）有限公司</w:t>
      </w:r>
    </w:p>
    <w:p>
      <w:pPr>
        <w:spacing w:after="20"/>
        <w:keepNext/>
      </w:pPr>
      <w:r>
        <w:rPr>
          <w:rFonts w:ascii="微软雅黑" w:hAnsi="微软雅黑" w:eastAsia="微软雅黑"/>
          <w:b/>
          <w:color w:val="555555"/>
          <w:sz w:val="18"/>
        </w:rPr>
        <w:t>金融风险咨询｜高级咨询顾问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　2020.08–2024.08</w:t>
      </w:r>
    </w:p>
    <w:p>
      <w:r>
        <w:rPr>
          <w:rFonts w:ascii="微软雅黑" w:hAnsi="微软雅黑" w:eastAsia="微软雅黑"/>
          <w:b w:val="0"/>
        </w:rPr>
        <w:t>长期服务中石化集团、中石油国际事业、中粮集团等央国企及大型企业，围绕国际大宗商品贸易、市场风险、信用风险及衍生品管理开展机制优化、专项评估和系统建设。</w:t>
      </w:r>
    </w:p>
    <w:p>
      <w:pPr>
        <w:spacing w:before="40" w:after="10"/>
        <w:keepNext/>
      </w:pPr>
      <w:r>
        <w:rPr>
          <w:b/>
          <w:color w:val="1F4E79"/>
          <w:sz w:val="18"/>
        </w:rPr>
        <w:t>大宗商品贸易及衍生品风险管理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业务模式与流程评估：</w:t>
      </w:r>
      <w:r>
        <w:rPr>
          <w:rFonts w:ascii="微软雅黑" w:hAnsi="微软雅黑" w:eastAsia="微软雅黑"/>
          <w:b w:val="0"/>
        </w:rPr>
        <w:t xml:space="preserve"> 结合原油、天然气、化工品等商品业务及贸易模式，从合同定价、风险敞口、策略审批、交易执行、存续期管理及效果评估等环节梳理风险来源，识别价格波动、基差和月差等风险因素；评估套保策略与业务需求的匹配性，支持期货、远期、掉期等工具应用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市场风险量化与监测：</w:t>
      </w:r>
      <w:r>
        <w:rPr>
          <w:rFonts w:ascii="微软雅黑" w:hAnsi="微软雅黑" w:eastAsia="微软雅黑"/>
          <w:b w:val="0"/>
        </w:rPr>
        <w:t xml:space="preserve"> 设计风险敞口、止损/盈亏限额、保证金及套保效果等监控指标，搭建VaR、压力测试等计量模板，明确指标口径、阈值和监测规则，为风险跟踪及管理决策提供依据。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市场跟踪与分析：</w:t>
      </w:r>
      <w:r>
        <w:rPr>
          <w:rFonts w:ascii="微软雅黑" w:hAnsi="微软雅黑" w:eastAsia="微软雅黑"/>
          <w:b w:val="0"/>
        </w:rPr>
        <w:t xml:space="preserve"> 运用Bloomberg、Reuters、Wind及历史交易数据，跟踪商品价格、期限结构和关键风险驱动因素，结合压力测试及情景分析评估价格波动影响，为风险指标调整与策略评估提供支持。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贸易执行监督与机制优化：</w:t>
      </w:r>
      <w:r>
        <w:rPr>
          <w:rFonts w:ascii="微软雅黑" w:hAnsi="微软雅黑" w:eastAsia="微软雅黑"/>
          <w:b w:val="0"/>
        </w:rPr>
        <w:t xml:space="preserve"> 围绕业务主体资质、策略审批、交易操作、存续期管理及套保效果评估，完善衍生品管理流程、制度及控制要求，编写市场风险管理制度与业务操作手册；定期审阅制度和管理要求执行情况，跟踪薄弱环节整改并形成季度评估报告。</w:t>
      </w:r>
    </w:p>
    <w:p>
      <w:pPr>
        <w:spacing w:before="40" w:after="10"/>
        <w:keepNext/>
      </w:pPr>
      <w:r>
        <w:rPr>
          <w:b/>
          <w:color w:val="1F4E79"/>
          <w:sz w:val="18"/>
        </w:rPr>
        <w:t>汇率风险管理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 w:val="0"/>
        </w:rPr>
        <w:t>面向中粮集团、中信戴卡、广西柳工机械、安克创新科技、越秀金控等企业，从资产负债表和现金流维度识别外汇风险，建立统一敞口统计标准及计量模板；开展压力测试、VaR及套期有效性测算，建立风险限额和监控指标体系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 w:val="0"/>
        </w:rPr>
        <w:t>结合业务场景设计结算币种、销售定价等经营性避险措施及外汇远期、掉期套保方案，优化相关流程并编制操作手册；将敞口计量、风险监控、衍生品交易及套期关系管理要求转化为系统需求，参与测试并推动模块落地。</w:t>
      </w:r>
    </w:p>
    <w:p>
      <w:pPr>
        <w:spacing w:before="40" w:after="10"/>
        <w:keepNext/>
      </w:pPr>
      <w:r>
        <w:rPr>
          <w:b/>
          <w:color w:val="1F4E79"/>
          <w:sz w:val="18"/>
        </w:rPr>
        <w:t>企业信用风险管理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 w:val="0"/>
        </w:rPr>
        <w:t>围绕客户质量、资产质量、客户准入、评级/评分、授信管理、信用风险敞口、风险集中度及交易对手经营质量设计监控指标，明确指标定义、计算口径、数据来源和监控要求，支持信用敞口量化分析与定期评估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 w:val="0"/>
        </w:rPr>
        <w:t>结合经营状况、现金流、国别风险、外部评级及历史交易开展交易对手评估，优化信用评分卡、准入标准及定期评价机制，为信用风险审查和持续监控提供支持。</w:t>
      </w:r>
    </w:p>
    <w:p>
      <w:pPr>
        <w:spacing w:before="40" w:after="10"/>
        <w:keepNext/>
      </w:pPr>
      <w:r>
        <w:rPr>
          <w:b/>
          <w:color w:val="1F4E79"/>
          <w:sz w:val="18"/>
        </w:rPr>
        <w:t>金融工具及衍生品估值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 w:val="0"/>
        </w:rPr>
        <w:t>服务工银理财、中银理财、建信理财、中信银行、工商银行、农业银行等机构，参与利率掉期、交叉货币掉期、外汇远期/掉期等衍生品估值测算、IFRS 9计量方案设计及套期有效性测试。</w:t>
      </w:r>
    </w:p>
    <w:p>
      <w:pPr>
        <w:spacing w:before="60" w:after="30"/>
        <w:shd w:fill="DCE6F1"/>
        <w:keepNext/>
      </w:pPr>
      <w:r>
        <w:rPr>
          <w:b/>
          <w:color w:val="1F4E79"/>
          <w:sz w:val="21"/>
        </w:rPr>
        <w:t>教育背景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格罗宁根大学</w:t>
      </w:r>
      <w:r>
        <w:rPr>
          <w:rFonts w:ascii="微软雅黑" w:hAnsi="微软雅黑" w:eastAsia="微软雅黑"/>
          <w:b w:val="0"/>
        </w:rPr>
        <w:t xml:space="preserve">　国际金融管理｜硕士　2017.09–2020.01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西南财经大学天府学院</w:t>
      </w:r>
      <w:r>
        <w:rPr>
          <w:rFonts w:ascii="微软雅黑" w:hAnsi="微软雅黑" w:eastAsia="微软雅黑"/>
          <w:b w:val="0"/>
        </w:rPr>
        <w:t xml:space="preserve">　会计学｜本科　2012.09–2016.06</w:t>
      </w:r>
    </w:p>
    <w:p>
      <w:pPr>
        <w:spacing w:before="60" w:after="30"/>
        <w:shd w:fill="DCE6F1"/>
        <w:keepNext/>
      </w:pPr>
      <w:r>
        <w:rPr>
          <w:b/>
          <w:color w:val="1F4E79"/>
          <w:sz w:val="21"/>
        </w:rPr>
        <w:t>专业工具与语言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工具：</w:t>
      </w:r>
      <w:r>
        <w:rPr>
          <w:rFonts w:ascii="微软雅黑" w:hAnsi="微软雅黑" w:eastAsia="微软雅黑"/>
          <w:b w:val="0"/>
        </w:rPr>
        <w:t xml:space="preserve"> Bloomberg、Reuters、Wind、Excel、SQL、PowerPoint、Word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语言：</w:t>
      </w:r>
      <w:r>
        <w:rPr>
          <w:rFonts w:ascii="微软雅黑" w:hAnsi="微软雅黑" w:eastAsia="微软雅黑"/>
          <w:b w:val="0"/>
        </w:rPr>
        <w:t xml:space="preserve"> 英语（海外硕士学习经历，可支持英文资料检索、报告阅读及专业沟通）</w:t>
      </w:r>
    </w:p>
    <w:sectPr w:rsidR="00FC693F" w:rsidRPr="0006063C" w:rsidSect="00034616">
      <w:footerReference w:type="default" r:id="rId9"/>
      <w:pgSz w:w="12240" w:h="15840"/>
      <w:pgMar w:top="652" w:right="765" w:bottom="595" w:left="765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王宜静｜风险管理岗位简历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59" w:lineRule="auto"/>
    </w:pPr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