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sz w:val="32"/>
        </w:rPr>
        <w:t>穿透式监管导向下内控体系优化提升规划方案</w:t>
      </w:r>
    </w:p>
    <w:p>
      <w:pPr>
        <w:pStyle w:val="Heading1"/>
      </w:pPr>
      <w:r>
        <w:rPr>
          <w:rFonts w:ascii="黑体" w:hAnsi="黑体" w:eastAsia="黑体"/>
        </w:rPr>
        <w:t>一、建设背景</w:t>
      </w:r>
    </w:p>
    <w:p>
      <w:pPr>
        <w:spacing w:line="360" w:lineRule="auto"/>
        <w:ind w:firstLine="420"/>
      </w:pPr>
      <w:r>
        <w:rPr>
          <w:rFonts w:ascii="宋体" w:hAnsi="宋体" w:eastAsia="宋体"/>
          <w:b w:val="0"/>
          <w:sz w:val="24"/>
        </w:rPr>
        <w:t>近年来，国务院国资委持续推动中央企业监管模式向风险导向、过程管控和责任闭环转变，要求企业以内部控制体系建设为抓手强化穿透式监管能力，将监管要求嵌入经营管理全过程，实现对业务实质、关键环节和责任主体的有效管控。</w:t>
      </w:r>
    </w:p>
    <w:p>
      <w:pPr>
        <w:spacing w:line="360" w:lineRule="auto"/>
        <w:ind w:firstLine="420"/>
      </w:pPr>
      <w:r>
        <w:rPr>
          <w:rFonts w:ascii="宋体" w:hAnsi="宋体" w:eastAsia="宋体"/>
          <w:b w:val="0"/>
          <w:sz w:val="24"/>
        </w:rPr>
        <w:t>国网国际公司作为国家电网有限公司国际化业务运营和境外资产管理的重要平台，承担境外投资运营、国际能源合作及境外企业管理等重要职责。随着境外业务不断发展，公司管理对象涵盖投资平台、全资控股公司、参股公司等多种类型主体，涉及不同国家和地区，管理链条不断延伸，对总部跨层级、跨区域、跨主体的内部控制管理能力提出更高要求。</w:t>
      </w:r>
    </w:p>
    <w:p>
      <w:pPr>
        <w:spacing w:line="360" w:lineRule="auto"/>
        <w:ind w:firstLine="420"/>
      </w:pPr>
      <w:r>
        <w:rPr>
          <w:rFonts w:ascii="宋体" w:hAnsi="宋体" w:eastAsia="宋体"/>
          <w:b w:val="0"/>
          <w:sz w:val="24"/>
        </w:rPr>
        <w:t>当前，国际公司已具备一定内部控制管理基础，但面对境外经营主体多元化、治理模式差异化以及业务环境复杂化的发展趋势，仍需进一步提升内控体系对境外经营活动的穿透支撑能力。通过完善穿透式内控制度体系、梳理优化内控业务流程、建立差异化风险控制矩阵、强化信息化规则支撑，推动监管要求向境外经营主体和关键业务环节有效传导，逐步形成符合国际公司境外业务特点的穿透式监管内控体系，实现看得清风险、管得住过程、压得实责任、实现数字化监督的管理目标。</w:t>
      </w:r>
    </w:p>
    <w:p>
      <w:pPr>
        <w:pStyle w:val="Heading1"/>
      </w:pPr>
      <w:r>
        <w:rPr>
          <w:rFonts w:ascii="黑体" w:hAnsi="黑体" w:eastAsia="黑体"/>
        </w:rPr>
        <w:t>二、建设实施规划</w:t>
      </w:r>
    </w:p>
    <w:p>
      <w:pPr>
        <w:spacing w:line="360" w:lineRule="auto"/>
        <w:ind w:firstLine="420"/>
      </w:pPr>
      <w:r>
        <w:rPr>
          <w:rFonts w:ascii="宋体" w:hAnsi="宋体" w:eastAsia="宋体"/>
          <w:b w:val="0"/>
          <w:sz w:val="24"/>
        </w:rPr>
        <w:t>围绕提升总部对境外经营活动的穿透式监管能力，按照夯实体系基础、深化重点领域、实现闭环运行的总体路径，分三年推进内控体系优化提升。建设坚持以风险为牵引，以业务名录和权责事项为基础，以境内外实际运行情况为依据，逐步形成覆盖重点领域、适应境外业务特点的内控管理体系。</w:t>
      </w:r>
    </w:p>
    <w:p>
      <w:pPr>
        <w:pStyle w:val="Heading2"/>
      </w:pPr>
      <w:r>
        <w:rPr>
          <w:rFonts w:ascii="黑体" w:hAnsi="黑体" w:eastAsia="黑体"/>
        </w:rPr>
        <w:t>（一）2026年：夯实体系基础，形成首批成果</w:t>
      </w:r>
    </w:p>
    <w:p>
      <w:pPr>
        <w:spacing w:line="360" w:lineRule="auto"/>
        <w:ind w:firstLine="420"/>
      </w:pPr>
      <w:r>
        <w:rPr>
          <w:rFonts w:ascii="宋体" w:hAnsi="宋体" w:eastAsia="宋体"/>
          <w:b w:val="0"/>
          <w:sz w:val="24"/>
        </w:rPr>
        <w:t>聚焦财务资产、股权投资、物资服务采购三个重点领域，完成现状调研、风险识别、内控标准设计和制度流程衔接，形成首批可执行、可检查的内控成果，为后续扩面建设和数字化应用奠定基础。控制标准编制参照中国中化内部控制标准体例，达到同等深度，颗粒度可适度细化。</w:t>
      </w:r>
    </w:p>
    <w:p>
      <w:pPr>
        <w:spacing w:line="360" w:lineRule="auto"/>
        <w:ind w:firstLine="420"/>
      </w:pPr>
      <w:r>
        <w:rPr>
          <w:rFonts w:ascii="宋体" w:hAnsi="宋体" w:eastAsia="宋体"/>
          <w:b w:val="0"/>
          <w:sz w:val="24"/>
        </w:rPr>
        <w:t>本年度工作以控制标准建设为边界，不开展控制规则、风险指标及KRI监控模型设计。调研访谈安排上，财务资产和股权投资以总部职能部门和归口管理流程为主；物资服务采购须同步组织境外经营单位开展专题访谈和流程穿行，重点识别境外采购授权、供应商管理、采购方式选择等方面的个性化管理需求，在统一标准框架下预留差异化应用空间，避免标准过严导致境外单位无法执行。</w:t>
      </w:r>
    </w:p>
    <w:p>
      <w:pPr>
        <w:pStyle w:val="Heading2"/>
      </w:pPr>
      <w:r>
        <w:rPr>
          <w:rFonts w:ascii="黑体" w:hAnsi="黑体" w:eastAsia="黑体"/>
        </w:rPr>
        <w:t>（二）2027年：深化重点领域，提升穿透能力</w:t>
      </w:r>
    </w:p>
    <w:p>
      <w:pPr>
        <w:spacing w:line="360" w:lineRule="auto"/>
        <w:ind w:firstLine="420"/>
      </w:pPr>
      <w:r>
        <w:rPr>
          <w:rFonts w:ascii="宋体" w:hAnsi="宋体" w:eastAsia="宋体"/>
          <w:b w:val="0"/>
          <w:sz w:val="24"/>
        </w:rPr>
        <w:t>在首批三个领域控制标准落地基础上，拓展合同管理、员工报账、职工福利保障与薪酬、数字化与研发投入、设备（资产）管理、营销售电六个重点领域，同步完成上述领域内控标准建设，推动内控要求与业务流程、权责管理深度融合，完善境外单位分类管理和权责适用机制。</w:t>
      </w:r>
    </w:p>
    <w:p>
      <w:pPr>
        <w:spacing w:line="360" w:lineRule="auto"/>
        <w:ind w:firstLine="420"/>
      </w:pPr>
      <w:r>
        <w:rPr>
          <w:rFonts w:ascii="宋体" w:hAnsi="宋体" w:eastAsia="宋体"/>
          <w:b w:val="0"/>
          <w:sz w:val="24"/>
        </w:rPr>
        <w:t>本年度在控制标准建设基础上，对2026年已完成的财务资产、股权投资、物资服务采购三个领域，开展控制规则细化、风险指标设计及KRI关键风险指标监控要求编制，形成可嵌入业务系统和日常管理的规则模型与监控体系；规则模型建设须结合数据可得性开展离线验证，确保指标可监测、预警可处置。</w:t>
      </w:r>
    </w:p>
    <w:p>
      <w:pPr>
        <w:pStyle w:val="Heading2"/>
      </w:pPr>
      <w:r>
        <w:rPr>
          <w:rFonts w:ascii="黑体" w:hAnsi="黑体" w:eastAsia="黑体"/>
        </w:rPr>
        <w:t>（三）2028年：完成体系覆盖，实现闭环运行</w:t>
      </w:r>
    </w:p>
    <w:p>
      <w:pPr>
        <w:spacing w:line="360" w:lineRule="auto"/>
        <w:ind w:firstLine="420"/>
      </w:pPr>
      <w:r>
        <w:rPr>
          <w:rFonts w:ascii="宋体" w:hAnsi="宋体" w:eastAsia="宋体"/>
          <w:b w:val="0"/>
          <w:sz w:val="24"/>
        </w:rPr>
        <w:t>完成交易与购电、电网基建、配网工程、特高压建设及组织人事与劳动用工等剩余领域内控标准及规则指标建设，对前两年成果结合试运行和制度修订开展复核更新，纳入统一内控标准库管理。</w:t>
      </w:r>
    </w:p>
    <w:p>
      <w:pPr>
        <w:spacing w:line="360" w:lineRule="auto"/>
        <w:ind w:firstLine="420"/>
      </w:pPr>
      <w:r>
        <w:rPr>
          <w:rFonts w:ascii="宋体" w:hAnsi="宋体" w:eastAsia="宋体"/>
          <w:b w:val="0"/>
          <w:sz w:val="24"/>
        </w:rPr>
        <w:t>本年度重点推进内控管理信息化平台功能设计、规则配置、试点上线及运行评价，将控制标准、控制规则、风险指标及KRI监控要求嵌入信息化平台，建设穿透式内控监控展示平台；对暂不具备系统接入条件的境外单位，设置线下补充填报或定期报送的过渡机制，形成风险识别、预警、核查、整改、评价和持续优化的闭环运行机制。</w:t>
      </w:r>
    </w:p>
    <w:p>
      <w:pPr>
        <w:pStyle w:val="Heading1"/>
      </w:pPr>
      <w:r>
        <w:rPr>
          <w:rFonts w:ascii="黑体" w:hAnsi="黑体" w:eastAsia="黑体"/>
        </w:rPr>
        <w:t>三、总体建设思路</w:t>
      </w:r>
    </w:p>
    <w:p>
      <w:pPr>
        <w:spacing w:line="360" w:lineRule="auto"/>
        <w:ind w:firstLine="420"/>
      </w:pPr>
      <w:r>
        <w:rPr>
          <w:rFonts w:ascii="宋体" w:hAnsi="宋体" w:eastAsia="宋体"/>
          <w:b w:val="0"/>
          <w:sz w:val="24"/>
        </w:rPr>
        <w:t>以风险为牵引设计内控标准。围绕各领域业务流程、管理事项和关键风险，结合总部与境外单位的权责边界，形成与风险相匹配的控制要求；通过将控制要求嵌入业务运行，提升对关键业务、关键环节和关键责任主体的穿透管理能力。</w:t>
      </w:r>
    </w:p>
    <w:p>
      <w:pPr>
        <w:spacing w:line="360" w:lineRule="auto"/>
        <w:ind w:firstLine="420"/>
      </w:pPr>
      <w:r>
        <w:rPr>
          <w:rFonts w:ascii="宋体" w:hAnsi="宋体" w:eastAsia="宋体"/>
          <w:b w:val="0"/>
          <w:sz w:val="24"/>
        </w:rPr>
        <w:t>内控标准按照统一结构和统一口径编制，参照中国中化内部控制标准体例，按价值主张、主要风险、不相容职责、关键控制要求等要素组织内容，保持各领域建设成果可比、可衔接；在具体设计中根据业务特点、单位类型和属地要求进行分类细化，确保标准既守住总部管理底线，又符合境外经营实际。</w:t>
      </w:r>
    </w:p>
    <w:p>
      <w:pPr>
        <w:spacing w:line="360" w:lineRule="auto"/>
        <w:ind w:firstLine="420"/>
      </w:pPr>
      <w:r>
        <w:rPr>
          <w:rFonts w:ascii="宋体" w:hAnsi="宋体" w:eastAsia="宋体"/>
          <w:b w:val="0"/>
          <w:sz w:val="24"/>
        </w:rPr>
        <w:t>权限手册作为本项目的重要基础资料，用于明确业务边界、管理事项、行权主体及适用单位，并支撑业务范围确定、风险识别、访谈抽样、控制责任划分和成果验收。权限手册不直接替代内控标准，需进一步映射为业务事项、风险事项、控制要求和责任主体。</w:t>
      </w:r>
    </w:p>
    <w:p>
      <w:pPr>
        <w:spacing w:line="360" w:lineRule="auto"/>
        <w:ind w:firstLine="420"/>
      </w:pPr>
      <w:r>
        <w:rPr>
          <w:rFonts w:ascii="宋体" w:hAnsi="宋体" w:eastAsia="宋体"/>
          <w:b w:val="0"/>
          <w:sz w:val="24"/>
        </w:rPr>
        <w:t>按照控制标准、控制规则、指标监控、系统上线分步推进的建设节奏，第一年优先完成首批领域控制标准并开展试运行，尽快形成可见成果；第二年拓展更多领域并补齐规则与指标；第三年完成剩余领域建设并实现线上化运行，确保体系建设节奏与境外经营管理实际相匹配。</w:t>
      </w:r>
    </w:p>
    <w:p>
      <w:pPr>
        <w:pStyle w:val="Heading1"/>
      </w:pPr>
      <w:r>
        <w:rPr>
          <w:rFonts w:ascii="黑体" w:hAnsi="黑体" w:eastAsia="黑体"/>
        </w:rPr>
        <w:t>四、重点任务及交付成果</w:t>
      </w:r>
    </w:p>
    <w:p>
      <w:pPr>
        <w:pStyle w:val="Heading2"/>
      </w:pPr>
      <w:r>
        <w:rPr>
          <w:rFonts w:ascii="黑体" w:hAnsi="黑体" w:eastAsia="黑体"/>
        </w:rPr>
        <w:t>第一阶段（2026年）：完成顶层设计和首批内控标准建设</w:t>
      </w:r>
    </w:p>
    <w:p>
      <w:pPr>
        <w:spacing w:line="360" w:lineRule="auto"/>
        <w:ind w:firstLine="420"/>
      </w:pPr>
      <w:r>
        <w:rPr>
          <w:rFonts w:ascii="宋体" w:hAnsi="宋体" w:eastAsia="宋体"/>
          <w:b w:val="0"/>
          <w:sz w:val="24"/>
        </w:rPr>
        <w:t>年度目标：完成财务资产、股权投资、物资服务采购三个领域的风险识别和内控标准建设，形成三年建设路线、制度流程优化建议及首批成果试运行安排。</w:t>
      </w:r>
    </w:p>
    <w:p>
      <w:pPr>
        <w:spacing w:line="360" w:lineRule="auto"/>
        <w:ind w:firstLine="420"/>
      </w:pPr>
      <w:r>
        <w:rPr>
          <w:rFonts w:ascii="宋体" w:hAnsi="宋体" w:eastAsia="宋体"/>
          <w:b w:val="0"/>
          <w:sz w:val="24"/>
        </w:rPr>
        <w:t>本年度不编制控制规则、风险指标及KRI监控要求，聚焦控制标准这一核心成果，同步推进内控管理办法修订和首批领域相关制度优化，确保标准与制度相互衔接。</w:t>
      </w:r>
    </w:p>
    <w:p>
      <w:pPr>
        <w:spacing w:line="360" w:lineRule="auto"/>
        <w:ind w:firstLine="420"/>
      </w:pPr>
      <w:r>
        <w:rPr>
          <w:rFonts w:ascii="宋体" w:hAnsi="宋体" w:eastAsia="宋体"/>
          <w:b/>
          <w:sz w:val="24"/>
        </w:rPr>
        <w:t>任务一：开展项目启动、业务范围确认和资料准备</w:t>
      </w:r>
    </w:p>
    <w:p>
      <w:pPr>
        <w:spacing w:line="360" w:lineRule="auto"/>
        <w:ind w:firstLine="420"/>
      </w:pPr>
      <w:r>
        <w:rPr>
          <w:rFonts w:ascii="宋体" w:hAnsi="宋体" w:eastAsia="宋体"/>
          <w:b w:val="0"/>
          <w:sz w:val="24"/>
        </w:rPr>
        <w:t>任务目标：建立统一工作机制，明确建设范围、资料基础和访谈安排。</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建立项目组、周例会和问题协调机制，明确内控牵头部门、业务部门、境外单位联络人员及项目组职责。</w:t>
      </w:r>
    </w:p>
    <w:p>
      <w:pPr>
        <w:pStyle w:val="ListNumber"/>
        <w:spacing w:line="360" w:lineRule="auto"/>
      </w:pPr>
      <w:r>
        <w:rPr>
          <w:rFonts w:ascii="宋体" w:hAnsi="宋体" w:eastAsia="宋体"/>
          <w:sz w:val="24"/>
        </w:rPr>
        <w:t>以权限手册为基础，梳理财务资产、股权投资、物资服务采购领域的专业领域、业务层级、管理事项、行权主体和适用单位，形成首批建设范围清单，并标注与国网总部矩阵领域的对应关系。</w:t>
      </w:r>
    </w:p>
    <w:p>
      <w:pPr>
        <w:pStyle w:val="ListNumber"/>
        <w:spacing w:line="360" w:lineRule="auto"/>
      </w:pPr>
      <w:r>
        <w:rPr>
          <w:rFonts w:ascii="宋体" w:hAnsi="宋体" w:eastAsia="宋体"/>
          <w:sz w:val="24"/>
        </w:rPr>
        <w:t>下发资料清单，收集制度流程、授权文件、台账样表、检查问题、典型案例和业务数据；对缺失资料逐项跟踪。</w:t>
      </w:r>
    </w:p>
    <w:p>
      <w:pPr>
        <w:pStyle w:val="ListNumber"/>
        <w:spacing w:line="360" w:lineRule="auto"/>
      </w:pPr>
      <w:r>
        <w:rPr>
          <w:rFonts w:ascii="宋体" w:hAnsi="宋体" w:eastAsia="宋体"/>
          <w:sz w:val="24"/>
        </w:rPr>
        <w:t>形成访谈计划和样本抽取方案，明确总部访谈对象、境外采购专题访谈单位、时间安排和重点问题。</w:t>
      </w:r>
    </w:p>
    <w:p>
      <w:pPr>
        <w:spacing w:line="360" w:lineRule="auto"/>
        <w:ind w:firstLine="420"/>
      </w:pPr>
      <w:r>
        <w:rPr>
          <w:rFonts w:ascii="宋体" w:hAnsi="宋体" w:eastAsia="宋体"/>
          <w:b w:val="0"/>
          <w:sz w:val="24"/>
        </w:rPr>
        <w:t>实施要求：建立资料收集台账和访谈问题台账，按周核对资料完整性、确认访谈结论和关闭待办事项；对范围争议或关键资料缺失事项提交项目例会协调。</w:t>
      </w:r>
    </w:p>
    <w:p>
      <w:pPr>
        <w:spacing w:line="360" w:lineRule="auto"/>
        <w:ind w:firstLine="420"/>
      </w:pPr>
      <w:r>
        <w:rPr>
          <w:rFonts w:ascii="宋体" w:hAnsi="宋体" w:eastAsia="宋体"/>
          <w:b w:val="0"/>
          <w:sz w:val="24"/>
        </w:rPr>
        <w:t>形成成果：项目实施细化计划、首批领域范围清单、资料台账、访谈及抽样计划。</w:t>
      </w:r>
    </w:p>
    <w:p>
      <w:pPr>
        <w:spacing w:line="360" w:lineRule="auto"/>
        <w:ind w:firstLine="420"/>
      </w:pPr>
      <w:r>
        <w:rPr>
          <w:rFonts w:ascii="宋体" w:hAnsi="宋体" w:eastAsia="宋体"/>
          <w:b w:val="0"/>
          <w:sz w:val="24"/>
        </w:rPr>
        <w:t>完成时间：2026年6月</w:t>
      </w:r>
    </w:p>
    <w:p>
      <w:pPr>
        <w:spacing w:line="360" w:lineRule="auto"/>
        <w:ind w:firstLine="420"/>
      </w:pPr>
      <w:r>
        <w:rPr>
          <w:rFonts w:ascii="宋体" w:hAnsi="宋体" w:eastAsia="宋体"/>
          <w:b/>
          <w:sz w:val="24"/>
        </w:rPr>
        <w:t>任务二：开展总部调研与境外采购专题调研</w:t>
      </w:r>
    </w:p>
    <w:p>
      <w:pPr>
        <w:spacing w:line="360" w:lineRule="auto"/>
        <w:ind w:firstLine="420"/>
      </w:pPr>
      <w:r>
        <w:rPr>
          <w:rFonts w:ascii="宋体" w:hAnsi="宋体" w:eastAsia="宋体"/>
          <w:b w:val="0"/>
          <w:sz w:val="24"/>
        </w:rPr>
        <w:t>任务目标：摸清业务实际运行、权责边界和境外差异。</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围绕财务资产、股权投资、物资服务采购分别组织总部访谈，采用流程图核对、样本抽查和问题追问方式，核实制度、权责和实际操作的一致性。</w:t>
      </w:r>
    </w:p>
    <w:p>
      <w:pPr>
        <w:pStyle w:val="ListNumber"/>
        <w:spacing w:line="360" w:lineRule="auto"/>
      </w:pPr>
      <w:r>
        <w:rPr>
          <w:rFonts w:ascii="宋体" w:hAnsi="宋体" w:eastAsia="宋体"/>
          <w:sz w:val="24"/>
        </w:rPr>
        <w:t>对财务资产和股权投资重点核实总部集中管理事项、所属单位配合事项、审批授权链条及信息报送机制。</w:t>
      </w:r>
    </w:p>
    <w:p>
      <w:pPr>
        <w:pStyle w:val="ListNumber"/>
        <w:spacing w:line="360" w:lineRule="auto"/>
      </w:pPr>
      <w:r>
        <w:rPr>
          <w:rFonts w:ascii="宋体" w:hAnsi="宋体" w:eastAsia="宋体"/>
          <w:sz w:val="24"/>
        </w:rPr>
        <w:t>选择具有代表性的境外单位开展采购专题访谈和流程穿行，覆盖采购需求、供应商管理、采购组织、合同执行、验收和结算等环节。</w:t>
      </w:r>
    </w:p>
    <w:p>
      <w:pPr>
        <w:pStyle w:val="ListNumber"/>
        <w:spacing w:line="360" w:lineRule="auto"/>
      </w:pPr>
      <w:r>
        <w:rPr>
          <w:rFonts w:ascii="宋体" w:hAnsi="宋体" w:eastAsia="宋体"/>
          <w:sz w:val="24"/>
        </w:rPr>
        <w:t>梳理属地法规、市场惯例、紧急采购、采购权限和证据获取方式等差异，区分总部统一底线、境外可选操作方式和例外审批事项。</w:t>
      </w:r>
    </w:p>
    <w:p>
      <w:pPr>
        <w:spacing w:line="360" w:lineRule="auto"/>
        <w:ind w:firstLine="420"/>
      </w:pPr>
      <w:r>
        <w:rPr>
          <w:rFonts w:ascii="宋体" w:hAnsi="宋体" w:eastAsia="宋体"/>
          <w:b w:val="0"/>
          <w:sz w:val="24"/>
        </w:rPr>
        <w:t>实施要求：每次访谈结束后形成访谈纪要和待确认事项，向受访部门回传核对；对抽取样本保留流程凭证、审批记录和差异说明，确保调研结论可追溯。</w:t>
      </w:r>
    </w:p>
    <w:p>
      <w:pPr>
        <w:spacing w:line="360" w:lineRule="auto"/>
        <w:ind w:firstLine="420"/>
      </w:pPr>
      <w:r>
        <w:rPr>
          <w:rFonts w:ascii="宋体" w:hAnsi="宋体" w:eastAsia="宋体"/>
          <w:b w:val="0"/>
          <w:sz w:val="24"/>
        </w:rPr>
        <w:t>形成成果：总部访谈纪要、境外采购流程穿行记录、现状问题清单、境外差异事项清单。</w:t>
      </w:r>
    </w:p>
    <w:p>
      <w:pPr>
        <w:spacing w:line="360" w:lineRule="auto"/>
        <w:ind w:firstLine="420"/>
      </w:pPr>
      <w:r>
        <w:rPr>
          <w:rFonts w:ascii="宋体" w:hAnsi="宋体" w:eastAsia="宋体"/>
          <w:b w:val="0"/>
          <w:sz w:val="24"/>
        </w:rPr>
        <w:t>完成时间：2026年7月</w:t>
      </w:r>
    </w:p>
    <w:p>
      <w:pPr>
        <w:spacing w:line="360" w:lineRule="auto"/>
        <w:ind w:firstLine="420"/>
      </w:pPr>
      <w:r>
        <w:rPr>
          <w:rFonts w:ascii="宋体" w:hAnsi="宋体" w:eastAsia="宋体"/>
          <w:b/>
          <w:sz w:val="24"/>
        </w:rPr>
        <w:t>任务三：编制顶层设计和三年建设路线</w:t>
      </w:r>
    </w:p>
    <w:p>
      <w:pPr>
        <w:spacing w:line="360" w:lineRule="auto"/>
        <w:ind w:firstLine="420"/>
      </w:pPr>
      <w:r>
        <w:rPr>
          <w:rFonts w:ascii="宋体" w:hAnsi="宋体" w:eastAsia="宋体"/>
          <w:b w:val="0"/>
          <w:sz w:val="24"/>
        </w:rPr>
        <w:t>任务目标：明确建设目标、年度安排和成果管理机制。</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汇总业务范围、权责清单、调研发现和境外差异事项，评估各领域风险水平、境外参与度、管理成熟度和数据基础。</w:t>
      </w:r>
    </w:p>
    <w:p>
      <w:pPr>
        <w:pStyle w:val="ListNumber"/>
        <w:spacing w:line="360" w:lineRule="auto"/>
      </w:pPr>
      <w:r>
        <w:rPr>
          <w:rFonts w:ascii="宋体" w:hAnsi="宋体" w:eastAsia="宋体"/>
          <w:sz w:val="24"/>
        </w:rPr>
        <w:t>明确年度建设顺序：2026年完成财务资产、股权投资、物资服务采购三个领域控制标准；2027年完成合同管理、员工报账、职工福利保障与薪酬、数字化与研发投入、设备（资产）管理、营销售电六个领域控制标准，并同步开展首批三个领域的规则与KRI建设；2028年完成交易与购电、电网基建、配网工程、特高压建设、组织人事与劳动用工等剩余领域及系统上线。迁改项目、抽蓄项目因境外不适配，暂不纳入三年计划。</w:t>
      </w:r>
    </w:p>
    <w:p>
      <w:pPr>
        <w:pStyle w:val="ListNumber"/>
        <w:spacing w:line="360" w:lineRule="auto"/>
      </w:pPr>
      <w:r>
        <w:rPr>
          <w:rFonts w:ascii="宋体" w:hAnsi="宋体" w:eastAsia="宋体"/>
          <w:sz w:val="24"/>
        </w:rPr>
        <w:t>明确内控组织职责、成果模板、版本管理、境外差异管理、规则模型建设和线上化推进路径。</w:t>
      </w:r>
    </w:p>
    <w:p>
      <w:pPr>
        <w:pStyle w:val="ListNumber"/>
        <w:spacing w:line="360" w:lineRule="auto"/>
      </w:pPr>
      <w:r>
        <w:rPr>
          <w:rFonts w:ascii="宋体" w:hAnsi="宋体" w:eastAsia="宋体"/>
          <w:sz w:val="24"/>
        </w:rPr>
        <w:t>组织管理层及主要业务部门评审，固化年度工作包、里程碑、责任分工和验收标准。</w:t>
      </w:r>
    </w:p>
    <w:p>
      <w:pPr>
        <w:spacing w:line="360" w:lineRule="auto"/>
        <w:ind w:firstLine="420"/>
      </w:pPr>
      <w:r>
        <w:rPr>
          <w:rFonts w:ascii="宋体" w:hAnsi="宋体" w:eastAsia="宋体"/>
          <w:b w:val="0"/>
          <w:sz w:val="24"/>
        </w:rPr>
        <w:t>实施要求：对每项年度工作包明确输入资料、主要动作、阶段成果、牵头部门、配合部门和验收口径，并形成可用于项目管理的里程碑计划表。</w:t>
      </w:r>
    </w:p>
    <w:p>
      <w:pPr>
        <w:spacing w:line="360" w:lineRule="auto"/>
        <w:ind w:firstLine="420"/>
      </w:pPr>
      <w:r>
        <w:rPr>
          <w:rFonts w:ascii="宋体" w:hAnsi="宋体" w:eastAsia="宋体"/>
          <w:b w:val="0"/>
          <w:sz w:val="24"/>
        </w:rPr>
        <w:t>形成成果：顶层设计方案、三年建设路线图、年度工作包及验收标准。</w:t>
      </w:r>
    </w:p>
    <w:p>
      <w:pPr>
        <w:spacing w:line="360" w:lineRule="auto"/>
        <w:ind w:firstLine="420"/>
      </w:pPr>
      <w:r>
        <w:rPr>
          <w:rFonts w:ascii="宋体" w:hAnsi="宋体" w:eastAsia="宋体"/>
          <w:b w:val="0"/>
          <w:sz w:val="24"/>
        </w:rPr>
        <w:t>完成时间：2026年8月</w:t>
      </w:r>
    </w:p>
    <w:p>
      <w:pPr>
        <w:spacing w:line="360" w:lineRule="auto"/>
        <w:ind w:firstLine="420"/>
      </w:pPr>
      <w:r>
        <w:rPr>
          <w:rFonts w:ascii="宋体" w:hAnsi="宋体" w:eastAsia="宋体"/>
          <w:b/>
          <w:sz w:val="24"/>
        </w:rPr>
        <w:t>任务四：开展风险识别并设计首批内控标准</w:t>
      </w:r>
    </w:p>
    <w:p>
      <w:pPr>
        <w:spacing w:line="360" w:lineRule="auto"/>
        <w:ind w:firstLine="420"/>
      </w:pPr>
      <w:r>
        <w:rPr>
          <w:rFonts w:ascii="宋体" w:hAnsi="宋体" w:eastAsia="宋体"/>
          <w:b w:val="0"/>
          <w:sz w:val="24"/>
        </w:rPr>
        <w:t>任务目标：以风险为牵引形成财务资产、股权投资、物资服务采购领域内控标准。</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以权限手册业务事项和管理事项为基础，梳理业务流程及关键环节，形成业务事项—权责主体—适用单位清单。</w:t>
      </w:r>
    </w:p>
    <w:p>
      <w:pPr>
        <w:pStyle w:val="ListNumber"/>
        <w:spacing w:line="360" w:lineRule="auto"/>
      </w:pPr>
      <w:r>
        <w:rPr>
          <w:rFonts w:ascii="宋体" w:hAnsi="宋体" w:eastAsia="宋体"/>
          <w:sz w:val="24"/>
        </w:rPr>
        <w:t>结合制度流程、检查问题、访谈结果和典型案例，识别重点风险、现有控制措施及控制薄弱点。</w:t>
      </w:r>
    </w:p>
    <w:p>
      <w:pPr>
        <w:pStyle w:val="ListNumber"/>
        <w:spacing w:line="360" w:lineRule="auto"/>
      </w:pPr>
      <w:r>
        <w:rPr>
          <w:rFonts w:ascii="宋体" w:hAnsi="宋体" w:eastAsia="宋体"/>
          <w:sz w:val="24"/>
        </w:rPr>
        <w:t>参照中国中化内部控制标准体例，围绕重点风险明确控制目标和控制要求，细化总部与境外单位的责任分工、授权边界、执行方式和留痕要求。</w:t>
      </w:r>
    </w:p>
    <w:p>
      <w:pPr>
        <w:pStyle w:val="ListNumber"/>
        <w:spacing w:line="360" w:lineRule="auto"/>
      </w:pPr>
      <w:r>
        <w:rPr>
          <w:rFonts w:ascii="宋体" w:hAnsi="宋体" w:eastAsia="宋体"/>
          <w:sz w:val="24"/>
        </w:rPr>
        <w:t>将控制要求与制度条款、流程节点和权责事项逐项映射，识别缺失、重复和冲突项。</w:t>
      </w:r>
    </w:p>
    <w:p>
      <w:pPr>
        <w:pStyle w:val="ListNumber"/>
        <w:spacing w:line="360" w:lineRule="auto"/>
      </w:pPr>
      <w:r>
        <w:rPr>
          <w:rFonts w:ascii="宋体" w:hAnsi="宋体" w:eastAsia="宋体"/>
          <w:sz w:val="24"/>
        </w:rPr>
        <w:t>组织业务部门、内控部门及境外代表评审，重点就采购领域境外适用性组织专题研讨，修改完善后形成定稿。</w:t>
      </w:r>
    </w:p>
    <w:p>
      <w:pPr>
        <w:spacing w:line="360" w:lineRule="auto"/>
        <w:ind w:firstLine="420"/>
      </w:pPr>
      <w:r>
        <w:rPr>
          <w:rFonts w:ascii="宋体" w:hAnsi="宋体" w:eastAsia="宋体"/>
          <w:b w:val="0"/>
          <w:sz w:val="24"/>
        </w:rPr>
        <w:t>实施要求：对每项重点风险形成风险描述、风险成因、影响对象、现有控制、拟优化控制和责任主体六项记录；对控制要求逐项验证是否具备制度依据、执行主体和可留存证据。</w:t>
      </w:r>
    </w:p>
    <w:p>
      <w:pPr>
        <w:spacing w:line="360" w:lineRule="auto"/>
        <w:ind w:firstLine="420"/>
      </w:pPr>
      <w:r>
        <w:rPr>
          <w:rFonts w:ascii="宋体" w:hAnsi="宋体" w:eastAsia="宋体"/>
          <w:b w:val="0"/>
          <w:sz w:val="24"/>
        </w:rPr>
        <w:t>形成成果：财务资产、股权投资、物资服务采购内控标准，业务事项—风险—控制要求—责任主体对应表，境外差异化控制要求说明。</w:t>
      </w:r>
    </w:p>
    <w:p>
      <w:pPr>
        <w:spacing w:line="360" w:lineRule="auto"/>
        <w:ind w:firstLine="420"/>
      </w:pPr>
      <w:r>
        <w:rPr>
          <w:rFonts w:ascii="宋体" w:hAnsi="宋体" w:eastAsia="宋体"/>
          <w:b w:val="0"/>
          <w:sz w:val="24"/>
        </w:rPr>
        <w:t>完成时间：2026年10月</w:t>
      </w:r>
    </w:p>
    <w:p>
      <w:pPr>
        <w:spacing w:line="360" w:lineRule="auto"/>
        <w:ind w:firstLine="420"/>
      </w:pPr>
      <w:r>
        <w:rPr>
          <w:rFonts w:ascii="宋体" w:hAnsi="宋体" w:eastAsia="宋体"/>
          <w:b/>
          <w:sz w:val="24"/>
        </w:rPr>
        <w:t>任务五：开展制度流程衔接与首批成果试运行</w:t>
      </w:r>
    </w:p>
    <w:p>
      <w:pPr>
        <w:spacing w:line="360" w:lineRule="auto"/>
        <w:ind w:firstLine="420"/>
      </w:pPr>
      <w:r>
        <w:rPr>
          <w:rFonts w:ascii="宋体" w:hAnsi="宋体" w:eastAsia="宋体"/>
          <w:b w:val="0"/>
          <w:sz w:val="24"/>
        </w:rPr>
        <w:t>任务目标：推动内控标准进入业务管理和运行验证。</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逐条比对控制要求与现行制度、流程文件及权责事项，形成制度流程优化清单和责任部门清单。</w:t>
      </w:r>
    </w:p>
    <w:p>
      <w:pPr>
        <w:pStyle w:val="ListNumber"/>
        <w:spacing w:line="360" w:lineRule="auto"/>
      </w:pPr>
      <w:r>
        <w:rPr>
          <w:rFonts w:ascii="宋体" w:hAnsi="宋体" w:eastAsia="宋体"/>
          <w:sz w:val="24"/>
        </w:rPr>
        <w:t>组织跨部门评审，对执行成本、属地适用性、证据可得性和例外管理机制进行论证。</w:t>
      </w:r>
    </w:p>
    <w:p>
      <w:pPr>
        <w:pStyle w:val="ListNumber"/>
        <w:spacing w:line="360" w:lineRule="auto"/>
      </w:pPr>
      <w:r>
        <w:rPr>
          <w:rFonts w:ascii="宋体" w:hAnsi="宋体" w:eastAsia="宋体"/>
          <w:sz w:val="24"/>
        </w:rPr>
        <w:t>选择总部及1至2家代表性境外单位开展标准解读和小范围试运行，建立问题反馈及整改台账。</w:t>
      </w:r>
    </w:p>
    <w:p>
      <w:pPr>
        <w:pStyle w:val="ListNumber"/>
        <w:spacing w:line="360" w:lineRule="auto"/>
      </w:pPr>
      <w:r>
        <w:rPr>
          <w:rFonts w:ascii="宋体" w:hAnsi="宋体" w:eastAsia="宋体"/>
          <w:sz w:val="24"/>
        </w:rPr>
        <w:t>依据试运行结果更新标准、制度优化建议和版本维护要求。</w:t>
      </w:r>
    </w:p>
    <w:p>
      <w:pPr>
        <w:spacing w:line="360" w:lineRule="auto"/>
        <w:ind w:firstLine="420"/>
      </w:pPr>
      <w:r>
        <w:rPr>
          <w:rFonts w:ascii="宋体" w:hAnsi="宋体" w:eastAsia="宋体"/>
          <w:b w:val="0"/>
          <w:sz w:val="24"/>
        </w:rPr>
        <w:t>实施要求：试运行期间按周收集执行反馈，重点记录控制要求是否清晰、责任是否明确、证据是否可获得及境外单位是否可执行；对问题逐项确定修改责任人和完成时限。</w:t>
      </w:r>
    </w:p>
    <w:p>
      <w:pPr>
        <w:spacing w:line="360" w:lineRule="auto"/>
        <w:ind w:firstLine="420"/>
      </w:pPr>
      <w:r>
        <w:rPr>
          <w:rFonts w:ascii="宋体" w:hAnsi="宋体" w:eastAsia="宋体"/>
          <w:b w:val="0"/>
          <w:sz w:val="24"/>
        </w:rPr>
        <w:t>形成成果：制度流程优化清单、首批标准评审纪要、试运行报告、版本管理清单。</w:t>
      </w:r>
    </w:p>
    <w:p>
      <w:pPr>
        <w:spacing w:line="360" w:lineRule="auto"/>
        <w:ind w:firstLine="420"/>
      </w:pPr>
      <w:r>
        <w:rPr>
          <w:rFonts w:ascii="宋体" w:hAnsi="宋体" w:eastAsia="宋体"/>
          <w:b w:val="0"/>
          <w:sz w:val="24"/>
        </w:rPr>
        <w:t>完成时间：2026年12月</w:t>
      </w:r>
    </w:p>
    <w:p>
      <w:pPr>
        <w:pStyle w:val="Heading2"/>
      </w:pPr>
      <w:r>
        <w:rPr>
          <w:rFonts w:ascii="黑体" w:hAnsi="黑体" w:eastAsia="黑体"/>
        </w:rPr>
        <w:t>第二阶段（2027年）：扩大重点领域覆盖并建设规则模型</w:t>
      </w:r>
    </w:p>
    <w:p>
      <w:pPr>
        <w:spacing w:line="360" w:lineRule="auto"/>
        <w:ind w:firstLine="420"/>
      </w:pPr>
      <w:r>
        <w:rPr>
          <w:rFonts w:ascii="宋体" w:hAnsi="宋体" w:eastAsia="宋体"/>
          <w:b w:val="0"/>
          <w:sz w:val="24"/>
        </w:rPr>
        <w:t>年度目标：完成第二批六个重点领域内控标准建设，形成财务资产、股权投资、物资服务采购领域规则模型和KRI监控要求，完善境外单位分类管理机制。</w:t>
      </w:r>
    </w:p>
    <w:p>
      <w:pPr>
        <w:spacing w:line="360" w:lineRule="auto"/>
        <w:ind w:firstLine="420"/>
      </w:pPr>
      <w:r>
        <w:rPr>
          <w:rFonts w:ascii="宋体" w:hAnsi="宋体" w:eastAsia="宋体"/>
          <w:b/>
          <w:sz w:val="24"/>
        </w:rPr>
        <w:t>任务六：建设第二批重点领域内控标准</w:t>
      </w:r>
    </w:p>
    <w:p>
      <w:pPr>
        <w:spacing w:line="360" w:lineRule="auto"/>
        <w:ind w:firstLine="420"/>
      </w:pPr>
      <w:r>
        <w:rPr>
          <w:rFonts w:ascii="宋体" w:hAnsi="宋体" w:eastAsia="宋体"/>
          <w:b w:val="0"/>
          <w:sz w:val="24"/>
        </w:rPr>
        <w:t>任务目标：完成合同管理、员工报账、职工福利保障与薪酬、数字化与研发投入、设备（资产）管理、营销售电领域的风险识别和标准设计。</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按领域编制调研方案，明确总部访谈、境外专题访谈、资料收集、流程穿行和样本核验安排。</w:t>
      </w:r>
    </w:p>
    <w:p>
      <w:pPr>
        <w:pStyle w:val="ListNumber"/>
        <w:spacing w:line="360" w:lineRule="auto"/>
      </w:pPr>
      <w:r>
        <w:rPr>
          <w:rFonts w:ascii="宋体" w:hAnsi="宋体" w:eastAsia="宋体"/>
          <w:sz w:val="24"/>
        </w:rPr>
        <w:t>以业务名录和权限手册为基础梳理业务事项、管理事项及总部—境外单位权责边界。</w:t>
      </w:r>
    </w:p>
    <w:p>
      <w:pPr>
        <w:pStyle w:val="ListNumber"/>
        <w:spacing w:line="360" w:lineRule="auto"/>
      </w:pPr>
      <w:r>
        <w:rPr>
          <w:rFonts w:ascii="宋体" w:hAnsi="宋体" w:eastAsia="宋体"/>
          <w:sz w:val="24"/>
        </w:rPr>
        <w:t>识别关键业务场景、主要风险和薄弱环节，形成风险清单和控制点清单。</w:t>
      </w:r>
    </w:p>
    <w:p>
      <w:pPr>
        <w:pStyle w:val="ListNumber"/>
        <w:spacing w:line="360" w:lineRule="auto"/>
      </w:pPr>
      <w:r>
        <w:rPr>
          <w:rFonts w:ascii="宋体" w:hAnsi="宋体" w:eastAsia="宋体"/>
          <w:sz w:val="24"/>
        </w:rPr>
        <w:t>围绕风险设计控制要求，并对属地差异事项明确适用条件、审批层级及替代控制措施。</w:t>
      </w:r>
    </w:p>
    <w:p>
      <w:pPr>
        <w:pStyle w:val="ListNumber"/>
        <w:spacing w:line="360" w:lineRule="auto"/>
      </w:pPr>
      <w:r>
        <w:rPr>
          <w:rFonts w:ascii="宋体" w:hAnsi="宋体" w:eastAsia="宋体"/>
          <w:sz w:val="24"/>
        </w:rPr>
        <w:t>分领域组织评审、确认和版本发布。</w:t>
      </w:r>
    </w:p>
    <w:p>
      <w:pPr>
        <w:spacing w:line="360" w:lineRule="auto"/>
        <w:ind w:firstLine="420"/>
      </w:pPr>
      <w:r>
        <w:rPr>
          <w:rFonts w:ascii="宋体" w:hAnsi="宋体" w:eastAsia="宋体"/>
          <w:b w:val="0"/>
          <w:sz w:val="24"/>
        </w:rPr>
        <w:t>实施要求：每个领域至少形成业务流程图、权责界面表、风险清单、控制点清单和境外差异清单，并通过业务部门书面确认后纳入标准文本。</w:t>
      </w:r>
    </w:p>
    <w:p>
      <w:pPr>
        <w:spacing w:line="360" w:lineRule="auto"/>
        <w:ind w:firstLine="420"/>
      </w:pPr>
      <w:r>
        <w:rPr>
          <w:rFonts w:ascii="宋体" w:hAnsi="宋体" w:eastAsia="宋体"/>
          <w:b w:val="0"/>
          <w:sz w:val="24"/>
        </w:rPr>
        <w:t>形成成果：第二批六个领域内控标准、风险与控制点清单、境外差异事项清单。</w:t>
      </w:r>
    </w:p>
    <w:p>
      <w:pPr>
        <w:spacing w:line="360" w:lineRule="auto"/>
        <w:ind w:firstLine="420"/>
      </w:pPr>
      <w:r>
        <w:rPr>
          <w:rFonts w:ascii="宋体" w:hAnsi="宋体" w:eastAsia="宋体"/>
          <w:b w:val="0"/>
          <w:sz w:val="24"/>
        </w:rPr>
        <w:t>完成时间：2027年8月</w:t>
      </w:r>
    </w:p>
    <w:p>
      <w:pPr>
        <w:spacing w:line="360" w:lineRule="auto"/>
        <w:ind w:firstLine="420"/>
      </w:pPr>
      <w:r>
        <w:rPr>
          <w:rFonts w:ascii="宋体" w:hAnsi="宋体" w:eastAsia="宋体"/>
          <w:b/>
          <w:sz w:val="24"/>
        </w:rPr>
        <w:t>任务七：建设首批规则模型和KRI监控要求</w:t>
      </w:r>
    </w:p>
    <w:p>
      <w:pPr>
        <w:spacing w:line="360" w:lineRule="auto"/>
        <w:ind w:firstLine="420"/>
      </w:pPr>
      <w:r>
        <w:rPr>
          <w:rFonts w:ascii="宋体" w:hAnsi="宋体" w:eastAsia="宋体"/>
          <w:b w:val="0"/>
          <w:sz w:val="24"/>
        </w:rPr>
        <w:t>任务目标：将成熟控制点转化为可监测、可预警的规则和指标。</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从财务资产、股权投资、物资服务采购标准中筛选数据可得、可重复核验且风险影响较大的控制点。</w:t>
      </w:r>
    </w:p>
    <w:p>
      <w:pPr>
        <w:pStyle w:val="ListNumber"/>
        <w:spacing w:line="360" w:lineRule="auto"/>
      </w:pPr>
      <w:r>
        <w:rPr>
          <w:rFonts w:ascii="宋体" w:hAnsi="宋体" w:eastAsia="宋体"/>
          <w:sz w:val="24"/>
        </w:rPr>
        <w:t>梳理业务、财务、采购等系统和台账的数据来源、字段口径、更新频率、数据质量和责任部门。</w:t>
      </w:r>
    </w:p>
    <w:p>
      <w:pPr>
        <w:pStyle w:val="ListNumber"/>
        <w:spacing w:line="360" w:lineRule="auto"/>
      </w:pPr>
      <w:r>
        <w:rPr>
          <w:rFonts w:ascii="宋体" w:hAnsi="宋体" w:eastAsia="宋体"/>
          <w:sz w:val="24"/>
        </w:rPr>
        <w:t>明确规则触发逻辑、KRI计算口径、阈值、预警等级、接收对象、核查时限和整改关闭标准。</w:t>
      </w:r>
    </w:p>
    <w:p>
      <w:pPr>
        <w:pStyle w:val="ListNumber"/>
        <w:spacing w:line="360" w:lineRule="auto"/>
      </w:pPr>
      <w:r>
        <w:rPr>
          <w:rFonts w:ascii="宋体" w:hAnsi="宋体" w:eastAsia="宋体"/>
          <w:sz w:val="24"/>
        </w:rPr>
        <w:t>对物资服务采购领域规则指标开展境外适用性校验，确保监控要求与境外数据获取能力和管理权限相匹配。</w:t>
      </w:r>
    </w:p>
    <w:p>
      <w:pPr>
        <w:pStyle w:val="ListNumber"/>
        <w:spacing w:line="360" w:lineRule="auto"/>
      </w:pPr>
      <w:r>
        <w:rPr>
          <w:rFonts w:ascii="宋体" w:hAnsi="宋体" w:eastAsia="宋体"/>
          <w:sz w:val="24"/>
        </w:rPr>
        <w:t>选择具备数据基础的单位开展离线验证和试运行，记录误报、漏报及数据缺失问题并优化。</w:t>
      </w:r>
    </w:p>
    <w:p>
      <w:pPr>
        <w:spacing w:line="360" w:lineRule="auto"/>
        <w:ind w:firstLine="420"/>
      </w:pPr>
      <w:r>
        <w:rPr>
          <w:rFonts w:ascii="宋体" w:hAnsi="宋体" w:eastAsia="宋体"/>
          <w:b w:val="0"/>
          <w:sz w:val="24"/>
        </w:rPr>
        <w:t>实施要求：规则验证应使用历史数据或实际业务样本，逐项测试触发准确性、阈值合理性、预警接收对象和处置时限；形成测试记录并经业务和数据责任部门共同确认。</w:t>
      </w:r>
    </w:p>
    <w:p>
      <w:pPr>
        <w:spacing w:line="360" w:lineRule="auto"/>
        <w:ind w:firstLine="420"/>
      </w:pPr>
      <w:r>
        <w:rPr>
          <w:rFonts w:ascii="宋体" w:hAnsi="宋体" w:eastAsia="宋体"/>
          <w:b w:val="0"/>
          <w:sz w:val="24"/>
        </w:rPr>
        <w:t>形成成果：规则模型清单、KRI监控清单、数据映射表、预警处置流程、试运行报告。</w:t>
      </w:r>
    </w:p>
    <w:p>
      <w:pPr>
        <w:spacing w:line="360" w:lineRule="auto"/>
        <w:ind w:firstLine="420"/>
      </w:pPr>
      <w:r>
        <w:rPr>
          <w:rFonts w:ascii="宋体" w:hAnsi="宋体" w:eastAsia="宋体"/>
          <w:b w:val="0"/>
          <w:sz w:val="24"/>
        </w:rPr>
        <w:t>完成时间：2027年10月</w:t>
      </w:r>
    </w:p>
    <w:p>
      <w:pPr>
        <w:spacing w:line="360" w:lineRule="auto"/>
        <w:ind w:firstLine="420"/>
      </w:pPr>
      <w:r>
        <w:rPr>
          <w:rFonts w:ascii="宋体" w:hAnsi="宋体" w:eastAsia="宋体"/>
          <w:b/>
          <w:sz w:val="24"/>
        </w:rPr>
        <w:t>任务八：完善境外单位分类管理机制</w:t>
      </w:r>
    </w:p>
    <w:p>
      <w:pPr>
        <w:spacing w:line="360" w:lineRule="auto"/>
        <w:ind w:firstLine="420"/>
      </w:pPr>
      <w:r>
        <w:rPr>
          <w:rFonts w:ascii="宋体" w:hAnsi="宋体" w:eastAsia="宋体"/>
          <w:b w:val="0"/>
          <w:sz w:val="24"/>
        </w:rPr>
        <w:t>任务目标：固化不同境外主体的控制适用与监督方式。</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按投资平台、全资控股公司、参股公司和项目公司等类型梳理总部管控、境外自主、报备和例外事项。</w:t>
      </w:r>
    </w:p>
    <w:p>
      <w:pPr>
        <w:pStyle w:val="ListNumber"/>
        <w:spacing w:line="360" w:lineRule="auto"/>
      </w:pPr>
      <w:r>
        <w:rPr>
          <w:rFonts w:ascii="宋体" w:hAnsi="宋体" w:eastAsia="宋体"/>
          <w:sz w:val="24"/>
        </w:rPr>
        <w:t>将内控标准映射到不同单位类型，形成控制标准适用矩阵，明确控制强度、证据要求和监督方式。</w:t>
      </w:r>
    </w:p>
    <w:p>
      <w:pPr>
        <w:pStyle w:val="ListNumber"/>
        <w:spacing w:line="360" w:lineRule="auto"/>
      </w:pPr>
      <w:r>
        <w:rPr>
          <w:rFonts w:ascii="宋体" w:hAnsi="宋体" w:eastAsia="宋体"/>
          <w:sz w:val="24"/>
        </w:rPr>
        <w:t>建立属地法规变化、重大经营事项、风险事件和例外事项的报送、复核和更新流程。</w:t>
      </w:r>
    </w:p>
    <w:p>
      <w:pPr>
        <w:pStyle w:val="ListNumber"/>
        <w:spacing w:line="360" w:lineRule="auto"/>
      </w:pPr>
      <w:r>
        <w:rPr>
          <w:rFonts w:ascii="宋体" w:hAnsi="宋体" w:eastAsia="宋体"/>
          <w:sz w:val="24"/>
        </w:rPr>
        <w:t>明确总部统筹、业务主责、境外执行、内控监督的协同机制。</w:t>
      </w:r>
    </w:p>
    <w:p>
      <w:pPr>
        <w:spacing w:line="360" w:lineRule="auto"/>
        <w:ind w:firstLine="420"/>
      </w:pPr>
      <w:r>
        <w:rPr>
          <w:rFonts w:ascii="宋体" w:hAnsi="宋体" w:eastAsia="宋体"/>
          <w:b w:val="0"/>
          <w:sz w:val="24"/>
        </w:rPr>
        <w:t>实施要求：对每类单位明确适用的控制标准、总部监督频率、例外报批路径和信息报送要求；将差异事项纳入动态维护台账，明确触发更新的情形和责任部门。</w:t>
      </w:r>
    </w:p>
    <w:p>
      <w:pPr>
        <w:spacing w:line="360" w:lineRule="auto"/>
        <w:ind w:firstLine="420"/>
      </w:pPr>
      <w:r>
        <w:rPr>
          <w:rFonts w:ascii="宋体" w:hAnsi="宋体" w:eastAsia="宋体"/>
          <w:b w:val="0"/>
          <w:sz w:val="24"/>
        </w:rPr>
        <w:t>形成成果：境外单位分类管理指引、控制标准适用矩阵、差异事项维护机制。</w:t>
      </w:r>
    </w:p>
    <w:p>
      <w:pPr>
        <w:spacing w:line="360" w:lineRule="auto"/>
        <w:ind w:firstLine="420"/>
      </w:pPr>
      <w:r>
        <w:rPr>
          <w:rFonts w:ascii="宋体" w:hAnsi="宋体" w:eastAsia="宋体"/>
          <w:b w:val="0"/>
          <w:sz w:val="24"/>
        </w:rPr>
        <w:t>完成时间：2027年12月</w:t>
      </w:r>
    </w:p>
    <w:p>
      <w:pPr>
        <w:pStyle w:val="Heading2"/>
      </w:pPr>
      <w:r>
        <w:rPr>
          <w:rFonts w:ascii="黑体" w:hAnsi="黑体" w:eastAsia="黑体"/>
        </w:rPr>
        <w:t>第三阶段（2028年）：完成剩余领域建设并实现线上化运行</w:t>
      </w:r>
    </w:p>
    <w:p>
      <w:pPr>
        <w:spacing w:line="360" w:lineRule="auto"/>
        <w:ind w:firstLine="420"/>
      </w:pPr>
      <w:r>
        <w:rPr>
          <w:rFonts w:ascii="宋体" w:hAnsi="宋体" w:eastAsia="宋体"/>
          <w:b w:val="0"/>
          <w:sz w:val="24"/>
        </w:rPr>
        <w:t>年度目标：完成交易与购电、电网基建、配网工程、特高压建设、组织人事与劳动用工等剩余领域内控标准及规则指标建设，推进平台化应用和闭环运行。</w:t>
      </w:r>
    </w:p>
    <w:p>
      <w:pPr>
        <w:spacing w:line="360" w:lineRule="auto"/>
        <w:ind w:firstLine="420"/>
      </w:pPr>
      <w:r>
        <w:rPr>
          <w:rFonts w:ascii="宋体" w:hAnsi="宋体" w:eastAsia="宋体"/>
          <w:b/>
          <w:sz w:val="24"/>
        </w:rPr>
        <w:t>任务九：补充剩余领域内控标准并完善标准库</w:t>
      </w:r>
    </w:p>
    <w:p>
      <w:pPr>
        <w:spacing w:line="360" w:lineRule="auto"/>
        <w:ind w:firstLine="420"/>
      </w:pPr>
      <w:r>
        <w:rPr>
          <w:rFonts w:ascii="宋体" w:hAnsi="宋体" w:eastAsia="宋体"/>
          <w:b w:val="0"/>
          <w:sz w:val="24"/>
        </w:rPr>
        <w:t>任务目标：实现管理领域覆盖并保持标准持续更新。</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依据风险评估、管理成熟度和线上化优先级，确定交易与购电、电网基建、配网工程、特高压建设、组织人事与劳动用工等剩余领域的建设批次，结合境外项目实际开展调研。</w:t>
      </w:r>
    </w:p>
    <w:p>
      <w:pPr>
        <w:pStyle w:val="ListNumber"/>
        <w:spacing w:line="360" w:lineRule="auto"/>
      </w:pPr>
      <w:r>
        <w:rPr>
          <w:rFonts w:ascii="宋体" w:hAnsi="宋体" w:eastAsia="宋体"/>
          <w:sz w:val="24"/>
        </w:rPr>
        <w:t>按业务范围确认、风险识别、控制设计、业务评审和版本发布的统一步骤完成标准及规则指标建设。</w:t>
      </w:r>
    </w:p>
    <w:p>
      <w:pPr>
        <w:pStyle w:val="ListNumber"/>
        <w:spacing w:line="360" w:lineRule="auto"/>
      </w:pPr>
      <w:r>
        <w:rPr>
          <w:rFonts w:ascii="宋体" w:hAnsi="宋体" w:eastAsia="宋体"/>
          <w:sz w:val="24"/>
        </w:rPr>
        <w:t>对前两年控制标准结合试运行、制度修订和境外业务变化开展复核更新。</w:t>
      </w:r>
    </w:p>
    <w:p>
      <w:pPr>
        <w:pStyle w:val="ListNumber"/>
        <w:spacing w:line="360" w:lineRule="auto"/>
      </w:pPr>
      <w:r>
        <w:rPr>
          <w:rFonts w:ascii="宋体" w:hAnsi="宋体" w:eastAsia="宋体"/>
          <w:sz w:val="24"/>
        </w:rPr>
        <w:t>将全部成果纳入统一标准库，统一编号、适用范围、版本、生效日期和维护责任。</w:t>
      </w:r>
    </w:p>
    <w:p>
      <w:pPr>
        <w:spacing w:line="360" w:lineRule="auto"/>
        <w:ind w:firstLine="420"/>
      </w:pPr>
      <w:r>
        <w:rPr>
          <w:rFonts w:ascii="宋体" w:hAnsi="宋体" w:eastAsia="宋体"/>
          <w:b w:val="0"/>
          <w:sz w:val="24"/>
        </w:rPr>
        <w:t>实施要求：标准入库前开展完整性和一致性检查，核验编号、适用范围、风险描述、控制要求、责任主体、版本及制度流程映射是否齐全。</w:t>
      </w:r>
    </w:p>
    <w:p>
      <w:pPr>
        <w:spacing w:line="360" w:lineRule="auto"/>
        <w:ind w:firstLine="420"/>
      </w:pPr>
      <w:r>
        <w:rPr>
          <w:rFonts w:ascii="宋体" w:hAnsi="宋体" w:eastAsia="宋体"/>
          <w:b w:val="0"/>
          <w:sz w:val="24"/>
        </w:rPr>
        <w:t>形成成果：内控标准库、全领域规则指标体系、版本管理台账、年度更新说明。</w:t>
      </w:r>
    </w:p>
    <w:p>
      <w:pPr>
        <w:spacing w:line="360" w:lineRule="auto"/>
        <w:ind w:firstLine="420"/>
      </w:pPr>
      <w:r>
        <w:rPr>
          <w:rFonts w:ascii="宋体" w:hAnsi="宋体" w:eastAsia="宋体"/>
          <w:b w:val="0"/>
          <w:sz w:val="24"/>
        </w:rPr>
        <w:t>完成时间：2028年6月</w:t>
      </w:r>
    </w:p>
    <w:p>
      <w:pPr>
        <w:spacing w:line="360" w:lineRule="auto"/>
        <w:ind w:firstLine="420"/>
      </w:pPr>
      <w:r>
        <w:rPr>
          <w:rFonts w:ascii="宋体" w:hAnsi="宋体" w:eastAsia="宋体"/>
          <w:b/>
          <w:sz w:val="24"/>
        </w:rPr>
        <w:t>任务十：推进内控线上化功能建设</w:t>
      </w:r>
    </w:p>
    <w:p>
      <w:pPr>
        <w:spacing w:line="360" w:lineRule="auto"/>
        <w:ind w:firstLine="420"/>
      </w:pPr>
      <w:r>
        <w:rPr>
          <w:rFonts w:ascii="宋体" w:hAnsi="宋体" w:eastAsia="宋体"/>
          <w:b w:val="0"/>
          <w:sz w:val="24"/>
        </w:rPr>
        <w:t>任务目标：建立支持标准维护、规则配置和预警闭环的线上能力。</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梳理控制标准维护、规则配置、数据采集、预警处置、整改跟踪、例外审批和管理看板功能需求。</w:t>
      </w:r>
    </w:p>
    <w:p>
      <w:pPr>
        <w:pStyle w:val="ListNumber"/>
        <w:spacing w:line="360" w:lineRule="auto"/>
      </w:pPr>
      <w:r>
        <w:rPr>
          <w:rFonts w:ascii="宋体" w:hAnsi="宋体" w:eastAsia="宋体"/>
          <w:sz w:val="24"/>
        </w:rPr>
        <w:t>明确系统接口、字段口径、数据责任、权限角色、日志留存及运维分工。</w:t>
      </w:r>
    </w:p>
    <w:p>
      <w:pPr>
        <w:pStyle w:val="ListNumber"/>
        <w:spacing w:line="360" w:lineRule="auto"/>
      </w:pPr>
      <w:r>
        <w:rPr>
          <w:rFonts w:ascii="宋体" w:hAnsi="宋体" w:eastAsia="宋体"/>
          <w:sz w:val="24"/>
        </w:rPr>
        <w:t>优先配置财务资产、股权投资、物资服务采购等数据基础较好领域的规则和KRI，再逐步覆盖其他领域。</w:t>
      </w:r>
    </w:p>
    <w:p>
      <w:pPr>
        <w:pStyle w:val="ListNumber"/>
        <w:spacing w:line="360" w:lineRule="auto"/>
      </w:pPr>
      <w:r>
        <w:rPr>
          <w:rFonts w:ascii="宋体" w:hAnsi="宋体" w:eastAsia="宋体"/>
          <w:sz w:val="24"/>
        </w:rPr>
        <w:t>对暂不具备接入条件的境外单位，设置线下补充填报、定期报送或替代证据的过渡机制。</w:t>
      </w:r>
    </w:p>
    <w:p>
      <w:pPr>
        <w:pStyle w:val="ListNumber"/>
        <w:spacing w:line="360" w:lineRule="auto"/>
      </w:pPr>
      <w:r>
        <w:rPr>
          <w:rFonts w:ascii="宋体" w:hAnsi="宋体" w:eastAsia="宋体"/>
          <w:sz w:val="24"/>
        </w:rPr>
        <w:t>研究AI在风险识别、异常监测、控制评价和监督分析等方面的应用场景，提出分阶段落地建议。</w:t>
      </w:r>
    </w:p>
    <w:p>
      <w:pPr>
        <w:spacing w:line="360" w:lineRule="auto"/>
        <w:ind w:firstLine="420"/>
      </w:pPr>
      <w:r>
        <w:rPr>
          <w:rFonts w:ascii="宋体" w:hAnsi="宋体" w:eastAsia="宋体"/>
          <w:b w:val="0"/>
          <w:sz w:val="24"/>
        </w:rPr>
        <w:t>实施要求：功能开发和规则配置完成后组织业务、内控、信息化及境外使用单位联合测试，逐项确认数据口径、权限分配、预警流程和异常处理方式。</w:t>
      </w:r>
    </w:p>
    <w:p>
      <w:pPr>
        <w:spacing w:line="360" w:lineRule="auto"/>
        <w:ind w:firstLine="420"/>
      </w:pPr>
      <w:r>
        <w:rPr>
          <w:rFonts w:ascii="宋体" w:hAnsi="宋体" w:eastAsia="宋体"/>
          <w:b w:val="0"/>
          <w:sz w:val="24"/>
        </w:rPr>
        <w:t>形成成果：线上化建设方案、功能需求说明、数据接口及字段清单、规则配置清单。</w:t>
      </w:r>
    </w:p>
    <w:p>
      <w:pPr>
        <w:spacing w:line="360" w:lineRule="auto"/>
        <w:ind w:firstLine="420"/>
      </w:pPr>
      <w:r>
        <w:rPr>
          <w:rFonts w:ascii="宋体" w:hAnsi="宋体" w:eastAsia="宋体"/>
          <w:b w:val="0"/>
          <w:sz w:val="24"/>
        </w:rPr>
        <w:t>完成时间：2028年9月</w:t>
      </w:r>
    </w:p>
    <w:p>
      <w:pPr>
        <w:spacing w:line="360" w:lineRule="auto"/>
        <w:ind w:firstLine="420"/>
      </w:pPr>
      <w:r>
        <w:rPr>
          <w:rFonts w:ascii="宋体" w:hAnsi="宋体" w:eastAsia="宋体"/>
          <w:b/>
          <w:sz w:val="24"/>
        </w:rPr>
        <w:t>任务十一：组织试点上线、评价和持续优化</w:t>
      </w:r>
    </w:p>
    <w:p>
      <w:pPr>
        <w:spacing w:line="360" w:lineRule="auto"/>
        <w:ind w:firstLine="420"/>
      </w:pPr>
      <w:r>
        <w:rPr>
          <w:rFonts w:ascii="宋体" w:hAnsi="宋体" w:eastAsia="宋体"/>
          <w:b w:val="0"/>
          <w:sz w:val="24"/>
        </w:rPr>
        <w:t>任务目标：验证线上化运行效果并形成常态化机制。</w:t>
      </w:r>
    </w:p>
    <w:p>
      <w:pPr>
        <w:spacing w:line="360" w:lineRule="auto"/>
        <w:ind w:firstLine="420"/>
      </w:pPr>
      <w:r>
        <w:rPr>
          <w:rFonts w:ascii="宋体" w:hAnsi="宋体" w:eastAsia="宋体"/>
          <w:b w:val="0"/>
          <w:sz w:val="24"/>
        </w:rPr>
        <w:t>实施步骤：</w:t>
      </w:r>
    </w:p>
    <w:p>
      <w:pPr>
        <w:pStyle w:val="ListNumber"/>
        <w:spacing w:line="360" w:lineRule="auto"/>
      </w:pPr>
      <w:r>
        <w:rPr>
          <w:rFonts w:ascii="宋体" w:hAnsi="宋体" w:eastAsia="宋体"/>
          <w:sz w:val="24"/>
        </w:rPr>
        <w:t>选择总部和代表性境外单位开展试点，明确上线范围、操作手册、培训计划和支持机制。</w:t>
      </w:r>
    </w:p>
    <w:p>
      <w:pPr>
        <w:pStyle w:val="ListNumber"/>
        <w:spacing w:line="360" w:lineRule="auto"/>
      </w:pPr>
      <w:r>
        <w:rPr>
          <w:rFonts w:ascii="宋体" w:hAnsi="宋体" w:eastAsia="宋体"/>
          <w:sz w:val="24"/>
        </w:rPr>
        <w:t>按标准调用、规则触发、预警推送、核查处置、整改关闭和看板展示开展全流程测试。</w:t>
      </w:r>
    </w:p>
    <w:p>
      <w:pPr>
        <w:pStyle w:val="ListNumber"/>
        <w:spacing w:line="360" w:lineRule="auto"/>
      </w:pPr>
      <w:r>
        <w:rPr>
          <w:rFonts w:ascii="宋体" w:hAnsi="宋体" w:eastAsia="宋体"/>
          <w:sz w:val="24"/>
        </w:rPr>
        <w:t>建设穿透式内控监控展示平台，实现关键业务流程、控制执行情况、风险指标及预警事项的动态监测与可视化展示。</w:t>
      </w:r>
    </w:p>
    <w:p>
      <w:pPr>
        <w:pStyle w:val="ListNumber"/>
        <w:spacing w:line="360" w:lineRule="auto"/>
      </w:pPr>
      <w:r>
        <w:rPr>
          <w:rFonts w:ascii="宋体" w:hAnsi="宋体" w:eastAsia="宋体"/>
          <w:sz w:val="24"/>
        </w:rPr>
        <w:t>建立问题台账，按数据质量、规则准确性、权限设置、操作便利性和境外适用性分类整改并复测。</w:t>
      </w:r>
    </w:p>
    <w:p>
      <w:pPr>
        <w:pStyle w:val="ListNumber"/>
        <w:spacing w:line="360" w:lineRule="auto"/>
      </w:pPr>
      <w:r>
        <w:rPr>
          <w:rFonts w:ascii="宋体" w:hAnsi="宋体" w:eastAsia="宋体"/>
          <w:sz w:val="24"/>
        </w:rPr>
        <w:t>形成运行评价结果，推动控制标准、规则模型、制度流程和系统功能持续迭代。</w:t>
      </w:r>
    </w:p>
    <w:p>
      <w:pPr>
        <w:spacing w:line="360" w:lineRule="auto"/>
        <w:ind w:firstLine="420"/>
      </w:pPr>
      <w:r>
        <w:rPr>
          <w:rFonts w:ascii="宋体" w:hAnsi="宋体" w:eastAsia="宋体"/>
          <w:b w:val="0"/>
          <w:sz w:val="24"/>
        </w:rPr>
        <w:t>实施要求：试点期设置日常支持和周度复盘机制，汇总系统问题、业务问题和管理机制问题；试点验收前对问题整改情况、用户使用情况和预警处置闭环情况进行检查。</w:t>
      </w:r>
    </w:p>
    <w:p>
      <w:pPr>
        <w:spacing w:line="360" w:lineRule="auto"/>
        <w:ind w:firstLine="420"/>
      </w:pPr>
      <w:r>
        <w:rPr>
          <w:rFonts w:ascii="宋体" w:hAnsi="宋体" w:eastAsia="宋体"/>
          <w:b w:val="0"/>
          <w:sz w:val="24"/>
        </w:rPr>
        <w:t>形成成果：试点上线报告、穿透式内控监控展示平台、问题整改台账、内控运行评价报告、持续优化机制。</w:t>
      </w:r>
    </w:p>
    <w:p>
      <w:pPr>
        <w:spacing w:line="360" w:lineRule="auto"/>
        <w:ind w:firstLine="420"/>
      </w:pPr>
      <w:r>
        <w:rPr>
          <w:rFonts w:ascii="宋体" w:hAnsi="宋体" w:eastAsia="宋体"/>
          <w:b w:val="0"/>
          <w:sz w:val="24"/>
        </w:rPr>
        <w:t>完成时间：2028年12月</w:t>
      </w:r>
    </w:p>
    <w:p>
      <w:pPr>
        <w:pStyle w:val="Heading1"/>
      </w:pPr>
      <w:r>
        <w:rPr>
          <w:rFonts w:ascii="黑体" w:hAnsi="黑体" w:eastAsia="黑体"/>
        </w:rPr>
        <w:t>附：三年领域建设安排一览表</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年度</w:t>
            </w:r>
          </w:p>
        </w:tc>
        <w:tc>
          <w:tcPr>
            <w:tcW w:type="dxa" w:w="1728"/>
          </w:tcPr>
          <w:p>
            <w:r>
              <w:t>建设领域</w:t>
            </w:r>
          </w:p>
        </w:tc>
        <w:tc>
          <w:tcPr>
            <w:tcW w:type="dxa" w:w="1728"/>
          </w:tcPr>
          <w:p>
            <w:r>
              <w:t>对应总部矩阵</w:t>
            </w:r>
          </w:p>
        </w:tc>
        <w:tc>
          <w:tcPr>
            <w:tcW w:type="dxa" w:w="1728"/>
          </w:tcPr>
          <w:p>
            <w:r>
              <w:t>主要成果</w:t>
            </w:r>
          </w:p>
        </w:tc>
        <w:tc>
          <w:tcPr>
            <w:tcW w:type="dxa" w:w="1728"/>
          </w:tcPr>
          <w:p>
            <w:r>
              <w:t>境外调研重点</w:t>
            </w:r>
          </w:p>
        </w:tc>
      </w:tr>
      <w:tr>
        <w:tc>
          <w:tcPr>
            <w:tcW w:type="dxa" w:w="1728"/>
          </w:tcPr>
          <w:p>
            <w:r>
              <w:t>2026年</w:t>
            </w:r>
          </w:p>
        </w:tc>
        <w:tc>
          <w:tcPr>
            <w:tcW w:type="dxa" w:w="1728"/>
          </w:tcPr>
          <w:p>
            <w:r>
              <w:t>财务资产、股权投资、物资服务采购</w:t>
            </w:r>
          </w:p>
        </w:tc>
        <w:tc>
          <w:tcPr>
            <w:tcW w:type="dxa" w:w="1728"/>
          </w:tcPr>
          <w:p>
            <w:r>
              <w:t>财务管理、股权投资、物资服务采购</w:t>
            </w:r>
          </w:p>
        </w:tc>
        <w:tc>
          <w:tcPr>
            <w:tcW w:type="dxa" w:w="1728"/>
          </w:tcPr>
          <w:p>
            <w:r>
              <w:t>控制标准；顶层设计；制度修订；试运行</w:t>
            </w:r>
          </w:p>
        </w:tc>
        <w:tc>
          <w:tcPr>
            <w:tcW w:type="dxa" w:w="1728"/>
          </w:tcPr>
          <w:p>
            <w:r>
              <w:t>采购须组织境外团队深度参与；财务、投资以总部为主</w:t>
            </w:r>
          </w:p>
        </w:tc>
      </w:tr>
      <w:tr>
        <w:tc>
          <w:tcPr>
            <w:tcW w:type="dxa" w:w="1728"/>
          </w:tcPr>
          <w:p>
            <w:r>
              <w:t>2027年</w:t>
            </w:r>
          </w:p>
        </w:tc>
        <w:tc>
          <w:tcPr>
            <w:tcW w:type="dxa" w:w="1728"/>
          </w:tcPr>
          <w:p>
            <w:r>
              <w:t>合同管理、员工报账、职工福利保障与薪酬、数字化与研发投入、设备（资产）管理、营销售电</w:t>
            </w:r>
          </w:p>
        </w:tc>
        <w:tc>
          <w:tcPr>
            <w:tcW w:type="dxa" w:w="1728"/>
          </w:tcPr>
          <w:p>
            <w:r>
              <w:t>合同管理、员工报账、职工福利保障与薪酬、数字化与研发投入、设备（资产）管理、营销售电</w:t>
            </w:r>
          </w:p>
        </w:tc>
        <w:tc>
          <w:tcPr>
            <w:tcW w:type="dxa" w:w="1728"/>
          </w:tcPr>
          <w:p>
            <w:r>
              <w:t>第二批领域控制标准；首批三个领域规则模型与KRI指标</w:t>
            </w:r>
          </w:p>
        </w:tc>
        <w:tc>
          <w:tcPr>
            <w:tcW w:type="dxa" w:w="1728"/>
          </w:tcPr>
          <w:p>
            <w:r>
              <w:t>六个新增领域均开展总部与境外对比调研</w:t>
            </w:r>
          </w:p>
        </w:tc>
      </w:tr>
      <w:tr>
        <w:tc>
          <w:tcPr>
            <w:tcW w:type="dxa" w:w="1728"/>
          </w:tcPr>
          <w:p>
            <w:r>
              <w:t>2028年</w:t>
            </w:r>
          </w:p>
        </w:tc>
        <w:tc>
          <w:tcPr>
            <w:tcW w:type="dxa" w:w="1728"/>
          </w:tcPr>
          <w:p>
            <w:r>
              <w:t>交易与购电、电网基建、配网工程、特高压建设、组织人事与劳动用工</w:t>
            </w:r>
          </w:p>
        </w:tc>
        <w:tc>
          <w:tcPr>
            <w:tcW w:type="dxa" w:w="1728"/>
          </w:tcPr>
          <w:p>
            <w:r>
              <w:t>交易与购电、电网基建、配网工程、特高压建设等</w:t>
            </w:r>
          </w:p>
        </w:tc>
        <w:tc>
          <w:tcPr>
            <w:tcW w:type="dxa" w:w="1728"/>
          </w:tcPr>
          <w:p>
            <w:r>
              <w:t>剩余领域标准及规则指标；内控标准库；系统上线运行</w:t>
            </w:r>
          </w:p>
        </w:tc>
        <w:tc>
          <w:tcPr>
            <w:tcW w:type="dxa" w:w="1728"/>
          </w:tcPr>
          <w:p>
            <w:r>
              <w:t>电网业务领域结合境外项目实际开展调研</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