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穿透式监管导向下内控体系优化提升规划方案</w:t>
      </w:r>
    </w:p>
    <w:p>
      <w:pPr>
        <w:pStyle w:val="Heading1"/>
      </w:pPr>
      <w:r>
        <w:rPr>
          <w:rFonts w:ascii="黑体" w:hAnsi="黑体" w:eastAsia="黑体"/>
        </w:rPr>
        <w:t>一、建设背景</w:t>
      </w:r>
    </w:p>
    <w:p>
      <w:pPr>
        <w:spacing w:line="360" w:lineRule="auto"/>
        <w:ind w:firstLine="420"/>
      </w:pPr>
      <w:r>
        <w:rPr>
          <w:rFonts w:ascii="宋体" w:hAnsi="宋体" w:eastAsia="宋体"/>
          <w:b w:val="0"/>
          <w:sz w:val="24"/>
        </w:rPr>
        <w:t>近年来，国务院国资委持续推动中央企业监管模式向风险导向、过程管控和责任闭环转变，要求企业以内部控制体系建设为抓手强化穿透式监管能力，将监管要求嵌入经营管理全过程，实现对业务实质、关键环节和责任主体的有效管控。</w:t>
      </w:r>
    </w:p>
    <w:p>
      <w:pPr>
        <w:spacing w:line="360" w:lineRule="auto"/>
        <w:ind w:firstLine="420"/>
      </w:pPr>
      <w:r>
        <w:rPr>
          <w:rFonts w:ascii="宋体" w:hAnsi="宋体" w:eastAsia="宋体"/>
          <w:b w:val="0"/>
          <w:sz w:val="24"/>
        </w:rPr>
        <w:t>国网国际公司作为国家电网有限公司国际化业务运营和境外资产管理的重要平台，承担境外投资运营、国际能源合作及境外企业管理等重要职责。随着境外业务不断发展，公司管理对象涵盖投资平台、全资控股公司、参股公司等多种类型主体，涉及不同国家和地区，管理链条不断延伸，对总部跨层级、跨区域、跨主体的内部控制管理能力提出更高要求。</w:t>
      </w:r>
    </w:p>
    <w:p>
      <w:pPr>
        <w:spacing w:line="360" w:lineRule="auto"/>
        <w:ind w:firstLine="420"/>
      </w:pPr>
      <w:r>
        <w:rPr>
          <w:rFonts w:ascii="宋体" w:hAnsi="宋体" w:eastAsia="宋体"/>
          <w:b w:val="0"/>
          <w:sz w:val="24"/>
        </w:rPr>
        <w:t>当前，国际公司已具备一定内部控制管理基础，但面对境外经营主体多元化、治理模式差异化以及业务环境复杂化的发展趋势，仍需进一步提升内控体系对境外经营活动的穿透支撑能力。通过完善穿透式内控制度体系、梳理优化内控业务流程、建立差异化风险控制矩阵、强化信息化规则支撑，推动监管要求向境外经营主体和关键业务环节有效传导，逐步形成符合国际公司境外业务特点的穿透式监管内控体系，实现看得清风险、管得住过程、压得实责任、实现数字化监督的管理目标。</w:t>
      </w:r>
    </w:p>
    <w:p>
      <w:pPr>
        <w:pStyle w:val="Heading1"/>
      </w:pPr>
      <w:r>
        <w:rPr>
          <w:rFonts w:ascii="黑体" w:hAnsi="黑体" w:eastAsia="黑体"/>
        </w:rPr>
        <w:t>二、建设实施规划</w:t>
      </w:r>
    </w:p>
    <w:p>
      <w:pPr>
        <w:spacing w:line="360" w:lineRule="auto"/>
        <w:ind w:firstLine="420"/>
      </w:pPr>
      <w:r>
        <w:rPr>
          <w:rFonts w:ascii="宋体" w:hAnsi="宋体" w:eastAsia="宋体"/>
          <w:b w:val="0"/>
          <w:sz w:val="24"/>
        </w:rPr>
        <w:t>围绕以内部控制体系建设支撑穿透式监管能力提升的总体目标，结合国际公司境外业务特点，按照顶层设计、体系深化、数字赋能的建设路径，分阶段推进穿透式内控体系建设。通过三年建设，逐步构建覆盖全级次主体、贯通全业务流程、强化全过程管控、支撑动态监督评价的穿透式监管内控体系，实现内控管理由制度规范向价值创造和风险防控融合转变。</w:t>
      </w:r>
    </w:p>
    <w:p>
      <w:pPr>
        <w:pStyle w:val="Heading2"/>
      </w:pPr>
      <w:r>
        <w:rPr>
          <w:rFonts w:ascii="黑体" w:hAnsi="黑体" w:eastAsia="黑体"/>
        </w:rPr>
        <w:t>（一）2026年：夯实顶层设计，完成首批领域控制标准建设</w:t>
      </w:r>
    </w:p>
    <w:p>
      <w:pPr>
        <w:spacing w:line="360" w:lineRule="auto"/>
        <w:ind w:firstLine="420"/>
      </w:pPr>
      <w:r>
        <w:rPr>
          <w:rFonts w:ascii="宋体" w:hAnsi="宋体" w:eastAsia="宋体"/>
          <w:b w:val="0"/>
          <w:sz w:val="24"/>
        </w:rPr>
        <w:t>围绕统一管理理念、明确管控边界、完善制度标准，完成穿透式内控体系顶层设计，推动监管要求向内部控制体系有效转化，建立覆盖总部及境外经营主体的内控管理基础框架。首批聚焦财务管理、股权投资、物资服务采购三个通用业务领域，参照中国中化内部控制标准体系，编制达到同等深度、颗粒度可适度细化的控制标准，形成可执行、可检查、可评价的内控管理成果，为后续体系深化和能力提升奠定基础。</w:t>
      </w:r>
    </w:p>
    <w:p>
      <w:pPr>
        <w:spacing w:line="360" w:lineRule="auto"/>
        <w:ind w:firstLine="420"/>
      </w:pPr>
      <w:r>
        <w:rPr>
          <w:rFonts w:ascii="宋体" w:hAnsi="宋体" w:eastAsia="宋体"/>
          <w:b w:val="0"/>
          <w:sz w:val="24"/>
        </w:rPr>
        <w:t>本年度工作以控制标准建设为边界，不开展控制规则、风险指标及监控模型设计。在调研访谈安排上，财务管理、股权投资以总部职能部门和归口管理流程为主；物资服务采购须同步组织境外经营单位参与调研访谈，重点识别境外业务在采购授权、供应商管理、采购方式选择等方面的个性化管理需求，在统一标准框架下预留差异化应用空间，避免标准过严导致境外单位无法执行。</w:t>
      </w:r>
    </w:p>
    <w:p>
      <w:pPr>
        <w:pStyle w:val="Heading2"/>
      </w:pPr>
      <w:r>
        <w:rPr>
          <w:rFonts w:ascii="黑体" w:hAnsi="黑体" w:eastAsia="黑体"/>
        </w:rPr>
        <w:t>（二）2027年：拓展重点领域，构建规则模型与指标监控体系</w:t>
      </w:r>
    </w:p>
    <w:p>
      <w:pPr>
        <w:spacing w:line="360" w:lineRule="auto"/>
        <w:ind w:firstLine="420"/>
      </w:pPr>
      <w:r>
        <w:rPr>
          <w:rFonts w:ascii="宋体" w:hAnsi="宋体" w:eastAsia="宋体"/>
          <w:b w:val="0"/>
          <w:sz w:val="24"/>
        </w:rPr>
        <w:t>在首批三个领域控制标准落地基础上，拓展合同管理、员工报账、职工福利保障与薪酬、数字化与研发投入、设备（资产）管理、营销售电等六个重点领域，同步完成上述领域控制标准编制，并推动内控要求与经营管理深度融合，构建覆盖重点领域、关键环节和境外经营主体的风险控制体系。</w:t>
      </w:r>
    </w:p>
    <w:p>
      <w:pPr>
        <w:spacing w:line="360" w:lineRule="auto"/>
        <w:ind w:firstLine="420"/>
      </w:pPr>
      <w:r>
        <w:rPr>
          <w:rFonts w:ascii="宋体" w:hAnsi="宋体" w:eastAsia="宋体"/>
          <w:b w:val="0"/>
          <w:sz w:val="24"/>
        </w:rPr>
        <w:t>本年度在控制标准建设基础上，对2026年已完成的财务管理、股权投资、物资服务采购三个领域，开展控制规则细化、风险指标设计及KRI关键风险指标监控要求编制，形成可嵌入业务系统和日常管理的规则模型与监控体系，实现内部控制由制度约束向过程管控转变，提升总部对境外业务风险的识别、管控和监督能力。</w:t>
      </w:r>
    </w:p>
    <w:p>
      <w:pPr>
        <w:pStyle w:val="Heading2"/>
      </w:pPr>
      <w:r>
        <w:rPr>
          <w:rFonts w:ascii="黑体" w:hAnsi="黑体" w:eastAsia="黑体"/>
        </w:rPr>
        <w:t>（三）2028年：强化数字赋能，实现内控体系线上化运行</w:t>
      </w:r>
    </w:p>
    <w:p>
      <w:pPr>
        <w:spacing w:line="360" w:lineRule="auto"/>
        <w:ind w:firstLine="420"/>
      </w:pPr>
      <w:r>
        <w:rPr>
          <w:rFonts w:ascii="宋体" w:hAnsi="宋体" w:eastAsia="宋体"/>
          <w:b w:val="0"/>
          <w:sz w:val="24"/>
        </w:rPr>
        <w:t>围绕数字化、智能化发展方向，完成交易与购电、电网基建、配网工程、特高压建设等剩余电网业务领域控制标准及规则指标建设，推动内控规则与信息系统深度融合，形成基于数据驱动、动态监测和智能预警的内控运行机制。</w:t>
      </w:r>
    </w:p>
    <w:p>
      <w:pPr>
        <w:spacing w:line="360" w:lineRule="auto"/>
        <w:ind w:firstLine="420"/>
      </w:pPr>
      <w:r>
        <w:rPr>
          <w:rFonts w:ascii="宋体" w:hAnsi="宋体" w:eastAsia="宋体"/>
          <w:b w:val="0"/>
          <w:sz w:val="24"/>
        </w:rPr>
        <w:t>本年度重点推进内控管理信息化平台功能设计、规则配置、系统上线及运行评价，将制度要求、流程控制规则、风险指标及监控要求嵌入信息化平台，建设穿透式内控监控展示平台，实现关键业务流程、控制执行情况、风险指标及预警事项的动态监测与可视化展示，实现内部控制由人工监督向数字化管控转变，持续提升穿透式监管能力。</w:t>
      </w:r>
    </w:p>
    <w:p>
      <w:pPr>
        <w:pStyle w:val="Heading1"/>
      </w:pPr>
      <w:r>
        <w:rPr>
          <w:rFonts w:ascii="黑体" w:hAnsi="黑体" w:eastAsia="黑体"/>
        </w:rPr>
        <w:t>三、总体建设思路</w:t>
      </w:r>
    </w:p>
    <w:p>
      <w:pPr>
        <w:spacing w:line="360" w:lineRule="auto"/>
        <w:ind w:firstLine="420"/>
      </w:pPr>
      <w:r>
        <w:rPr>
          <w:rFonts w:ascii="宋体" w:hAnsi="宋体" w:eastAsia="宋体"/>
          <w:b w:val="0"/>
          <w:sz w:val="24"/>
        </w:rPr>
        <w:t>本项目以内部控制体系建设为抓手，以提升国际公司穿透式监管能力为目标，按照制度引领、流程贯通、控制嵌入、数字赋能的总体思路，推动穿透式监管要求融入内部控制体系建设全过程。为确保体系建设符合国际公司境外业务管理特点，项目实施过程中重点遵循以下原则：</w:t>
      </w:r>
    </w:p>
    <w:p>
      <w:pPr>
        <w:pStyle w:val="Heading2"/>
      </w:pPr>
      <w:r>
        <w:rPr>
          <w:rFonts w:ascii="黑体" w:hAnsi="黑体" w:eastAsia="黑体"/>
        </w:rPr>
        <w:t>（一）坚持制度引领、融合建设</w:t>
      </w:r>
    </w:p>
    <w:p>
      <w:pPr>
        <w:spacing w:line="360" w:lineRule="auto"/>
        <w:ind w:firstLine="420"/>
      </w:pPr>
      <w:r>
        <w:rPr>
          <w:rFonts w:ascii="宋体" w:hAnsi="宋体" w:eastAsia="宋体"/>
          <w:b w:val="0"/>
          <w:sz w:val="24"/>
        </w:rPr>
        <w:t>以内部控制体系建设为主线，将穿透式监管要求融入内控制度、业务流程和管理机制，实现监管要求与经营管理深度融合，推动制度建设、业务运行和监督管理协同推进。</w:t>
      </w:r>
    </w:p>
    <w:p>
      <w:pPr>
        <w:pStyle w:val="Heading2"/>
      </w:pPr>
      <w:r>
        <w:rPr>
          <w:rFonts w:ascii="黑体" w:hAnsi="黑体" w:eastAsia="黑体"/>
        </w:rPr>
        <w:t>（二）坚持分类管理、精准管控</w:t>
      </w:r>
    </w:p>
    <w:p>
      <w:pPr>
        <w:spacing w:line="360" w:lineRule="auto"/>
        <w:ind w:firstLine="420"/>
      </w:pPr>
      <w:r>
        <w:rPr>
          <w:rFonts w:ascii="宋体" w:hAnsi="宋体" w:eastAsia="宋体"/>
          <w:b w:val="0"/>
          <w:sz w:val="24"/>
        </w:rPr>
        <w:t>结合投资平台、全资控股公司、参股公司等不同治理模式，坚持统一管理框架与分类施策相结合，建立符合不同类型境外主体特点的内控管理机制，提高内控体系的针对性和有效性。</w:t>
      </w:r>
    </w:p>
    <w:p>
      <w:pPr>
        <w:pStyle w:val="Heading2"/>
      </w:pPr>
      <w:r>
        <w:rPr>
          <w:rFonts w:ascii="黑体" w:hAnsi="黑体" w:eastAsia="黑体"/>
        </w:rPr>
        <w:t>（三）坚持风险导向、流程嵌入</w:t>
      </w:r>
    </w:p>
    <w:p>
      <w:pPr>
        <w:spacing w:line="360" w:lineRule="auto"/>
        <w:ind w:firstLine="420"/>
      </w:pPr>
      <w:r>
        <w:rPr>
          <w:rFonts w:ascii="宋体" w:hAnsi="宋体" w:eastAsia="宋体"/>
          <w:b w:val="0"/>
          <w:sz w:val="24"/>
        </w:rPr>
        <w:t>围绕重点业务领域和关键业务流程，将风险控制要求嵌入业务运行全过程，推动内部控制由制度约束向全过程风险管控转变，实现风险防控关口前移。</w:t>
      </w:r>
    </w:p>
    <w:p>
      <w:pPr>
        <w:pStyle w:val="Heading2"/>
      </w:pPr>
      <w:r>
        <w:rPr>
          <w:rFonts w:ascii="黑体" w:hAnsi="黑体" w:eastAsia="黑体"/>
        </w:rPr>
        <w:t>（四）坚持分步实施、循序渐进</w:t>
      </w:r>
    </w:p>
    <w:p>
      <w:pPr>
        <w:spacing w:line="360" w:lineRule="auto"/>
        <w:ind w:firstLine="420"/>
      </w:pPr>
      <w:r>
        <w:rPr>
          <w:rFonts w:ascii="宋体" w:hAnsi="宋体" w:eastAsia="宋体"/>
          <w:b w:val="0"/>
          <w:sz w:val="24"/>
        </w:rPr>
        <w:t>按照控制标准、控制规则、指标监控、系统上线分步推进的建设节奏，第一年优先完成首批领域控制标准，尽快形成可见成果；第二年拓展更多领域并补齐规则与指标；第三年完成剩余领域建设并实现线上化运行，确保体系建设节奏与境外经营管理实际相匹配。</w:t>
      </w:r>
    </w:p>
    <w:p>
      <w:pPr>
        <w:pStyle w:val="Heading2"/>
      </w:pPr>
      <w:r>
        <w:rPr>
          <w:rFonts w:ascii="黑体" w:hAnsi="黑体" w:eastAsia="黑体"/>
        </w:rPr>
        <w:t>（五）坚持境外适配、差异应用</w:t>
      </w:r>
    </w:p>
    <w:p>
      <w:pPr>
        <w:spacing w:line="360" w:lineRule="auto"/>
        <w:ind w:firstLine="420"/>
      </w:pPr>
      <w:r>
        <w:rPr>
          <w:rFonts w:ascii="宋体" w:hAnsi="宋体" w:eastAsia="宋体"/>
          <w:b w:val="0"/>
          <w:sz w:val="24"/>
        </w:rPr>
        <w:t>在统一内控标准框架下，充分吸纳境外经营单位在授权体系、业务流程、监管环境等方面的实际情况，对总部集中管控领域以总部管理要求为主，对境外单位具有较大自主权的领域组织境外团队深度参与，识别共性底线要求与个性化管理边界，提升标准体系的适用性和可执行性。</w:t>
      </w:r>
    </w:p>
    <w:p>
      <w:pPr>
        <w:pStyle w:val="Heading1"/>
      </w:pPr>
      <w:r>
        <w:rPr>
          <w:rFonts w:ascii="黑体" w:hAnsi="黑体" w:eastAsia="黑体"/>
        </w:rPr>
        <w:t>第一阶段（2026年）：开展顶层设计，完成首批领域控制标准建设</w:t>
      </w:r>
    </w:p>
    <w:p>
      <w:pPr>
        <w:spacing w:line="360" w:lineRule="auto"/>
        <w:ind w:firstLine="420"/>
      </w:pPr>
      <w:r>
        <w:rPr>
          <w:rFonts w:ascii="宋体" w:hAnsi="宋体" w:eastAsia="宋体"/>
          <w:b w:val="0"/>
          <w:sz w:val="24"/>
        </w:rPr>
        <w:t>目标：全面摸清国际公司本部及境外公司内控管理现状，完成穿透式内控体系顶层设计，明确三年建设路径和分领域实施安排，建立监管要求向经营管理传导的制度基础；完成财务管理、股权投资、物资服务采购三个领域控制标准编制，达到与中国中化内部控制标准相当的深度和可执行性。</w:t>
      </w:r>
    </w:p>
    <w:p>
      <w:pPr>
        <w:spacing w:line="360" w:lineRule="auto"/>
        <w:ind w:firstLine="420"/>
      </w:pPr>
      <w:r>
        <w:rPr>
          <w:rFonts w:ascii="宋体" w:hAnsi="宋体" w:eastAsia="宋体"/>
          <w:b w:val="0"/>
          <w:sz w:val="24"/>
        </w:rPr>
        <w:t>本年度不编制控制规则、风险指标及KRI监控要求，聚焦控制标准这一核心成果，同步推进内控管理办法修订和首批领域相关制度优化，确保标准与制度相互衔接。</w:t>
      </w:r>
    </w:p>
    <w:p>
      <w:pPr>
        <w:spacing w:line="360" w:lineRule="auto"/>
        <w:ind w:firstLine="420"/>
      </w:pPr>
      <w:r>
        <w:rPr>
          <w:rFonts w:ascii="宋体" w:hAnsi="宋体" w:eastAsia="宋体"/>
          <w:b/>
          <w:sz w:val="24"/>
        </w:rPr>
        <w:t>任务一：开展内控管理现状调研与流程梳理</w:t>
      </w:r>
    </w:p>
    <w:p>
      <w:pPr>
        <w:pStyle w:val="ListNumber"/>
        <w:spacing w:line="360" w:lineRule="auto"/>
      </w:pPr>
      <w:r>
        <w:rPr>
          <w:rFonts w:ascii="宋体" w:hAnsi="宋体" w:eastAsia="宋体"/>
          <w:sz w:val="24"/>
        </w:rPr>
        <w:t>制定调研工作方案，明确调研范围、对象、内容、方式和时间安排，形成总部职能部门、境外投资平台、全资控股公司、参股公司等分类调研清单。</w:t>
      </w:r>
    </w:p>
    <w:p>
      <w:pPr>
        <w:pStyle w:val="ListNumber"/>
        <w:spacing w:line="360" w:lineRule="auto"/>
      </w:pPr>
      <w:r>
        <w:rPr>
          <w:rFonts w:ascii="宋体" w:hAnsi="宋体" w:eastAsia="宋体"/>
          <w:sz w:val="24"/>
        </w:rPr>
        <w:t>开展总部调研。组织发策部、市场部、财务部及相关职能部门专题访谈和资料调阅，重点梳理财务管理、股权投资、物资服务采购三个领域的管理职责、授权体系、现行制度、关键业务流程及控制现状。</w:t>
      </w:r>
    </w:p>
    <w:p>
      <w:pPr>
        <w:pStyle w:val="ListNumber"/>
        <w:spacing w:line="360" w:lineRule="auto"/>
      </w:pPr>
      <w:r>
        <w:rPr>
          <w:rFonts w:ascii="宋体" w:hAnsi="宋体" w:eastAsia="宋体"/>
          <w:sz w:val="24"/>
        </w:rPr>
        <w:t>开展境外公司调研。选择具有代表性的境外投资平台、全资控股公司和参股公司，通过现场访谈、远程会议、问卷调查和资料分析等方式，了解境外单位在上述三个领域的实际管理权限、流程运行情况和控制执行情况。</w:t>
      </w:r>
    </w:p>
    <w:p>
      <w:pPr>
        <w:pStyle w:val="ListNumber"/>
        <w:spacing w:line="360" w:lineRule="auto"/>
      </w:pPr>
      <w:r>
        <w:rPr>
          <w:rFonts w:ascii="宋体" w:hAnsi="宋体" w:eastAsia="宋体"/>
          <w:sz w:val="24"/>
        </w:rPr>
        <w:t>开展物资服务采购境外专项调研。组织境外经营单位采购、财务、法务及相关业务人员开展专题访谈，重点了解境外采购授权边界、供应商准入与管理、采购方式选择、合同签署与付款管理等环节的个性化做法和管控难点，梳理需纳入标准框架的共性要求和可差异化应用的管理事项。</w:t>
      </w:r>
    </w:p>
    <w:p>
      <w:pPr>
        <w:pStyle w:val="ListNumber"/>
        <w:spacing w:line="360" w:lineRule="auto"/>
      </w:pPr>
      <w:r>
        <w:rPr>
          <w:rFonts w:ascii="宋体" w:hAnsi="宋体" w:eastAsia="宋体"/>
          <w:sz w:val="24"/>
        </w:rPr>
        <w:t>开展流程梳理与差异分析。对照国家电网总部矩阵要求和公司现行管理实践，绘制三个领域端到端业务流程图，识别总部集中管控事项、境外授权事项及关键控制节点，形成总部与境外管理边界清单。</w:t>
      </w:r>
    </w:p>
    <w:p>
      <w:pPr>
        <w:spacing w:line="360" w:lineRule="auto"/>
        <w:ind w:firstLine="420"/>
      </w:pPr>
      <w:r>
        <w:rPr>
          <w:rFonts w:ascii="宋体" w:hAnsi="宋体" w:eastAsia="宋体"/>
          <w:b w:val="0"/>
          <w:sz w:val="24"/>
        </w:rPr>
        <w:t>形成成果：内控管理现状调研报告、三个领域业务流程图及总部境外管理边界清单。</w:t>
      </w:r>
    </w:p>
    <w:p>
      <w:pPr>
        <w:spacing w:line="360" w:lineRule="auto"/>
        <w:ind w:firstLine="420"/>
      </w:pPr>
      <w:r>
        <w:rPr>
          <w:rFonts w:ascii="宋体" w:hAnsi="宋体" w:eastAsia="宋体"/>
          <w:b w:val="0"/>
          <w:sz w:val="24"/>
        </w:rPr>
        <w:t>完成时间：2026年7月</w:t>
      </w:r>
    </w:p>
    <w:p>
      <w:pPr>
        <w:spacing w:line="360" w:lineRule="auto"/>
        <w:ind w:firstLine="420"/>
      </w:pPr>
      <w:r>
        <w:rPr>
          <w:rFonts w:ascii="宋体" w:hAnsi="宋体" w:eastAsia="宋体"/>
          <w:b/>
          <w:sz w:val="24"/>
        </w:rPr>
        <w:t>任务二：制定穿透式内控体系实施方案及三年建设规划</w:t>
      </w:r>
    </w:p>
    <w:p>
      <w:pPr>
        <w:pStyle w:val="ListNumber"/>
        <w:spacing w:line="360" w:lineRule="auto"/>
      </w:pPr>
      <w:r>
        <w:rPr>
          <w:rFonts w:ascii="宋体" w:hAnsi="宋体" w:eastAsia="宋体"/>
          <w:sz w:val="24"/>
        </w:rPr>
        <w:t>在现状调研基础上，结合国资委穿透式监管要求和国际公司境外业务特点，明确穿透式内控体系建设总体目标、建设原则和实施路径。</w:t>
      </w:r>
    </w:p>
    <w:p>
      <w:pPr>
        <w:pStyle w:val="ListNumber"/>
        <w:spacing w:line="360" w:lineRule="auto"/>
      </w:pPr>
      <w:r>
        <w:rPr>
          <w:rFonts w:ascii="宋体" w:hAnsi="宋体" w:eastAsia="宋体"/>
          <w:sz w:val="24"/>
        </w:rPr>
        <w:t>编制三年分阶段建设规划，明确各年度建设领域、成果类型、责任部门和时间节点，对首批15个总部矩阵领域进行分批安排：2026年完成财务管理、股权投资、物资服务采购；2027年完成合同管理、员工报账、职工福利保障与薪酬、数字化与研发投入、设备（资产）管理、营销售电，并同步开展首批三个领域的规则与指标建设；2028年完成交易与购电、电网基建、配网工程、特高压建设等剩余领域及系统上线。</w:t>
      </w:r>
    </w:p>
    <w:p>
      <w:pPr>
        <w:pStyle w:val="ListNumber"/>
        <w:spacing w:line="360" w:lineRule="auto"/>
      </w:pPr>
      <w:r>
        <w:rPr>
          <w:rFonts w:ascii="宋体" w:hAnsi="宋体" w:eastAsia="宋体"/>
          <w:sz w:val="24"/>
        </w:rPr>
        <w:t>明确各阶段成果衔接关系，提出分年度验收标准和组织保障措施。</w:t>
      </w:r>
    </w:p>
    <w:p>
      <w:pPr>
        <w:spacing w:line="360" w:lineRule="auto"/>
        <w:ind w:firstLine="420"/>
      </w:pPr>
      <w:r>
        <w:rPr>
          <w:rFonts w:ascii="宋体" w:hAnsi="宋体" w:eastAsia="宋体"/>
          <w:b w:val="0"/>
          <w:sz w:val="24"/>
        </w:rPr>
        <w:t>形成成果：《国网国际公司穿透式内控体系实施方案》及三年建设规划。</w:t>
      </w:r>
    </w:p>
    <w:p>
      <w:pPr>
        <w:spacing w:line="360" w:lineRule="auto"/>
        <w:ind w:firstLine="420"/>
      </w:pPr>
      <w:r>
        <w:rPr>
          <w:rFonts w:ascii="宋体" w:hAnsi="宋体" w:eastAsia="宋体"/>
          <w:b w:val="0"/>
          <w:sz w:val="24"/>
        </w:rPr>
        <w:t>完成时间：2026年8月</w:t>
      </w:r>
    </w:p>
    <w:p>
      <w:pPr>
        <w:spacing w:line="360" w:lineRule="auto"/>
        <w:ind w:firstLine="420"/>
      </w:pPr>
      <w:r>
        <w:rPr>
          <w:rFonts w:ascii="宋体" w:hAnsi="宋体" w:eastAsia="宋体"/>
          <w:b/>
          <w:sz w:val="24"/>
        </w:rPr>
        <w:t>任务三：制定穿透式内控管理制度体系</w:t>
      </w:r>
    </w:p>
    <w:p>
      <w:pPr>
        <w:pStyle w:val="ListNumber"/>
        <w:spacing w:line="360" w:lineRule="auto"/>
      </w:pPr>
      <w:r>
        <w:rPr>
          <w:rFonts w:ascii="宋体" w:hAnsi="宋体" w:eastAsia="宋体"/>
          <w:sz w:val="24"/>
        </w:rPr>
        <w:t>对照国务院国资委穿透式监管要求和国家电网总部相关制度，结合国际公司境外业务管理特点，修订或制定《国网国际公司内部控制管理办法》。</w:t>
      </w:r>
    </w:p>
    <w:p>
      <w:pPr>
        <w:pStyle w:val="ListNumber"/>
        <w:spacing w:line="360" w:lineRule="auto"/>
      </w:pPr>
      <w:r>
        <w:rPr>
          <w:rFonts w:ascii="宋体" w:hAnsi="宋体" w:eastAsia="宋体"/>
          <w:sz w:val="24"/>
        </w:rPr>
        <w:t>明确总部、投资平台、全资控股公司、参股公司等不同层级主体在内控建设、执行、监督和评价中的职责分工与管理边界。</w:t>
      </w:r>
    </w:p>
    <w:p>
      <w:pPr>
        <w:pStyle w:val="ListNumber"/>
        <w:spacing w:line="360" w:lineRule="auto"/>
      </w:pPr>
      <w:r>
        <w:rPr>
          <w:rFonts w:ascii="宋体" w:hAnsi="宋体" w:eastAsia="宋体"/>
          <w:sz w:val="24"/>
        </w:rPr>
        <w:t>将全级次管理、全过程控制、风险预警、责任追溯等穿透式监管要求融入制度体系。</w:t>
      </w:r>
    </w:p>
    <w:p>
      <w:pPr>
        <w:pStyle w:val="ListNumber"/>
        <w:spacing w:line="360" w:lineRule="auto"/>
      </w:pPr>
      <w:r>
        <w:rPr>
          <w:rFonts w:ascii="宋体" w:hAnsi="宋体" w:eastAsia="宋体"/>
          <w:sz w:val="24"/>
        </w:rPr>
        <w:t>结合首批三个领域控制标准建设进展，同步提出财务管理、股权投资、物资服务采购相关专项制度的修订建议清单，明确制度修订责任部门和时间安排。</w:t>
      </w:r>
    </w:p>
    <w:p>
      <w:pPr>
        <w:spacing w:line="360" w:lineRule="auto"/>
        <w:ind w:firstLine="420"/>
      </w:pPr>
      <w:r>
        <w:rPr>
          <w:rFonts w:ascii="宋体" w:hAnsi="宋体" w:eastAsia="宋体"/>
          <w:b w:val="0"/>
          <w:sz w:val="24"/>
        </w:rPr>
        <w:t>形成成果：《国网国际公司内部控制管理办法》及首批领域相关制度修订建议清单。</w:t>
      </w:r>
    </w:p>
    <w:p>
      <w:pPr>
        <w:spacing w:line="360" w:lineRule="auto"/>
        <w:ind w:firstLine="420"/>
      </w:pPr>
      <w:r>
        <w:rPr>
          <w:rFonts w:ascii="宋体" w:hAnsi="宋体" w:eastAsia="宋体"/>
          <w:b w:val="0"/>
          <w:sz w:val="24"/>
        </w:rPr>
        <w:t>完成时间：2026年10月</w:t>
      </w:r>
    </w:p>
    <w:p>
      <w:pPr>
        <w:spacing w:line="360" w:lineRule="auto"/>
        <w:ind w:firstLine="420"/>
      </w:pPr>
      <w:r>
        <w:rPr>
          <w:rFonts w:ascii="宋体" w:hAnsi="宋体" w:eastAsia="宋体"/>
          <w:b/>
          <w:sz w:val="24"/>
        </w:rPr>
        <w:t>任务四：编制首批三个领域内部控制标准</w:t>
      </w:r>
    </w:p>
    <w:p>
      <w:pPr>
        <w:pStyle w:val="ListNumber"/>
        <w:spacing w:line="360" w:lineRule="auto"/>
      </w:pPr>
      <w:r>
        <w:rPr>
          <w:rFonts w:ascii="宋体" w:hAnsi="宋体" w:eastAsia="宋体"/>
          <w:sz w:val="24"/>
        </w:rPr>
        <w:t>确定控制标准编制框架。参照中国中化内部控制标准体例，按价值主张、主要风险、不相容职责、关键控制要求等要素组织标准内容，确保标准结构统一、表述规范、便于后续评价和应用。</w:t>
      </w:r>
    </w:p>
    <w:p>
      <w:pPr>
        <w:pStyle w:val="ListNumber"/>
        <w:spacing w:line="360" w:lineRule="auto"/>
      </w:pPr>
      <w:r>
        <w:rPr>
          <w:rFonts w:ascii="宋体" w:hAnsi="宋体" w:eastAsia="宋体"/>
          <w:sz w:val="24"/>
        </w:rPr>
        <w:t>编制财务管理领域控制标准。围绕资金管理、会计核算与财务报告、税务管理、筹融资管理等重点子流程，梳理风险事项、控制目标和关键控制要求，明确总部归口管理责任和执行主体。</w:t>
      </w:r>
    </w:p>
    <w:p>
      <w:pPr>
        <w:pStyle w:val="ListNumber"/>
        <w:spacing w:line="360" w:lineRule="auto"/>
      </w:pPr>
      <w:r>
        <w:rPr>
          <w:rFonts w:ascii="宋体" w:hAnsi="宋体" w:eastAsia="宋体"/>
          <w:sz w:val="24"/>
        </w:rPr>
        <w:t>编制股权投资领域控制标准。围绕投资事前管理、投资决策、投资实施、投后管理等环节，明确境外股权投资的审批权限、尽职调查、决策程序、档案管理和动态监测要求。</w:t>
      </w:r>
    </w:p>
    <w:p>
      <w:pPr>
        <w:pStyle w:val="ListNumber"/>
        <w:spacing w:line="360" w:lineRule="auto"/>
      </w:pPr>
      <w:r>
        <w:rPr>
          <w:rFonts w:ascii="宋体" w:hAnsi="宋体" w:eastAsia="宋体"/>
          <w:sz w:val="24"/>
        </w:rPr>
        <w:t>编制物资服务采购领域控制标准。围绕采购需求管理、供应商管理、采购方式选择、采购合同管理、验收与付款等关键环节，明确底线性控制要求；对境外单位具有自主采购权限的事项，区分强制性要求和可差异化执行的管理指引。</w:t>
      </w:r>
    </w:p>
    <w:p>
      <w:pPr>
        <w:pStyle w:val="ListNumber"/>
        <w:spacing w:line="360" w:lineRule="auto"/>
      </w:pPr>
      <w:r>
        <w:rPr>
          <w:rFonts w:ascii="宋体" w:hAnsi="宋体" w:eastAsia="宋体"/>
          <w:sz w:val="24"/>
        </w:rPr>
        <w:t>组织标准评审。征求总部职能部门、境外单位代表意见，重点就采购领域境外适用性组织专题研讨，修订完善后形成定稿。</w:t>
      </w:r>
    </w:p>
    <w:p>
      <w:pPr>
        <w:spacing w:line="360" w:lineRule="auto"/>
        <w:ind w:firstLine="420"/>
      </w:pPr>
      <w:r>
        <w:rPr>
          <w:rFonts w:ascii="宋体" w:hAnsi="宋体" w:eastAsia="宋体"/>
          <w:b w:val="0"/>
          <w:sz w:val="24"/>
        </w:rPr>
        <w:t>形成成果：《国网国际公司财务管理内部控制标准》《国网国际公司股权投资内部控制标准》《国网国际公司物资服务采购内部控制标准》。</w:t>
      </w:r>
    </w:p>
    <w:p>
      <w:pPr>
        <w:spacing w:line="360" w:lineRule="auto"/>
        <w:ind w:firstLine="420"/>
      </w:pPr>
      <w:r>
        <w:rPr>
          <w:rFonts w:ascii="宋体" w:hAnsi="宋体" w:eastAsia="宋体"/>
          <w:b w:val="0"/>
          <w:sz w:val="24"/>
        </w:rPr>
        <w:t>完成时间：2026年12月</w:t>
      </w:r>
    </w:p>
    <w:p>
      <w:pPr>
        <w:pStyle w:val="Heading1"/>
      </w:pPr>
      <w:r>
        <w:rPr>
          <w:rFonts w:ascii="黑体" w:hAnsi="黑体" w:eastAsia="黑体"/>
        </w:rPr>
        <w:t>第二阶段（2027年）：拓展重点领域，构建规则模型与指标监控体系</w:t>
      </w:r>
    </w:p>
    <w:p>
      <w:pPr>
        <w:spacing w:line="360" w:lineRule="auto"/>
        <w:ind w:firstLine="420"/>
      </w:pPr>
      <w:r>
        <w:rPr>
          <w:rFonts w:ascii="宋体" w:hAnsi="宋体" w:eastAsia="宋体"/>
          <w:b w:val="0"/>
          <w:sz w:val="24"/>
        </w:rPr>
        <w:t>目标：在首批三个领域控制标准基础上，完成合同管理、员工报账、职工福利保障与薪酬、数字化与研发投入、设备（资产）管理、营销售电六个领域控制标准编制；对财务管理、股权投资、物资服务采购三个领域开展控制规则细化、风险指标设计及KRI关键风险指标监控要求编制，形成可检查、可量化、可监控的内控规则体系。</w:t>
      </w:r>
    </w:p>
    <w:p>
      <w:pPr>
        <w:spacing w:line="360" w:lineRule="auto"/>
        <w:ind w:firstLine="420"/>
      </w:pPr>
      <w:r>
        <w:rPr>
          <w:rFonts w:ascii="宋体" w:hAnsi="宋体" w:eastAsia="宋体"/>
          <w:b w:val="0"/>
          <w:sz w:val="24"/>
        </w:rPr>
        <w:t>本年度同步完善境外公司分类管理机制，结合不同治理模式和区域特点，推动控制标准、控制规则与境外经营管理实际有效衔接，为后续系统固化奠定基础。</w:t>
      </w:r>
    </w:p>
    <w:p>
      <w:pPr>
        <w:spacing w:line="360" w:lineRule="auto"/>
        <w:ind w:firstLine="420"/>
      </w:pPr>
      <w:r>
        <w:rPr>
          <w:rFonts w:ascii="宋体" w:hAnsi="宋体" w:eastAsia="宋体"/>
          <w:b/>
          <w:sz w:val="24"/>
        </w:rPr>
        <w:t>任务五：开展第二批六个重点领域调研与控制标准编制</w:t>
      </w:r>
    </w:p>
    <w:p>
      <w:pPr>
        <w:pStyle w:val="ListNumber"/>
        <w:spacing w:line="360" w:lineRule="auto"/>
      </w:pPr>
      <w:r>
        <w:rPr>
          <w:rFonts w:ascii="宋体" w:hAnsi="宋体" w:eastAsia="宋体"/>
          <w:sz w:val="24"/>
        </w:rPr>
        <w:t>制定第二批领域调研计划，明确各领域的总部责任部门、境外参与单位和调研重点。</w:t>
      </w:r>
    </w:p>
    <w:p>
      <w:pPr>
        <w:pStyle w:val="ListNumber"/>
        <w:spacing w:line="360" w:lineRule="auto"/>
      </w:pPr>
      <w:r>
        <w:rPr>
          <w:rFonts w:ascii="宋体" w:hAnsi="宋体" w:eastAsia="宋体"/>
          <w:sz w:val="24"/>
        </w:rPr>
        <w:t>开展总部调研。组织法律部、财务部、人资部、生技部及相关职能部门访谈，梳理合同管理、员工报账、职工福利保障与薪酬、数字化与研发投入、设备（资产）管理、营销售电六个领域的制度依据、业务流程和控制现状。</w:t>
      </w:r>
    </w:p>
    <w:p>
      <w:pPr>
        <w:pStyle w:val="ListNumber"/>
        <w:spacing w:line="360" w:lineRule="auto"/>
      </w:pPr>
      <w:r>
        <w:rPr>
          <w:rFonts w:ascii="宋体" w:hAnsi="宋体" w:eastAsia="宋体"/>
          <w:sz w:val="24"/>
        </w:rPr>
        <w:t>开展境外公司调研。围绕合同签署、费用报销、薪酬福利、数字化项目、设备资产管理、电力营销等境外实际业务，组织代表性境外单位开展访谈和资料分析，识别总部统一要求与境外差异化管理的边界。</w:t>
      </w:r>
    </w:p>
    <w:p>
      <w:pPr>
        <w:pStyle w:val="ListNumber"/>
        <w:spacing w:line="360" w:lineRule="auto"/>
      </w:pPr>
      <w:r>
        <w:rPr>
          <w:rFonts w:ascii="宋体" w:hAnsi="宋体" w:eastAsia="宋体"/>
          <w:sz w:val="24"/>
        </w:rPr>
        <w:t>编制六个领域控制标准。按照统一体例，明确各领域的价值主张、主要风险、不相容职责和关键控制要求，形成第二批领域控制标准文本。</w:t>
      </w:r>
    </w:p>
    <w:p>
      <w:pPr>
        <w:pStyle w:val="ListNumber"/>
        <w:spacing w:line="360" w:lineRule="auto"/>
      </w:pPr>
      <w:r>
        <w:rPr>
          <w:rFonts w:ascii="宋体" w:hAnsi="宋体" w:eastAsia="宋体"/>
          <w:sz w:val="24"/>
        </w:rPr>
        <w:t>组织评审发布。征求相关部门和境外单位意见，完成修订定稿。</w:t>
      </w:r>
    </w:p>
    <w:p>
      <w:pPr>
        <w:spacing w:line="360" w:lineRule="auto"/>
        <w:ind w:firstLine="420"/>
      </w:pPr>
      <w:r>
        <w:rPr>
          <w:rFonts w:ascii="宋体" w:hAnsi="宋体" w:eastAsia="宋体"/>
          <w:b w:val="0"/>
          <w:sz w:val="24"/>
        </w:rPr>
        <w:t>形成成果：第二批六个重点领域内部控制标准及调研分析报告。</w:t>
      </w:r>
    </w:p>
    <w:p>
      <w:pPr>
        <w:spacing w:line="360" w:lineRule="auto"/>
        <w:ind w:firstLine="420"/>
      </w:pPr>
      <w:r>
        <w:rPr>
          <w:rFonts w:ascii="宋体" w:hAnsi="宋体" w:eastAsia="宋体"/>
          <w:b w:val="0"/>
          <w:sz w:val="24"/>
        </w:rPr>
        <w:t>完成时间：2027年6月</w:t>
      </w:r>
    </w:p>
    <w:p>
      <w:pPr>
        <w:spacing w:line="360" w:lineRule="auto"/>
        <w:ind w:firstLine="420"/>
      </w:pPr>
      <w:r>
        <w:rPr>
          <w:rFonts w:ascii="宋体" w:hAnsi="宋体" w:eastAsia="宋体"/>
          <w:b/>
          <w:sz w:val="24"/>
        </w:rPr>
        <w:t>任务六：编制首批三个领域控制规则与风险指标体系</w:t>
      </w:r>
    </w:p>
    <w:p>
      <w:pPr>
        <w:pStyle w:val="ListNumber"/>
        <w:spacing w:line="360" w:lineRule="auto"/>
      </w:pPr>
      <w:r>
        <w:rPr>
          <w:rFonts w:ascii="宋体" w:hAnsi="宋体" w:eastAsia="宋体"/>
          <w:sz w:val="24"/>
        </w:rPr>
        <w:t>梳理首批三个领域控制标准中的关键控制要求，逐项分解为可执行、可检查的控制规则，明确规则适用主体、触发条件、控制动作、责任岗位和控制证据。</w:t>
      </w:r>
    </w:p>
    <w:p>
      <w:pPr>
        <w:pStyle w:val="ListNumber"/>
        <w:spacing w:line="360" w:lineRule="auto"/>
      </w:pPr>
      <w:r>
        <w:rPr>
          <w:rFonts w:ascii="宋体" w:hAnsi="宋体" w:eastAsia="宋体"/>
          <w:sz w:val="24"/>
        </w:rPr>
        <w:t>建立风险指标框架。围绕财务管理、股权投资、物资服务采购三个领域的重点风险，设计风险识别指标和监测维度，明确指标定义、计算口径、数据来源和监测频率。</w:t>
      </w:r>
    </w:p>
    <w:p>
      <w:pPr>
        <w:pStyle w:val="ListNumber"/>
        <w:spacing w:line="360" w:lineRule="auto"/>
      </w:pPr>
      <w:r>
        <w:rPr>
          <w:rFonts w:ascii="宋体" w:hAnsi="宋体" w:eastAsia="宋体"/>
          <w:sz w:val="24"/>
        </w:rPr>
        <w:t>编制KRI关键风险指标监控要求。选取影响重大、可量化监测的关键风险指标，明确预警阈值、监测责任部门、报告路径和处置要求。</w:t>
      </w:r>
    </w:p>
    <w:p>
      <w:pPr>
        <w:pStyle w:val="ListNumber"/>
        <w:spacing w:line="360" w:lineRule="auto"/>
      </w:pPr>
      <w:r>
        <w:rPr>
          <w:rFonts w:ascii="宋体" w:hAnsi="宋体" w:eastAsia="宋体"/>
          <w:sz w:val="24"/>
        </w:rPr>
        <w:t>对物资服务采购领域规则指标开展境外适用性校验，确保监控要求与境外数据获取能力和管理权限相匹配。</w:t>
      </w:r>
    </w:p>
    <w:p>
      <w:pPr>
        <w:pStyle w:val="ListNumber"/>
        <w:spacing w:line="360" w:lineRule="auto"/>
      </w:pPr>
      <w:r>
        <w:rPr>
          <w:rFonts w:ascii="宋体" w:hAnsi="宋体" w:eastAsia="宋体"/>
          <w:sz w:val="24"/>
        </w:rPr>
        <w:t>组织业务部门评审，形成规则指标定稿。</w:t>
      </w:r>
    </w:p>
    <w:p>
      <w:pPr>
        <w:spacing w:line="360" w:lineRule="auto"/>
        <w:ind w:firstLine="420"/>
      </w:pPr>
      <w:r>
        <w:rPr>
          <w:rFonts w:ascii="宋体" w:hAnsi="宋体" w:eastAsia="宋体"/>
          <w:b w:val="0"/>
          <w:sz w:val="24"/>
        </w:rPr>
        <w:t>形成成果：首批三个领域控制规则手册、风险指标目录及KRI监控要求。</w:t>
      </w:r>
    </w:p>
    <w:p>
      <w:pPr>
        <w:spacing w:line="360" w:lineRule="auto"/>
        <w:ind w:firstLine="420"/>
      </w:pPr>
      <w:r>
        <w:rPr>
          <w:rFonts w:ascii="宋体" w:hAnsi="宋体" w:eastAsia="宋体"/>
          <w:b w:val="0"/>
          <w:sz w:val="24"/>
        </w:rPr>
        <w:t>完成时间：2027年9月</w:t>
      </w:r>
    </w:p>
    <w:p>
      <w:pPr>
        <w:spacing w:line="360" w:lineRule="auto"/>
        <w:ind w:firstLine="420"/>
      </w:pPr>
      <w:r>
        <w:rPr>
          <w:rFonts w:ascii="宋体" w:hAnsi="宋体" w:eastAsia="宋体"/>
          <w:b/>
          <w:sz w:val="24"/>
        </w:rPr>
        <w:t>任务七：完善境外公司分类管理机制</w:t>
      </w:r>
    </w:p>
    <w:p>
      <w:pPr>
        <w:pStyle w:val="ListNumber"/>
        <w:spacing w:line="360" w:lineRule="auto"/>
      </w:pPr>
      <w:r>
        <w:rPr>
          <w:rFonts w:ascii="宋体" w:hAnsi="宋体" w:eastAsia="宋体"/>
          <w:sz w:val="24"/>
        </w:rPr>
        <w:t>结合两批领域控制标准建设情况，梳理投资平台、全资控股公司、参股公司在不同业务领域的管理权限差异，形成分类管理清单。</w:t>
      </w:r>
    </w:p>
    <w:p>
      <w:pPr>
        <w:pStyle w:val="ListNumber"/>
        <w:spacing w:line="360" w:lineRule="auto"/>
      </w:pPr>
      <w:r>
        <w:rPr>
          <w:rFonts w:ascii="宋体" w:hAnsi="宋体" w:eastAsia="宋体"/>
          <w:sz w:val="24"/>
        </w:rPr>
        <w:t>明确总部直接管控事项、总部审核备案事项和境外自主管理事项，提出差异化控制要求应用指引。</w:t>
      </w:r>
    </w:p>
    <w:p>
      <w:pPr>
        <w:pStyle w:val="ListNumber"/>
        <w:spacing w:line="360" w:lineRule="auto"/>
      </w:pPr>
      <w:r>
        <w:rPr>
          <w:rFonts w:ascii="宋体" w:hAnsi="宋体" w:eastAsia="宋体"/>
          <w:sz w:val="24"/>
        </w:rPr>
        <w:t>选择代表性境外单位开展控制标准和规则指标试运行，收集执行反馈并优化完善。</w:t>
      </w:r>
    </w:p>
    <w:p>
      <w:pPr>
        <w:spacing w:line="360" w:lineRule="auto"/>
        <w:ind w:firstLine="420"/>
      </w:pPr>
      <w:r>
        <w:rPr>
          <w:rFonts w:ascii="宋体" w:hAnsi="宋体" w:eastAsia="宋体"/>
          <w:b w:val="0"/>
          <w:sz w:val="24"/>
        </w:rPr>
        <w:t>形成成果：境外公司分类管理机制及控制标准规则试运行报告。</w:t>
      </w:r>
    </w:p>
    <w:p>
      <w:pPr>
        <w:spacing w:line="360" w:lineRule="auto"/>
        <w:ind w:firstLine="420"/>
      </w:pPr>
      <w:r>
        <w:rPr>
          <w:rFonts w:ascii="宋体" w:hAnsi="宋体" w:eastAsia="宋体"/>
          <w:b w:val="0"/>
          <w:sz w:val="24"/>
        </w:rPr>
        <w:t>完成时间：2027年12月</w:t>
      </w:r>
    </w:p>
    <w:p>
      <w:pPr>
        <w:pStyle w:val="Heading1"/>
      </w:pPr>
      <w:r>
        <w:rPr>
          <w:rFonts w:ascii="黑体" w:hAnsi="黑体" w:eastAsia="黑体"/>
        </w:rPr>
        <w:t>第三阶段（2028年）：强化数字赋能，实现内控体系线上化运行</w:t>
      </w:r>
    </w:p>
    <w:p>
      <w:pPr>
        <w:spacing w:line="360" w:lineRule="auto"/>
        <w:ind w:firstLine="420"/>
      </w:pPr>
      <w:r>
        <w:rPr>
          <w:rFonts w:ascii="宋体" w:hAnsi="宋体" w:eastAsia="宋体"/>
          <w:b w:val="0"/>
          <w:sz w:val="24"/>
        </w:rPr>
        <w:t>目标：完成交易与购电、电网基建、配网工程、特高压建设等剩余电网业务领域控制标准及规则指标建设，推动内控规则与信息系统深度融合，实现风险识别、过程监控和监督评价数字化支撑。</w:t>
      </w:r>
    </w:p>
    <w:p>
      <w:pPr>
        <w:spacing w:line="360" w:lineRule="auto"/>
        <w:ind w:firstLine="420"/>
      </w:pPr>
      <w:r>
        <w:rPr>
          <w:rFonts w:ascii="宋体" w:hAnsi="宋体" w:eastAsia="宋体"/>
          <w:b w:val="0"/>
          <w:sz w:val="24"/>
        </w:rPr>
        <w:t>本年度重点推进内控管理信息化平台建设和上线应用，将各年度形成的控制标准、控制规则、风险指标及KRI监控要求系统化固化，形成可持续运行的穿透式内控数字化管理能力。</w:t>
      </w:r>
    </w:p>
    <w:p>
      <w:pPr>
        <w:spacing w:line="360" w:lineRule="auto"/>
        <w:ind w:firstLine="420"/>
      </w:pPr>
      <w:r>
        <w:rPr>
          <w:rFonts w:ascii="宋体" w:hAnsi="宋体" w:eastAsia="宋体"/>
          <w:b/>
          <w:sz w:val="24"/>
        </w:rPr>
        <w:t>任务八：完成剩余电网业务领域控制标准及规则指标建设</w:t>
      </w:r>
    </w:p>
    <w:p>
      <w:pPr>
        <w:pStyle w:val="ListNumber"/>
        <w:spacing w:line="360" w:lineRule="auto"/>
      </w:pPr>
      <w:r>
        <w:rPr>
          <w:rFonts w:ascii="宋体" w:hAnsi="宋体" w:eastAsia="宋体"/>
          <w:sz w:val="24"/>
        </w:rPr>
        <w:t>开展交易与购电、电网基建、配网工程、特高压建设四个领域的总部及境外调研，梳理业务流程、风险特征和控制要求。</w:t>
      </w:r>
    </w:p>
    <w:p>
      <w:pPr>
        <w:pStyle w:val="ListNumber"/>
        <w:spacing w:line="360" w:lineRule="auto"/>
      </w:pPr>
      <w:r>
        <w:rPr>
          <w:rFonts w:ascii="宋体" w:hAnsi="宋体" w:eastAsia="宋体"/>
          <w:sz w:val="24"/>
        </w:rPr>
        <w:t>编制四个领域控制标准，明确关键控制要求和责任主体。</w:t>
      </w:r>
    </w:p>
    <w:p>
      <w:pPr>
        <w:pStyle w:val="ListNumber"/>
        <w:spacing w:line="360" w:lineRule="auto"/>
      </w:pPr>
      <w:r>
        <w:rPr>
          <w:rFonts w:ascii="宋体" w:hAnsi="宋体" w:eastAsia="宋体"/>
          <w:sz w:val="24"/>
        </w:rPr>
        <w:t>同步编制控制规则和风险指标体系，完成与前期九个通用及电网业务领域的标准衔接。</w:t>
      </w:r>
    </w:p>
    <w:p>
      <w:pPr>
        <w:pStyle w:val="ListNumber"/>
        <w:spacing w:line="360" w:lineRule="auto"/>
      </w:pPr>
      <w:r>
        <w:rPr>
          <w:rFonts w:ascii="宋体" w:hAnsi="宋体" w:eastAsia="宋体"/>
          <w:sz w:val="24"/>
        </w:rPr>
        <w:t>对第二批六个领域控制规则与KRI监控要求进行补充完善，形成全领域规则指标体系。</w:t>
      </w:r>
    </w:p>
    <w:p>
      <w:pPr>
        <w:spacing w:line="360" w:lineRule="auto"/>
        <w:ind w:firstLine="420"/>
      </w:pPr>
      <w:r>
        <w:rPr>
          <w:rFonts w:ascii="宋体" w:hAnsi="宋体" w:eastAsia="宋体"/>
          <w:b w:val="0"/>
          <w:sz w:val="24"/>
        </w:rPr>
        <w:t>形成成果：剩余四个电网业务领域控制标准、规则指标及全领域内控标准体系汇编。</w:t>
      </w:r>
    </w:p>
    <w:p>
      <w:pPr>
        <w:spacing w:line="360" w:lineRule="auto"/>
        <w:ind w:firstLine="420"/>
      </w:pPr>
      <w:r>
        <w:rPr>
          <w:rFonts w:ascii="宋体" w:hAnsi="宋体" w:eastAsia="宋体"/>
          <w:b w:val="0"/>
          <w:sz w:val="24"/>
        </w:rPr>
        <w:t>完成时间：2028年6月</w:t>
      </w:r>
    </w:p>
    <w:p>
      <w:pPr>
        <w:spacing w:line="360" w:lineRule="auto"/>
        <w:ind w:firstLine="420"/>
      </w:pPr>
      <w:r>
        <w:rPr>
          <w:rFonts w:ascii="宋体" w:hAnsi="宋体" w:eastAsia="宋体"/>
          <w:b/>
          <w:sz w:val="24"/>
        </w:rPr>
        <w:t>任务九：研究内控信息化建设路径并开展系统功能设计</w:t>
      </w:r>
    </w:p>
    <w:p>
      <w:pPr>
        <w:pStyle w:val="ListNumber"/>
        <w:spacing w:line="360" w:lineRule="auto"/>
      </w:pPr>
      <w:r>
        <w:rPr>
          <w:rFonts w:ascii="宋体" w:hAnsi="宋体" w:eastAsia="宋体"/>
          <w:sz w:val="24"/>
        </w:rPr>
        <w:t>梳理国际公司境内外信息化建设基础和规划，明确内控数字化建设边界和系统定位。</w:t>
      </w:r>
    </w:p>
    <w:p>
      <w:pPr>
        <w:pStyle w:val="ListNumber"/>
        <w:spacing w:line="360" w:lineRule="auto"/>
      </w:pPr>
      <w:r>
        <w:rPr>
          <w:rFonts w:ascii="宋体" w:hAnsi="宋体" w:eastAsia="宋体"/>
          <w:sz w:val="24"/>
        </w:rPr>
        <w:t>从内部控制视角提出内控管理系统功能架构，涵盖标准管理、流程控制、规则配置、指标监测、预警处置、评价报告等模块。</w:t>
      </w:r>
    </w:p>
    <w:p>
      <w:pPr>
        <w:pStyle w:val="ListNumber"/>
        <w:spacing w:line="360" w:lineRule="auto"/>
      </w:pPr>
      <w:r>
        <w:rPr>
          <w:rFonts w:ascii="宋体" w:hAnsi="宋体" w:eastAsia="宋体"/>
          <w:sz w:val="24"/>
        </w:rPr>
        <w:t>明确各模块与财务管理、投资管理、采购管理等业务系统的数据接口需求。</w:t>
      </w:r>
    </w:p>
    <w:p>
      <w:pPr>
        <w:pStyle w:val="ListNumber"/>
        <w:spacing w:line="360" w:lineRule="auto"/>
      </w:pPr>
      <w:r>
        <w:rPr>
          <w:rFonts w:ascii="宋体" w:hAnsi="宋体" w:eastAsia="宋体"/>
          <w:sz w:val="24"/>
        </w:rPr>
        <w:t>研究AI在风险识别、异常监测、控制评价和监督分析等方面的应用场景，提出分阶段落地建议。</w:t>
      </w:r>
    </w:p>
    <w:p>
      <w:pPr>
        <w:spacing w:line="360" w:lineRule="auto"/>
        <w:ind w:firstLine="420"/>
      </w:pPr>
      <w:r>
        <w:rPr>
          <w:rFonts w:ascii="宋体" w:hAnsi="宋体" w:eastAsia="宋体"/>
          <w:b w:val="0"/>
          <w:sz w:val="24"/>
        </w:rPr>
        <w:t>形成成果：《国网国际公司穿透式内控信息化建设方案》及系统功能设计说明书。</w:t>
      </w:r>
    </w:p>
    <w:p>
      <w:pPr>
        <w:spacing w:line="360" w:lineRule="auto"/>
        <w:ind w:firstLine="420"/>
      </w:pPr>
      <w:r>
        <w:rPr>
          <w:rFonts w:ascii="宋体" w:hAnsi="宋体" w:eastAsia="宋体"/>
          <w:b w:val="0"/>
          <w:sz w:val="24"/>
        </w:rPr>
        <w:t>完成时间：2028年8月</w:t>
      </w:r>
    </w:p>
    <w:p>
      <w:pPr>
        <w:spacing w:line="360" w:lineRule="auto"/>
        <w:ind w:firstLine="420"/>
      </w:pPr>
      <w:r>
        <w:rPr>
          <w:rFonts w:ascii="宋体" w:hAnsi="宋体" w:eastAsia="宋体"/>
          <w:b/>
          <w:sz w:val="24"/>
        </w:rPr>
        <w:t>任务十：推进内控管理系统建设与上线应用</w:t>
      </w:r>
    </w:p>
    <w:p>
      <w:pPr>
        <w:pStyle w:val="ListNumber"/>
        <w:spacing w:line="360" w:lineRule="auto"/>
      </w:pPr>
      <w:r>
        <w:rPr>
          <w:rFonts w:ascii="宋体" w:hAnsi="宋体" w:eastAsia="宋体"/>
          <w:sz w:val="24"/>
        </w:rPr>
        <w:t>基于内控体系建设成果，开展内控管理系统配置实施，将控制标准、控制规则、风险指标及KRI监控要求嵌入系统。</w:t>
      </w:r>
    </w:p>
    <w:p>
      <w:pPr>
        <w:pStyle w:val="ListNumber"/>
        <w:spacing w:line="360" w:lineRule="auto"/>
      </w:pPr>
      <w:r>
        <w:rPr>
          <w:rFonts w:ascii="宋体" w:hAnsi="宋体" w:eastAsia="宋体"/>
          <w:sz w:val="24"/>
        </w:rPr>
        <w:t>完成与核心业务系统的数据对接和规则联动测试，确保关键控制节点可系统留痕、可在线监测。</w:t>
      </w:r>
    </w:p>
    <w:p>
      <w:pPr>
        <w:pStyle w:val="ListNumber"/>
        <w:spacing w:line="360" w:lineRule="auto"/>
      </w:pPr>
      <w:r>
        <w:rPr>
          <w:rFonts w:ascii="宋体" w:hAnsi="宋体" w:eastAsia="宋体"/>
          <w:sz w:val="24"/>
        </w:rPr>
        <w:t>建设穿透式内控监控展示平台，实现关键业务流程、控制执行情况、风险指标及预警事项的动态监测与可视化展示。</w:t>
      </w:r>
    </w:p>
    <w:p>
      <w:pPr>
        <w:pStyle w:val="ListNumber"/>
        <w:spacing w:line="360" w:lineRule="auto"/>
      </w:pPr>
      <w:r>
        <w:rPr>
          <w:rFonts w:ascii="宋体" w:hAnsi="宋体" w:eastAsia="宋体"/>
          <w:sz w:val="24"/>
        </w:rPr>
        <w:t>组织总部及境外单位开展系统培训和试运行，形成运行评价报告并持续优化。</w:t>
      </w:r>
    </w:p>
    <w:p>
      <w:pPr>
        <w:spacing w:line="360" w:lineRule="auto"/>
        <w:ind w:firstLine="420"/>
      </w:pPr>
      <w:r>
        <w:rPr>
          <w:rFonts w:ascii="宋体" w:hAnsi="宋体" w:eastAsia="宋体"/>
          <w:b w:val="0"/>
          <w:sz w:val="24"/>
        </w:rPr>
        <w:t>形成成果：内控管理系统上线运行、穿透式内控监控展示平台及应用评价报告。</w:t>
      </w:r>
    </w:p>
    <w:p>
      <w:pPr>
        <w:spacing w:line="360" w:lineRule="auto"/>
        <w:ind w:firstLine="420"/>
      </w:pPr>
      <w:r>
        <w:rPr>
          <w:rFonts w:ascii="宋体" w:hAnsi="宋体" w:eastAsia="宋体"/>
          <w:b w:val="0"/>
          <w:sz w:val="24"/>
        </w:rPr>
        <w:t>完成时间：2028年12月</w:t>
      </w:r>
    </w:p>
    <w:p>
      <w:pPr>
        <w:pStyle w:val="Heading1"/>
      </w:pPr>
      <w:r>
        <w:rPr>
          <w:rFonts w:ascii="黑体" w:hAnsi="黑体" w:eastAsia="黑体"/>
        </w:rPr>
        <w:t>附：三年领域建设安排一览表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年度</w:t>
            </w:r>
          </w:p>
        </w:tc>
        <w:tc>
          <w:tcPr>
            <w:tcW w:type="dxa" w:w="2160"/>
          </w:tcPr>
          <w:p>
            <w:r>
              <w:t>建设领域</w:t>
            </w:r>
          </w:p>
        </w:tc>
        <w:tc>
          <w:tcPr>
            <w:tcW w:type="dxa" w:w="2160"/>
          </w:tcPr>
          <w:p>
            <w:r>
              <w:t>主要成果</w:t>
            </w:r>
          </w:p>
        </w:tc>
        <w:tc>
          <w:tcPr>
            <w:tcW w:type="dxa" w:w="2160"/>
          </w:tcPr>
          <w:p>
            <w:r>
              <w:t>境外调研重点</w:t>
            </w:r>
          </w:p>
        </w:tc>
      </w:tr>
      <w:tr>
        <w:tc>
          <w:tcPr>
            <w:tcW w:type="dxa" w:w="2160"/>
          </w:tcPr>
          <w:p>
            <w:r>
              <w:t>2026年</w:t>
            </w:r>
          </w:p>
        </w:tc>
        <w:tc>
          <w:tcPr>
            <w:tcW w:type="dxa" w:w="2160"/>
          </w:tcPr>
          <w:p>
            <w:r>
              <w:t>财务管理、股权投资、物资服务采购</w:t>
            </w:r>
          </w:p>
        </w:tc>
        <w:tc>
          <w:tcPr>
            <w:tcW w:type="dxa" w:w="2160"/>
          </w:tcPr>
          <w:p>
            <w:r>
              <w:t>控制标准；顶层设计；制度修订；三年规划</w:t>
            </w:r>
          </w:p>
        </w:tc>
        <w:tc>
          <w:tcPr>
            <w:tcW w:type="dxa" w:w="2160"/>
          </w:tcPr>
          <w:p>
            <w:r>
              <w:t>物资服务采购须组织境外团队深度参与；财务、投资以总部为主</w:t>
            </w:r>
          </w:p>
        </w:tc>
      </w:tr>
      <w:tr>
        <w:tc>
          <w:tcPr>
            <w:tcW w:type="dxa" w:w="2160"/>
          </w:tcPr>
          <w:p>
            <w:r>
              <w:t>2027年</w:t>
            </w:r>
          </w:p>
        </w:tc>
        <w:tc>
          <w:tcPr>
            <w:tcW w:type="dxa" w:w="2160"/>
          </w:tcPr>
          <w:p>
            <w:r>
              <w:t>合同管理、员工报账、职工福利保障与薪酬、数字化与研发投入、设备（资产）管理、营销售电</w:t>
            </w:r>
          </w:p>
        </w:tc>
        <w:tc>
          <w:tcPr>
            <w:tcW w:type="dxa" w:w="2160"/>
          </w:tcPr>
          <w:p>
            <w:r>
              <w:t>第二批领域控制标准；首批三个领域控制规则与KRI指标</w:t>
            </w:r>
          </w:p>
        </w:tc>
        <w:tc>
          <w:tcPr>
            <w:tcW w:type="dxa" w:w="2160"/>
          </w:tcPr>
          <w:p>
            <w:r>
              <w:t>六个新增领域均开展总部与境外对比调研</w:t>
            </w:r>
          </w:p>
        </w:tc>
      </w:tr>
      <w:tr>
        <w:tc>
          <w:tcPr>
            <w:tcW w:type="dxa" w:w="2160"/>
          </w:tcPr>
          <w:p>
            <w:r>
              <w:t>2028年</w:t>
            </w:r>
          </w:p>
        </w:tc>
        <w:tc>
          <w:tcPr>
            <w:tcW w:type="dxa" w:w="2160"/>
          </w:tcPr>
          <w:p>
            <w:r>
              <w:t>交易与购电、电网基建、配网工程、特高压建设</w:t>
            </w:r>
          </w:p>
        </w:tc>
        <w:tc>
          <w:tcPr>
            <w:tcW w:type="dxa" w:w="2160"/>
          </w:tcPr>
          <w:p>
            <w:r>
              <w:t>剩余领域控制标准及规则指标；内控系统上线运行</w:t>
            </w:r>
          </w:p>
        </w:tc>
        <w:tc>
          <w:tcPr>
            <w:tcW w:type="dxa" w:w="2160"/>
          </w:tcPr>
          <w:p>
            <w:r>
              <w:t>电网业务领域结合境外项目实际开展调研</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