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FFC82">
      <w:pPr>
        <w:widowControl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spacing w:val="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5455920</wp:posOffset>
            </wp:positionH>
            <wp:positionV relativeFrom="paragraph">
              <wp:posOffset>-83185</wp:posOffset>
            </wp:positionV>
            <wp:extent cx="869315" cy="1049020"/>
            <wp:effectExtent l="0" t="0" r="19685" b="177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2686" r="13935" b="11453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auto"/>
          <w:spacing w:val="6"/>
          <w:sz w:val="32"/>
          <w:szCs w:val="32"/>
          <w:lang w:eastAsia="zh-CN"/>
        </w:rPr>
        <w:t>王博</w:t>
      </w:r>
    </w:p>
    <w:p w14:paraId="7B66B65A">
      <w:pPr>
        <w:numPr>
          <w:ilvl w:val="0"/>
          <w:numId w:val="1"/>
        </w:numPr>
        <w:spacing w:line="300" w:lineRule="exact"/>
        <w:ind w:left="170" w:hanging="170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电话：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 xml:space="preserve">15955581917 </w:t>
      </w:r>
    </w:p>
    <w:p w14:paraId="2E6EA491">
      <w:pPr>
        <w:numPr>
          <w:ilvl w:val="0"/>
          <w:numId w:val="1"/>
        </w:numPr>
        <w:adjustRightInd w:val="0"/>
        <w:snapToGrid w:val="0"/>
        <w:spacing w:line="300" w:lineRule="exact"/>
        <w:ind w:left="170" w:hanging="17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邮箱：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>wangbo24@tju.edu.cn</w:t>
      </w:r>
    </w:p>
    <w:p w14:paraId="65AC0A8B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个人优势</w:t>
      </w:r>
    </w:p>
    <w:p w14:paraId="141D555C">
      <w:pPr>
        <w:numPr>
          <w:numId w:val="0"/>
        </w:numPr>
        <w:spacing w:before="72" w:beforeLines="30" w:line="300" w:lineRule="exact"/>
        <w:ind w:leftChars="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985本硕背景：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吉林大学会计学（专业前3），天津大学金融学保研，以第二作者在《会计研究》（中文核心）发表论文。</w:t>
      </w:r>
    </w:p>
    <w:p w14:paraId="44605C40">
      <w:pPr>
        <w:numPr>
          <w:numId w:val="0"/>
        </w:numPr>
        <w:spacing w:line="300" w:lineRule="exact"/>
        <w:ind w:leftChars="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扎实学术基础：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财务会计/金融/数学基础扎实（核心课程均分94+），精通Python量化建模（机器学习、因子开发、策略回测）。</w:t>
      </w:r>
    </w:p>
    <w:p w14:paraId="3FBFD512">
      <w:pPr>
        <w:numPr>
          <w:numId w:val="0"/>
        </w:numPr>
        <w:spacing w:line="300" w:lineRule="exact"/>
        <w:ind w:leftChars="0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金融实战经验：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主导事件驱动/高频因子/CTA策略开发，事件策略年化收益达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69.2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%，夏普比率1.9，最大回撤16.3%。</w:t>
      </w:r>
    </w:p>
    <w:p w14:paraId="3D5DFADE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教育经历</w:t>
      </w:r>
    </w:p>
    <w:p w14:paraId="596DDCA1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天津大学（985，保送）                                         金融 硕士                                                                       2023.09 - 2026.01 </w:t>
      </w:r>
    </w:p>
    <w:p w14:paraId="66B5FF5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核心课程：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公司金融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（92）、投资学（88）、金融计量经济学（86）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、金融工程理论、Python分析、高级商业分析、数据可视化。</w:t>
      </w:r>
    </w:p>
    <w:p w14:paraId="6F120AF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荣誉</w:t>
      </w:r>
      <w:r>
        <w:rPr>
          <w:rFonts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奖项：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天津大学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 xml:space="preserve">二等奖学金（前15%） </w:t>
      </w:r>
    </w:p>
    <w:p w14:paraId="223C9050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吉林大学（985）                                                  财务与会计 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>本科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                                                              2019.09 - 2023.06 </w:t>
      </w:r>
    </w:p>
    <w:p w14:paraId="0878FF0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核心课程：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微积分(94)、线性代数(98)、概率论(99)、C语言(91)、管理会计(91)、微观经济学(94)、宏观经济学(93) </w:t>
      </w:r>
    </w:p>
    <w:p w14:paraId="24DD026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成绩荣誉：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3.8/4.0 专业前3 ；一等奖学金（前5%）、二等奖学金（前10%）、校优秀学生（前5%）、院优秀学生（前10%） </w:t>
      </w:r>
    </w:p>
    <w:p w14:paraId="4DB19569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b w:val="0"/>
          <w:bCs w:val="0"/>
          <w:color w:val="auto"/>
          <w:spacing w:val="6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实习</w:t>
      </w:r>
      <w:r>
        <w:rPr>
          <w:rFonts w:hint="eastAsia" w:ascii="微软雅黑" w:hAnsi="微软雅黑" w:eastAsia="微软雅黑" w:cs="微软雅黑"/>
          <w:color w:val="auto"/>
          <w:spacing w:val="6"/>
        </w:rPr>
        <w:t>经历</w:t>
      </w:r>
    </w:p>
    <w:p w14:paraId="30BDCA3E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上海量魁私募基金管理有限公司                        投研部门  |  量化研究员                                                        2025.05 - 2025.08</w:t>
      </w:r>
    </w:p>
    <w:p w14:paraId="7C0471F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开发事件驱动策略：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分析A股ST股票公告事件时间分布和持有收益，实证扭亏业绩预告公告发布后40天累计超额收益达7.0%（t值=2.9）；挖掘日内失衡因子与超预期因子对公告事件收益的促进作用（多头组合收益分别提升2.2%和3%）</w:t>
      </w:r>
    </w:p>
    <w:p w14:paraId="3269AB3C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机器学习预测模型：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整合月度频率盈利能力、治理情况等基本面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信息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与基础量价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等20+特征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，使用Random Forest、XGBoost等二元分类机器学习模型滚动预测次月摘帽可能性，样本外准确率达77.6%</w:t>
      </w:r>
    </w:p>
    <w:p w14:paraId="722732C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回测框架设计：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以摘帽概率较高的ST企业作为股票池且每月更新，涨停触发买入信号持有20日平仓或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单日下跌4.9%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止损，2018-2025回测期间年化收益69.2%/夏普比率1.9/最大回撤16.3%</w:t>
      </w:r>
    </w:p>
    <w:p w14:paraId="64D40C01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渤海证券                                                    对冲量化部门  |  量化交易实习生                                                 2025.01 - 2025.05</w:t>
      </w:r>
    </w:p>
    <w:p w14:paraId="35DD6B30">
      <w:pPr>
        <w:pStyle w:val="1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 w:firstLineChars="0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高频因子开发</w:t>
      </w:r>
      <w:r>
        <w:rPr>
          <w:rFonts w:hint="eastAsia" w:cs="方正品尚黑简体" w:asciiTheme="minorEastAsia" w:hAnsiTheme="minorEastAsia" w:eastAsiaTheme="minorEastAsia"/>
          <w:b/>
          <w:bCs/>
          <w:spacing w:val="6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基于股票逐笔成交数据的非孤立单构建每日成交不平衡因子，经市值中性化+涨跌幅正交化处理，因子ICIR达2.52，多空对冲组合年化收益25.51%/最大回撤10.07%；对因子频率、孤立成交单窗口期等参数进行敏感性分析</w:t>
      </w:r>
    </w:p>
    <w:p w14:paraId="03830FD7">
      <w:pPr>
        <w:pStyle w:val="1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 w:firstLineChars="0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商品期货策略：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针对主力合约开发Aberration、Boll、DMA、MA、MACD均线策略，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每3月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根据流动性变动因子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调整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多头组合，针对每一品种以过去3个月夏普比率最高的均线策略作为择时策略，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2021-2025.04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期间回测年均收益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12.2%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/最大回撤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11.6%</w:t>
      </w:r>
    </w:p>
    <w:p w14:paraId="5603512B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申万宏源证券                                                     投行部门  |  投资助理                                                          2022.09 - 2022.11</w:t>
      </w:r>
    </w:p>
    <w:p w14:paraId="584DC2F3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参与IPO财务核查：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协助进行尽职调查、按照质控部门要求补充招股说明书财务信息底稿；具体负责拟上市企业采购、销售数据的公允性调查以及与同行业企业的对比分析；核查内部控制环节的可靠性并对具体的业务流程施行穿行测试。</w:t>
      </w:r>
    </w:p>
    <w:p w14:paraId="3A3CC66F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测试内控流程：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协助项目组核查会计事务所提供的拟上市企业财务状况分析，完善关联企业信息，核实销售借贷等业务活动的真实性</w:t>
      </w:r>
      <w:r>
        <w:rPr>
          <w:rFonts w:ascii="微软雅黑" w:hAnsi="微软雅黑" w:eastAsia="微软雅黑" w:cs="微软雅黑"/>
          <w:spacing w:val="6"/>
          <w:sz w:val="18"/>
          <w:szCs w:val="18"/>
          <w:lang w:eastAsia="zh-CN"/>
        </w:rPr>
        <w:t>。</w:t>
      </w:r>
    </w:p>
    <w:p w14:paraId="48956837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b w:val="0"/>
          <w:bCs w:val="0"/>
          <w:color w:val="auto"/>
          <w:spacing w:val="6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color w:val="auto"/>
          <w:spacing w:val="6"/>
        </w:rPr>
        <w:t>经历</w:t>
      </w:r>
      <w:bookmarkStart w:id="0" w:name="_GoBack"/>
      <w:bookmarkEnd w:id="0"/>
    </w:p>
    <w:p w14:paraId="26CBE24B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ST股票事件驱动策略 | 独立研究项目                                                                                                            2025.05 - 2025.08  </w:t>
      </w:r>
    </w:p>
    <w:p w14:paraId="76B528B1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>事件后收益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对发布后存在明显持续收益的事件构建事件驱动型策略，其中扭亏业绩预告公告后持有40日的平均累积超额收益为7%，涨停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事件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后持有90日的平均累积超额收益为6.7%；对于首次公布扭亏或在第二季度的涨停事件表现更佳。</w:t>
      </w:r>
    </w:p>
    <w:p w14:paraId="1EE6F927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val="en-US" w:eastAsia="zh-CN"/>
        </w:rPr>
        <w:t>事件前预测</w:t>
      </w: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基于指标发布日严格匹配公司财务指标与量价因子，使用XGBoost等机器学习开发ST企业摘帽概率模型，样本外预测准确率77.6%；对于摘帽概率高的股票构建DQN网络时序模型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细化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买入卖出时点。</w:t>
      </w:r>
    </w:p>
    <w:p w14:paraId="1DF1018C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大宗商品CTA策略设计 | 渤海证券项目                                                                                                         2025.03 - 2025.05  </w:t>
      </w:r>
    </w:p>
    <w:p w14:paraId="41D50A10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构建动态调仓框架：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每3月调整期货品种组合，以交易量和换手率变动因子交叉选股，以过去3个月夏普比率最高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val="en-US" w:eastAsia="zh-CN"/>
        </w:rPr>
        <w:t>者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为择时策略。</w:t>
      </w:r>
    </w:p>
    <w:p w14:paraId="24EFD61D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日内收益预测：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基于快照数据构建多开空开不平衡因子，调整因子计算频率与未来收益率窗口构建相关系数矩阵，筛选最优参数组合。</w:t>
      </w:r>
    </w:p>
    <w:p w14:paraId="1FF5E942">
      <w:pPr>
        <w:spacing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股票逐笔成交因子开发 | 渤海证券项目                                                                                                                 2025.01 - 2025.02  </w:t>
      </w:r>
    </w:p>
    <w:p w14:paraId="380250D5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创新因子构造方法：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构建成交单不平衡因子的基础上使用累积涨跌幅（反转因子）进行正交化处理，因子有效性指标ICIR提升50% 。 </w:t>
      </w:r>
    </w:p>
    <w:p w14:paraId="4BE3DCA3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因子多角度验证：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剔除常用的市场风格因子影响之后，因子年化ICIR及多空组合的信息比率达1.8，通过机构风控测试。  </w:t>
      </w:r>
    </w:p>
    <w:p w14:paraId="7F942A35">
      <w:pPr>
        <w:pStyle w:val="18"/>
        <w:pBdr>
          <w:bottom w:val="single" w:color="auto" w:sz="4" w:space="0"/>
        </w:pBdr>
        <w:spacing w:before="120" w:beforeLines="50" w:after="0" w:line="300" w:lineRule="exact"/>
        <w:rPr>
          <w:rFonts w:hint="eastAsia" w:ascii="微软雅黑" w:hAnsi="微软雅黑" w:eastAsia="微软雅黑" w:cs="微软雅黑"/>
          <w:b w:val="0"/>
          <w:bCs w:val="0"/>
          <w:color w:val="auto"/>
          <w:spacing w:val="6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科研</w:t>
      </w:r>
      <w:r>
        <w:rPr>
          <w:rFonts w:hint="eastAsia" w:ascii="微软雅黑" w:hAnsi="微软雅黑" w:eastAsia="微软雅黑" w:cs="微软雅黑"/>
          <w:color w:val="auto"/>
          <w:spacing w:val="6"/>
        </w:rPr>
        <w:t>经历</w:t>
      </w:r>
    </w:p>
    <w:p w14:paraId="72244104">
      <w:pPr>
        <w:spacing w:before="72" w:beforeLines="30" w:line="300" w:lineRule="exact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 xml:space="preserve">《地方政府债务治理与企业避税》 | 《会计研究》         第二作者                                                                                      2025.04  </w:t>
      </w:r>
    </w:p>
    <w:p w14:paraId="73DF29C4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政策效应评估：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以《预算法》实施为准自然实验，基于企业避税"收益-成本"权衡理论，分析地方政府债务治理对企业避税的影响。</w:t>
      </w:r>
    </w:p>
    <w:p w14:paraId="53523305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创新数据库构建：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整合Wind/CNRDS平台数据，构建地方融资平台有息债务数据库，覆盖2000+企业样本。</w:t>
      </w:r>
    </w:p>
    <w:p w14:paraId="137C3989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83" w:hanging="283"/>
        <w:textAlignment w:val="auto"/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严谨实证检验：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>通过Stata完成基准回归、稳健性检验、异质性检验、机制等数据分析过程，运用模糊匹配技术识别集团避税证据。</w:t>
      </w:r>
    </w:p>
    <w:p w14:paraId="1FB7F3C5">
      <w:pPr>
        <w:pStyle w:val="18"/>
        <w:pBdr>
          <w:bottom w:val="single" w:color="auto" w:sz="4" w:space="0"/>
        </w:pBdr>
        <w:spacing w:after="0" w:line="300" w:lineRule="exact"/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6"/>
          <w:lang w:val="en-US" w:eastAsia="zh-CN"/>
        </w:rPr>
        <w:t>专业技能</w:t>
      </w:r>
    </w:p>
    <w:p w14:paraId="6F0F8C7A">
      <w:pPr>
        <w:numPr>
          <w:ilvl w:val="0"/>
          <w:numId w:val="11"/>
        </w:numPr>
        <w:spacing w:before="72" w:beforeLines="30"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语言：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中文母语，英文流利CET-4（555），CET-6（534），可作为工作及科研用语。  </w:t>
      </w:r>
    </w:p>
    <w:p w14:paraId="428D2233">
      <w:pPr>
        <w:numPr>
          <w:ilvl w:val="0"/>
          <w:numId w:val="11"/>
        </w:numPr>
        <w:spacing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证书：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 xml:space="preserve">初级会计证书  </w:t>
      </w:r>
    </w:p>
    <w:p w14:paraId="3B65DE5C">
      <w:pPr>
        <w:numPr>
          <w:ilvl w:val="0"/>
          <w:numId w:val="11"/>
        </w:numPr>
        <w:spacing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</w:rPr>
        <w:t>编程：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</w:rPr>
        <w:t xml:space="preserve">Python（熟练使用pandas数据清洗、sklearn建模、NumPy数值计算）  </w:t>
      </w:r>
    </w:p>
    <w:p w14:paraId="4E105579">
      <w:pPr>
        <w:numPr>
          <w:ilvl w:val="0"/>
          <w:numId w:val="11"/>
        </w:numPr>
        <w:spacing w:line="300" w:lineRule="exact"/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18"/>
          <w:szCs w:val="18"/>
          <w:lang w:eastAsia="zh-CN"/>
        </w:rPr>
        <w:t>量化工具：</w:t>
      </w:r>
      <w:r>
        <w:rPr>
          <w:rFonts w:hint="eastAsia" w:ascii="微软雅黑" w:hAnsi="微软雅黑" w:eastAsia="微软雅黑" w:cs="微软雅黑"/>
          <w:spacing w:val="6"/>
          <w:sz w:val="18"/>
          <w:szCs w:val="18"/>
          <w:lang w:eastAsia="zh-CN"/>
        </w:rPr>
        <w:t xml:space="preserve">精通策略回测框架、因子IC分析、参数敏感性测试  </w:t>
      </w:r>
    </w:p>
    <w:sectPr>
      <w:pgSz w:w="11900" w:h="16840"/>
      <w:pgMar w:top="567" w:right="454" w:bottom="567" w:left="454" w:header="216" w:footer="216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品尚黑简体">
    <w:altName w:val="黑体"/>
    <w:panose1 w:val="00000000000000000000"/>
    <w:charset w:val="86"/>
    <w:family w:val="auto"/>
    <w:pitch w:val="default"/>
    <w:sig w:usb0="00000000" w:usb1="00000000" w:usb2="00000012" w:usb3="00000000" w:csb0="00040000" w:csb1="00000000"/>
  </w:font>
  <w:font w:name="汉仪中黑KW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 197">
    <w:panose1 w:val="00020600040101010101"/>
    <w:charset w:val="86"/>
    <w:family w:val="auto"/>
    <w:pitch w:val="default"/>
    <w:sig w:usb0="A00002BF" w:usb1="18EF7CFA" w:usb2="00000016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77AF0"/>
    <w:multiLevelType w:val="singleLevel"/>
    <w:tmpl w:val="1FB77AF0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52A6DB2"/>
    <w:multiLevelType w:val="multilevel"/>
    <w:tmpl w:val="252A6DB2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2AD67CF5"/>
    <w:multiLevelType w:val="multilevel"/>
    <w:tmpl w:val="2AD67CF5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2CBB4D0E"/>
    <w:multiLevelType w:val="multilevel"/>
    <w:tmpl w:val="2CBB4D0E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3A8C431A"/>
    <w:multiLevelType w:val="multilevel"/>
    <w:tmpl w:val="3A8C431A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5966F249"/>
    <w:multiLevelType w:val="singleLevel"/>
    <w:tmpl w:val="5966F2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D1B1182"/>
    <w:multiLevelType w:val="multilevel"/>
    <w:tmpl w:val="5D1B1182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67CB2AEC"/>
    <w:multiLevelType w:val="multilevel"/>
    <w:tmpl w:val="67CB2AE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8">
    <w:nsid w:val="6A272E0A"/>
    <w:multiLevelType w:val="multilevel"/>
    <w:tmpl w:val="6A272E0A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9">
    <w:nsid w:val="791609EE"/>
    <w:multiLevelType w:val="multilevel"/>
    <w:tmpl w:val="791609EE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0">
    <w:nsid w:val="7C2310A1"/>
    <w:multiLevelType w:val="multilevel"/>
    <w:tmpl w:val="7C2310A1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81"/>
  <w:drawingGridVerticalSpacing w:val="18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NzQxOGRlNTcxZDcxMzg2YWU5NDA1NmVhZjNlMTQifQ=="/>
  </w:docVars>
  <w:rsids>
    <w:rsidRoot w:val="00636AA9"/>
    <w:rsid w:val="0002052F"/>
    <w:rsid w:val="00086690"/>
    <w:rsid w:val="0009341F"/>
    <w:rsid w:val="000E1946"/>
    <w:rsid w:val="000F38EF"/>
    <w:rsid w:val="00150D4A"/>
    <w:rsid w:val="00215598"/>
    <w:rsid w:val="00217187"/>
    <w:rsid w:val="00260F7B"/>
    <w:rsid w:val="00262CED"/>
    <w:rsid w:val="00264355"/>
    <w:rsid w:val="00437E61"/>
    <w:rsid w:val="00453DF1"/>
    <w:rsid w:val="00477F22"/>
    <w:rsid w:val="004B52B0"/>
    <w:rsid w:val="004C4A76"/>
    <w:rsid w:val="00511847"/>
    <w:rsid w:val="0052087A"/>
    <w:rsid w:val="00536AAF"/>
    <w:rsid w:val="005E5596"/>
    <w:rsid w:val="00636AA9"/>
    <w:rsid w:val="00713DCF"/>
    <w:rsid w:val="007647EC"/>
    <w:rsid w:val="007920DA"/>
    <w:rsid w:val="008A0DC8"/>
    <w:rsid w:val="008C25A4"/>
    <w:rsid w:val="00915398"/>
    <w:rsid w:val="00982E68"/>
    <w:rsid w:val="00991829"/>
    <w:rsid w:val="00A23546"/>
    <w:rsid w:val="00B21747"/>
    <w:rsid w:val="00B97744"/>
    <w:rsid w:val="00C07984"/>
    <w:rsid w:val="00EE1902"/>
    <w:rsid w:val="00EE67A3"/>
    <w:rsid w:val="00EE7FEA"/>
    <w:rsid w:val="00F47D2B"/>
    <w:rsid w:val="00F73027"/>
    <w:rsid w:val="00FB1874"/>
    <w:rsid w:val="024B15E3"/>
    <w:rsid w:val="03AB0942"/>
    <w:rsid w:val="05507620"/>
    <w:rsid w:val="058613AA"/>
    <w:rsid w:val="06CF08EA"/>
    <w:rsid w:val="071E74B3"/>
    <w:rsid w:val="07A710F1"/>
    <w:rsid w:val="09001155"/>
    <w:rsid w:val="0A2F25AF"/>
    <w:rsid w:val="0A5B1687"/>
    <w:rsid w:val="0AFA7231"/>
    <w:rsid w:val="0B9E4629"/>
    <w:rsid w:val="0C757220"/>
    <w:rsid w:val="0CA060AB"/>
    <w:rsid w:val="0E3601F3"/>
    <w:rsid w:val="0F3B75EA"/>
    <w:rsid w:val="10431D13"/>
    <w:rsid w:val="14524790"/>
    <w:rsid w:val="15895A18"/>
    <w:rsid w:val="163308AB"/>
    <w:rsid w:val="16342EC5"/>
    <w:rsid w:val="17695F0B"/>
    <w:rsid w:val="18152EED"/>
    <w:rsid w:val="18492AAE"/>
    <w:rsid w:val="18D6206B"/>
    <w:rsid w:val="19900AA5"/>
    <w:rsid w:val="1A9776FB"/>
    <w:rsid w:val="1AED56D7"/>
    <w:rsid w:val="1B877542"/>
    <w:rsid w:val="1BD20A7C"/>
    <w:rsid w:val="1D2C71B8"/>
    <w:rsid w:val="1D8F62F3"/>
    <w:rsid w:val="1F097721"/>
    <w:rsid w:val="1F5F05E8"/>
    <w:rsid w:val="1F6D103C"/>
    <w:rsid w:val="2017685A"/>
    <w:rsid w:val="20E00C0C"/>
    <w:rsid w:val="21C2753E"/>
    <w:rsid w:val="21DD6EFA"/>
    <w:rsid w:val="223F7355"/>
    <w:rsid w:val="23E5745B"/>
    <w:rsid w:val="240C0A38"/>
    <w:rsid w:val="24FEA26B"/>
    <w:rsid w:val="2560271E"/>
    <w:rsid w:val="27B36BED"/>
    <w:rsid w:val="29B05718"/>
    <w:rsid w:val="2A217AC4"/>
    <w:rsid w:val="2AAB4446"/>
    <w:rsid w:val="2B7037C7"/>
    <w:rsid w:val="2BA36361"/>
    <w:rsid w:val="2CBF1BAC"/>
    <w:rsid w:val="2D191BB3"/>
    <w:rsid w:val="2D691E3C"/>
    <w:rsid w:val="2D77204C"/>
    <w:rsid w:val="2D7D04FB"/>
    <w:rsid w:val="2E202183"/>
    <w:rsid w:val="2EA36FE1"/>
    <w:rsid w:val="2F4B39AF"/>
    <w:rsid w:val="2F823F28"/>
    <w:rsid w:val="30B113A2"/>
    <w:rsid w:val="313E6D93"/>
    <w:rsid w:val="317713A7"/>
    <w:rsid w:val="324B4193"/>
    <w:rsid w:val="343C1430"/>
    <w:rsid w:val="34696949"/>
    <w:rsid w:val="34C50E05"/>
    <w:rsid w:val="385B3E23"/>
    <w:rsid w:val="3A3064A2"/>
    <w:rsid w:val="3A4F0F00"/>
    <w:rsid w:val="3A783ADB"/>
    <w:rsid w:val="3AA25344"/>
    <w:rsid w:val="3B7E4CA6"/>
    <w:rsid w:val="3BFB2FBD"/>
    <w:rsid w:val="3C972663"/>
    <w:rsid w:val="3CDE3A95"/>
    <w:rsid w:val="3E1248FB"/>
    <w:rsid w:val="3E1B1E27"/>
    <w:rsid w:val="3E296A6B"/>
    <w:rsid w:val="40FC622F"/>
    <w:rsid w:val="451F3201"/>
    <w:rsid w:val="459551E8"/>
    <w:rsid w:val="460E4764"/>
    <w:rsid w:val="472F98F6"/>
    <w:rsid w:val="48244D33"/>
    <w:rsid w:val="49735167"/>
    <w:rsid w:val="49B80255"/>
    <w:rsid w:val="49DA098B"/>
    <w:rsid w:val="4A791F0B"/>
    <w:rsid w:val="4A8605D3"/>
    <w:rsid w:val="4C98598E"/>
    <w:rsid w:val="4D7F0CE1"/>
    <w:rsid w:val="4E660E50"/>
    <w:rsid w:val="4F3F1455"/>
    <w:rsid w:val="50336C85"/>
    <w:rsid w:val="5127014E"/>
    <w:rsid w:val="52265B4E"/>
    <w:rsid w:val="52B0678D"/>
    <w:rsid w:val="53330CBE"/>
    <w:rsid w:val="55296C67"/>
    <w:rsid w:val="554D470B"/>
    <w:rsid w:val="563873B7"/>
    <w:rsid w:val="5677476A"/>
    <w:rsid w:val="56FBCFE7"/>
    <w:rsid w:val="57344EE1"/>
    <w:rsid w:val="57DE5353"/>
    <w:rsid w:val="581721CE"/>
    <w:rsid w:val="59892805"/>
    <w:rsid w:val="5A52115F"/>
    <w:rsid w:val="5A5928C4"/>
    <w:rsid w:val="5AFCBDAA"/>
    <w:rsid w:val="5B3C07D9"/>
    <w:rsid w:val="5CA00C74"/>
    <w:rsid w:val="5D0B274A"/>
    <w:rsid w:val="5F5C4E94"/>
    <w:rsid w:val="5F6374EA"/>
    <w:rsid w:val="5FF828CF"/>
    <w:rsid w:val="62756482"/>
    <w:rsid w:val="62DA398D"/>
    <w:rsid w:val="63EC71AC"/>
    <w:rsid w:val="64578A42"/>
    <w:rsid w:val="647A73CB"/>
    <w:rsid w:val="650871EF"/>
    <w:rsid w:val="66E446E0"/>
    <w:rsid w:val="69A05DBF"/>
    <w:rsid w:val="6B065463"/>
    <w:rsid w:val="6BDB073C"/>
    <w:rsid w:val="6CEB2A7E"/>
    <w:rsid w:val="6D72417C"/>
    <w:rsid w:val="6E073463"/>
    <w:rsid w:val="6FAC44BC"/>
    <w:rsid w:val="709F7B9A"/>
    <w:rsid w:val="72053ED2"/>
    <w:rsid w:val="737775EF"/>
    <w:rsid w:val="73E97D57"/>
    <w:rsid w:val="748E0359"/>
    <w:rsid w:val="74CB075D"/>
    <w:rsid w:val="76E9529A"/>
    <w:rsid w:val="77A74027"/>
    <w:rsid w:val="77D02DC0"/>
    <w:rsid w:val="793C6888"/>
    <w:rsid w:val="7A0409A9"/>
    <w:rsid w:val="7B5B4E5C"/>
    <w:rsid w:val="7CC0773B"/>
    <w:rsid w:val="7D294931"/>
    <w:rsid w:val="7DEF4048"/>
    <w:rsid w:val="7E65A1BF"/>
    <w:rsid w:val="7E7675F8"/>
    <w:rsid w:val="7F190EEB"/>
    <w:rsid w:val="7F293376"/>
    <w:rsid w:val="7FBF4D32"/>
    <w:rsid w:val="7FD4792D"/>
    <w:rsid w:val="7FE64A6C"/>
    <w:rsid w:val="7FF9519E"/>
    <w:rsid w:val="7FFFDA08"/>
    <w:rsid w:val="8BD331C5"/>
    <w:rsid w:val="B6BDDCFD"/>
    <w:rsid w:val="B7DA3C15"/>
    <w:rsid w:val="BFEF040C"/>
    <w:rsid w:val="DB78D848"/>
    <w:rsid w:val="DDEDDB36"/>
    <w:rsid w:val="DDFFE93C"/>
    <w:rsid w:val="E7FD7D79"/>
    <w:rsid w:val="EF6DAE3F"/>
    <w:rsid w:val="F6DB6F09"/>
    <w:rsid w:val="FEBBFBBB"/>
    <w:rsid w:val="FFF69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en-US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</w:style>
  <w:style w:type="paragraph" w:styleId="3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zh-CN" w:bidi="ar-SA"/>
    </w:rPr>
  </w:style>
  <w:style w:type="paragraph" w:styleId="6">
    <w:name w:val="Normal (Web)"/>
    <w:basedOn w:val="1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3">
    <w:name w:val="Body text|3_"/>
    <w:basedOn w:val="9"/>
    <w:link w:val="14"/>
    <w:qFormat/>
    <w:uiPriority w:val="0"/>
    <w:rPr>
      <w:rFonts w:ascii="宋体" w:hAnsi="宋体" w:eastAsia="宋体" w:cs="宋体"/>
      <w:b/>
      <w:bCs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14">
    <w:name w:val="Body text|3"/>
    <w:basedOn w:val="1"/>
    <w:link w:val="13"/>
    <w:qFormat/>
    <w:uiPriority w:val="0"/>
    <w:pPr>
      <w:spacing w:after="40"/>
      <w:jc w:val="center"/>
    </w:pPr>
    <w:rPr>
      <w:rFonts w:ascii="宋体" w:hAnsi="宋体" w:eastAsia="宋体" w:cs="宋体"/>
      <w:b/>
      <w:bCs/>
      <w:sz w:val="30"/>
      <w:szCs w:val="30"/>
      <w:lang w:val="zh-TW" w:eastAsia="zh-TW" w:bidi="zh-TW"/>
    </w:rPr>
  </w:style>
  <w:style w:type="character" w:customStyle="1" w:styleId="15">
    <w:name w:val="Body text|1_"/>
    <w:basedOn w:val="9"/>
    <w:link w:val="16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16">
    <w:name w:val="Body text|1"/>
    <w:basedOn w:val="1"/>
    <w:link w:val="15"/>
    <w:qFormat/>
    <w:uiPriority w:val="0"/>
    <w:pPr>
      <w:spacing w:after="40" w:line="264" w:lineRule="auto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17">
    <w:name w:val="Body text|2_"/>
    <w:basedOn w:val="9"/>
    <w:link w:val="18"/>
    <w:qFormat/>
    <w:uiPriority w:val="0"/>
    <w:rPr>
      <w:rFonts w:ascii="宋体" w:hAnsi="宋体" w:eastAsia="宋体" w:cs="宋体"/>
      <w:b/>
      <w:bCs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8">
    <w:name w:val="Body text|2"/>
    <w:basedOn w:val="1"/>
    <w:link w:val="17"/>
    <w:qFormat/>
    <w:uiPriority w:val="0"/>
    <w:pPr>
      <w:spacing w:after="140"/>
    </w:pPr>
    <w:rPr>
      <w:rFonts w:ascii="宋体" w:hAnsi="宋体" w:eastAsia="宋体" w:cs="宋体"/>
      <w:b/>
      <w:bCs/>
      <w:sz w:val="20"/>
      <w:szCs w:val="20"/>
      <w:lang w:val="zh-TW" w:eastAsia="zh-TW" w:bidi="zh-TW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9"/>
    <w:link w:val="4"/>
    <w:qFormat/>
    <w:uiPriority w:val="0"/>
    <w:rPr>
      <w:rFonts w:eastAsia="Times New Roman"/>
      <w:color w:val="000000"/>
      <w:sz w:val="18"/>
      <w:szCs w:val="18"/>
      <w:lang w:eastAsia="en-US" w:bidi="en-US"/>
    </w:rPr>
  </w:style>
  <w:style w:type="character" w:customStyle="1" w:styleId="21">
    <w:name w:val="页脚 字符"/>
    <w:basedOn w:val="9"/>
    <w:link w:val="3"/>
    <w:qFormat/>
    <w:uiPriority w:val="0"/>
    <w:rPr>
      <w:rFonts w:eastAsia="Times New Roman"/>
      <w:color w:val="000000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1823</Words>
  <Characters>2224</Characters>
  <Lines>23</Lines>
  <Paragraphs>6</Paragraphs>
  <TotalTime>1525</TotalTime>
  <ScaleCrop>false</ScaleCrop>
  <LinksUpToDate>false</LinksUpToDate>
  <CharactersWithSpaces>3228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2025-08-02T01:58:00Z</dcterms:created>
  <dc:creator>eve19</dc:creator>
  <cp:lastModifiedBy>在寻叶湘伦</cp:lastModifiedBy>
  <dcterms:modified xsi:type="dcterms:W3CDTF">2025-08-05T09:21:04Z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D5650E73060B9CA8B66C8C68D7729783_43</vt:lpwstr>
  </property>
  <property fmtid="{D5CDD505-2E9C-101B-9397-08002B2CF9AE}" pid="4" name="KSOTemplateDocerSaveRecord">
    <vt:lpwstr>eyJoZGlkIjoiYmExNzRkZDRlMTIxNTVhODM4Yjk1NDRlZjY3OTNkZDciLCJ1c2VySWQiOiI2NTQ4OTMxMTEifQ==</vt:lpwstr>
  </property>
</Properties>
</file>