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FC82" w14:textId="77777777" w:rsidR="00636AA9" w:rsidRDefault="00000000">
      <w:pPr>
        <w:widowControl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ABEBEE" wp14:editId="5586F5A8">
            <wp:simplePos x="0" y="0"/>
            <wp:positionH relativeFrom="column">
              <wp:posOffset>5455920</wp:posOffset>
            </wp:positionH>
            <wp:positionV relativeFrom="paragraph">
              <wp:posOffset>-83185</wp:posOffset>
            </wp:positionV>
            <wp:extent cx="869315" cy="1049020"/>
            <wp:effectExtent l="0" t="0" r="19685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2686" r="13935" b="11453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auto"/>
          <w:sz w:val="32"/>
          <w:szCs w:val="32"/>
          <w:lang w:eastAsia="zh-CN"/>
        </w:rPr>
        <w:t>王博</w:t>
      </w:r>
    </w:p>
    <w:p w14:paraId="7B66B65A" w14:textId="77777777" w:rsidR="00636AA9" w:rsidRDefault="00000000" w:rsidP="00536AAF">
      <w:pPr>
        <w:numPr>
          <w:ilvl w:val="0"/>
          <w:numId w:val="1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电话：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15955581917 </w:t>
      </w:r>
    </w:p>
    <w:p w14:paraId="2E6EA491" w14:textId="3CA7636F" w:rsidR="00636AA9" w:rsidRDefault="00000000" w:rsidP="00536AAF">
      <w:pPr>
        <w:numPr>
          <w:ilvl w:val="0"/>
          <w:numId w:val="1"/>
        </w:numPr>
        <w:adjustRightInd w:val="0"/>
        <w:snapToGrid w:val="0"/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邮箱：</w:t>
      </w:r>
      <w:r>
        <w:rPr>
          <w:rFonts w:ascii="微软雅黑" w:eastAsia="微软雅黑" w:hAnsi="微软雅黑" w:cs="微软雅黑" w:hint="eastAsia"/>
          <w:sz w:val="18"/>
          <w:szCs w:val="18"/>
        </w:rPr>
        <w:t>wangbo24@tju.edu.cn</w:t>
      </w:r>
    </w:p>
    <w:p w14:paraId="65AC0A8B" w14:textId="77777777" w:rsidR="00636AA9" w:rsidRDefault="00000000">
      <w:pPr>
        <w:pStyle w:val="Bodytext20"/>
        <w:pBdr>
          <w:bottom w:val="single" w:sz="4" w:space="0" w:color="auto"/>
        </w:pBdr>
        <w:spacing w:beforeLines="50" w:before="120" w:after="0" w:line="300" w:lineRule="exact"/>
        <w:rPr>
          <w:rFonts w:ascii="微软雅黑" w:eastAsia="微软雅黑" w:hAnsi="微软雅黑" w:cs="微软雅黑" w:hint="eastAsia"/>
          <w:color w:val="auto"/>
          <w:lang w:val="en-US" w:eastAsia="zh-CN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t>个人优势</w:t>
      </w:r>
    </w:p>
    <w:p w14:paraId="141D555C" w14:textId="7D895FEB" w:rsidR="00636AA9" w:rsidRDefault="00000000" w:rsidP="00536AAF">
      <w:pPr>
        <w:numPr>
          <w:ilvl w:val="0"/>
          <w:numId w:val="1"/>
        </w:numPr>
        <w:spacing w:beforeLines="30" w:before="72"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985本硕背景：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吉林大学会计学（专业前3）</w:t>
      </w:r>
      <w:r w:rsidR="00536AA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天津大学金融学保研，以第二作者在《会计研究》（中文核心）发表论文。</w:t>
      </w:r>
    </w:p>
    <w:p w14:paraId="44605C40" w14:textId="0F961A87" w:rsidR="00636AA9" w:rsidRDefault="00000000" w:rsidP="00536AAF">
      <w:pPr>
        <w:numPr>
          <w:ilvl w:val="0"/>
          <w:numId w:val="1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扎实学术基础：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财务会计/金融/数学基础扎实（核心课程均分94+），精通Python量化建模（</w:t>
      </w:r>
      <w:r w:rsidR="000F38E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机器学习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、因子开发、策略回测）。</w:t>
      </w:r>
    </w:p>
    <w:p w14:paraId="3FBFD512" w14:textId="7430CE9A" w:rsidR="00636AA9" w:rsidRDefault="00000000" w:rsidP="00536AAF">
      <w:pPr>
        <w:numPr>
          <w:ilvl w:val="0"/>
          <w:numId w:val="1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金融实战经验：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主导事件驱动/</w:t>
      </w:r>
      <w:r w:rsidR="00536AA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高频因子/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CTA策略</w:t>
      </w:r>
      <w:r w:rsidR="00536AA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开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发，</w:t>
      </w:r>
      <w:r w:rsidR="00C0798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事件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策略年化收益达</w:t>
      </w:r>
      <w:r w:rsidR="00C07984" w:rsidRPr="00C07984">
        <w:rPr>
          <w:rFonts w:ascii="微软雅黑" w:eastAsia="微软雅黑" w:hAnsi="微软雅黑" w:cs="微软雅黑"/>
          <w:sz w:val="18"/>
          <w:szCs w:val="18"/>
          <w:lang w:eastAsia="zh-CN"/>
        </w:rPr>
        <w:t>69.2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%，夏普比率1.</w:t>
      </w:r>
      <w:r w:rsidR="00C0798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9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，最大回撤</w:t>
      </w:r>
      <w:r w:rsidR="007647EC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1</w:t>
      </w:r>
      <w:r w:rsidR="00C0798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6.3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%。</w:t>
      </w:r>
    </w:p>
    <w:p w14:paraId="3D5DFADE" w14:textId="77777777" w:rsidR="00636AA9" w:rsidRDefault="00000000">
      <w:pPr>
        <w:pStyle w:val="Bodytext20"/>
        <w:pBdr>
          <w:bottom w:val="single" w:sz="4" w:space="0" w:color="auto"/>
        </w:pBdr>
        <w:spacing w:beforeLines="50" w:before="120" w:after="0" w:line="300" w:lineRule="exact"/>
        <w:rPr>
          <w:rFonts w:ascii="微软雅黑" w:eastAsia="微软雅黑" w:hAnsi="微软雅黑" w:cs="微软雅黑" w:hint="eastAsia"/>
          <w:color w:val="auto"/>
          <w:lang w:val="en-US" w:eastAsia="zh-CN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t>教育经历</w:t>
      </w:r>
    </w:p>
    <w:p w14:paraId="596DDCA1" w14:textId="1E417E8B" w:rsidR="00636AA9" w:rsidRDefault="00000000">
      <w:pPr>
        <w:spacing w:beforeLines="30" w:before="72"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天津大学（985，保送）                                         金融 硕士                                                                       2023.09 - 2026.0</w:t>
      </w:r>
      <w:r w:rsidR="0021718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</w:t>
      </w:r>
    </w:p>
    <w:p w14:paraId="66B5FF5A" w14:textId="176D9127" w:rsidR="00636AA9" w:rsidRDefault="00000000" w:rsidP="00217187">
      <w:pPr>
        <w:numPr>
          <w:ilvl w:val="0"/>
          <w:numId w:val="4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/>
          <w:bCs/>
          <w:sz w:val="18"/>
          <w:szCs w:val="18"/>
          <w:lang w:eastAsia="zh-CN"/>
        </w:rPr>
        <w:t>核心课程：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公司金融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（92）、投资学（88）、金融计量经济学（86）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、金融工程理论、</w:t>
      </w:r>
      <w:r w:rsidR="00217187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P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ython</w:t>
      </w:r>
      <w:r w:rsidR="00217187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分析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、高级商业分析、数据可视化。</w:t>
      </w:r>
    </w:p>
    <w:p w14:paraId="6F120AFD" w14:textId="19C6343B" w:rsidR="00636AA9" w:rsidRDefault="00000000" w:rsidP="00217187">
      <w:pPr>
        <w:numPr>
          <w:ilvl w:val="0"/>
          <w:numId w:val="4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荣誉</w:t>
      </w:r>
      <w:r>
        <w:rPr>
          <w:rFonts w:ascii="微软雅黑" w:eastAsia="微软雅黑" w:hAnsi="微软雅黑" w:cs="微软雅黑"/>
          <w:b/>
          <w:bCs/>
          <w:sz w:val="18"/>
          <w:szCs w:val="18"/>
          <w:lang w:eastAsia="zh-CN"/>
        </w:rPr>
        <w:t>奖项：</w:t>
      </w:r>
      <w:r w:rsidR="00217187" w:rsidRPr="00217187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天津大学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二等奖学金（前15%） </w:t>
      </w:r>
    </w:p>
    <w:p w14:paraId="223C9050" w14:textId="77777777" w:rsidR="00636AA9" w:rsidRDefault="00000000">
      <w:pPr>
        <w:spacing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吉林大学（985）                                                  财务与会计 学士                                                              2019.09 - 2023.06 </w:t>
      </w:r>
    </w:p>
    <w:p w14:paraId="0878FF0B" w14:textId="77777777" w:rsidR="00636AA9" w:rsidRDefault="00000000" w:rsidP="00217187">
      <w:pPr>
        <w:numPr>
          <w:ilvl w:val="0"/>
          <w:numId w:val="5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核心课程：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微积分(94)、线性代数(98)、概率论(99)、C语言(91)、管理会计(91)、微观经济学(94)、宏观经济学(93) 。</w:t>
      </w:r>
    </w:p>
    <w:p w14:paraId="24DD0265" w14:textId="4917F1F0" w:rsidR="00636AA9" w:rsidRDefault="00000000" w:rsidP="00217187">
      <w:pPr>
        <w:numPr>
          <w:ilvl w:val="0"/>
          <w:numId w:val="5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成绩荣誉：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3.</w:t>
      </w:r>
      <w:r w:rsidR="00217187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8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/4.0 专业前3 ；一等奖学金（前5%）、二等奖学金（前10%）、校优秀学生（前5%）、院优秀学生（前10%）。 </w:t>
      </w:r>
    </w:p>
    <w:p w14:paraId="4DB19569" w14:textId="77777777" w:rsidR="00636AA9" w:rsidRDefault="00000000">
      <w:pPr>
        <w:pStyle w:val="Bodytext20"/>
        <w:pBdr>
          <w:bottom w:val="single" w:sz="4" w:space="0" w:color="auto"/>
        </w:pBdr>
        <w:spacing w:beforeLines="50" w:before="120" w:after="0" w:line="300" w:lineRule="exact"/>
        <w:rPr>
          <w:rFonts w:ascii="微软雅黑" w:eastAsia="微软雅黑" w:hAnsi="微软雅黑" w:cs="微软雅黑" w:hint="eastAsia"/>
          <w:b w:val="0"/>
          <w:bCs w:val="0"/>
          <w:color w:val="auto"/>
          <w:sz w:val="18"/>
          <w:szCs w:val="18"/>
          <w:lang w:val="en-US" w:eastAsia="zh-CN" w:bidi="ar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t>实习</w:t>
      </w:r>
      <w:r>
        <w:rPr>
          <w:rFonts w:ascii="微软雅黑" w:eastAsia="微软雅黑" w:hAnsi="微软雅黑" w:cs="微软雅黑" w:hint="eastAsia"/>
          <w:color w:val="auto"/>
        </w:rPr>
        <w:t>经历</w:t>
      </w:r>
    </w:p>
    <w:p w14:paraId="30BDCA3E" w14:textId="3FDF2770" w:rsidR="00636AA9" w:rsidRDefault="00000000">
      <w:pPr>
        <w:spacing w:beforeLines="30" w:before="72"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上海</w:t>
      </w:r>
      <w:r w:rsidR="005E5596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量魁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私募</w:t>
      </w:r>
      <w:r w:rsidR="005E5596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基金管理有限公司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                      </w:t>
      </w:r>
      <w:r w:rsidR="00B2174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投研部门  |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量化</w:t>
      </w:r>
      <w:r w:rsidR="00F7302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研究员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                                              2025.05 - 2025.0</w:t>
      </w:r>
      <w:r w:rsidR="005E5596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8</w:t>
      </w:r>
    </w:p>
    <w:p w14:paraId="7C0471FB" w14:textId="1667B2D9" w:rsidR="00636AA9" w:rsidRDefault="00000000" w:rsidP="00F73027">
      <w:pPr>
        <w:numPr>
          <w:ilvl w:val="0"/>
          <w:numId w:val="6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开发事件驱动策略：</w:t>
      </w:r>
      <w:r w:rsidR="0002052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分析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A股ST股票公告</w:t>
      </w:r>
      <w:r w:rsidR="0002052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事件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时间分布和持有收益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，实证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扭亏</w:t>
      </w:r>
      <w:r w:rsidR="00477F22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业绩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预告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公告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发布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后40天累计超额收益达7.0%（t值=2.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9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）</w:t>
      </w:r>
      <w:r w:rsidR="008A0DC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；</w:t>
      </w:r>
      <w:r w:rsidR="00B21747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挖掘日内失衡因子与超预期因子对公告事件收益的促进作用，多头组合的40天</w:t>
      </w:r>
      <w:r w:rsidR="00477F22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累积超额收益分别提升2.2%和3%。</w:t>
      </w:r>
    </w:p>
    <w:p w14:paraId="3269AB3C" w14:textId="26987C8E" w:rsidR="0052087A" w:rsidRDefault="00000000" w:rsidP="0052087A">
      <w:pPr>
        <w:numPr>
          <w:ilvl w:val="0"/>
          <w:numId w:val="6"/>
        </w:numPr>
        <w:spacing w:line="300" w:lineRule="exact"/>
        <w:ind w:left="170" w:hanging="17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机器学习预测模型：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整合</w:t>
      </w:r>
      <w:r w:rsid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月度频率</w:t>
      </w:r>
      <w:r w:rsidR="00477F22" w:rsidRPr="00477F22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盈利能力、成长潜力、治理情况等基本面特征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与</w:t>
      </w:r>
      <w:r w:rsidR="00477F22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基础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量价因子，使用Random Forest、XGBoost等二元分类机器学习模型滚动预测次月摘帽可能性，样本外准确率</w:t>
      </w:r>
      <w:r w:rsid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达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77.6%</w:t>
      </w:r>
      <w:r w:rsid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。</w:t>
      </w:r>
    </w:p>
    <w:p w14:paraId="722732C8" w14:textId="0F1293F9" w:rsidR="00636AA9" w:rsidRPr="0052087A" w:rsidRDefault="0052087A" w:rsidP="0052087A">
      <w:pPr>
        <w:numPr>
          <w:ilvl w:val="0"/>
          <w:numId w:val="6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回测框架设计：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以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摘帽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概率较高的ST企业作为股票池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且每月更新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，涨停触发买入信号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持有20日平仓或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跌停止损，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2018-2025回测期间年化收益69.2%/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夏普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比率</w:t>
      </w:r>
      <w:r w:rsidR="00000000"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1.9/最大回撤16.3%。</w:t>
      </w:r>
    </w:p>
    <w:p w14:paraId="64D40C01" w14:textId="428A9302" w:rsidR="00636AA9" w:rsidRDefault="00000000">
      <w:pPr>
        <w:spacing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渤海证券                                                 </w:t>
      </w:r>
      <w:r w:rsidR="00B2174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 对冲量化部门  |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量化交易实习生         </w:t>
      </w:r>
      <w:r w:rsidR="00B2174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                                     2025.01 - 2025.05</w:t>
      </w:r>
    </w:p>
    <w:p w14:paraId="35DD6B30" w14:textId="00844567" w:rsidR="00636AA9" w:rsidRPr="0052087A" w:rsidRDefault="00000000" w:rsidP="0052087A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300" w:lineRule="exact"/>
        <w:ind w:left="170" w:firstLineChars="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 w:rsidRPr="0052087A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高频因子开发</w:t>
      </w:r>
      <w:r w:rsidRPr="0052087A">
        <w:rPr>
          <w:rFonts w:asciiTheme="minorEastAsia" w:eastAsiaTheme="minorEastAsia" w:hAnsiTheme="minorEastAsia" w:cs="方正品尚黑简体" w:hint="eastAsia"/>
          <w:b/>
          <w:bCs/>
          <w:sz w:val="18"/>
          <w:szCs w:val="18"/>
          <w:lang w:eastAsia="zh-CN"/>
        </w:rPr>
        <w:t>：</w:t>
      </w:r>
      <w:r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基于</w:t>
      </w:r>
      <w:r w:rsidR="00437E61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股票</w:t>
      </w:r>
      <w:r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逐笔成交数据</w:t>
      </w:r>
      <w:r w:rsid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的非孤立单</w:t>
      </w:r>
      <w:r w:rsidR="00437E61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构建每日成交不平衡</w:t>
      </w:r>
      <w:r w:rsidRPr="0052087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因子，经市值中性化+涨跌幅正交化处理，因子ICIR达2.52</w:t>
      </w:r>
      <w:r w:rsidR="00982E6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，多空对冲组合年化收益25.51%</w:t>
      </w:r>
      <w:r w:rsidR="00437E61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/最大回撤10.07%；</w:t>
      </w:r>
      <w:r w:rsid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对因子频率、孤立成交单窗口期等参数进行敏感性分析。</w:t>
      </w:r>
    </w:p>
    <w:p w14:paraId="03830FD7" w14:textId="2AF6F134" w:rsidR="00636AA9" w:rsidRPr="00A23546" w:rsidRDefault="00000000" w:rsidP="0052087A">
      <w:pPr>
        <w:pStyle w:val="a9"/>
        <w:numPr>
          <w:ilvl w:val="0"/>
          <w:numId w:val="8"/>
        </w:numPr>
        <w:autoSpaceDE w:val="0"/>
        <w:autoSpaceDN w:val="0"/>
        <w:adjustRightInd w:val="0"/>
        <w:snapToGrid w:val="0"/>
        <w:spacing w:line="300" w:lineRule="exact"/>
        <w:ind w:left="170" w:firstLineChars="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 w:rsidRPr="00A23546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商品期货策略：</w:t>
      </w:r>
      <w:r w:rsidR="00A23546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针对主力合约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开发</w:t>
      </w:r>
      <w:r w:rsidR="00437E61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Aberration/Boll/</w:t>
      </w:r>
      <w:r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DMA/MA/MACD均线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策略</w:t>
      </w:r>
      <w:r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，根据流动性变动因子构建多头组合，每3月调整主力合约组合，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针对每一品种以</w:t>
      </w:r>
      <w:r w:rsidR="0009341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过去3个月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夏普比率最高的均线策略作为择时策略，</w:t>
      </w:r>
      <w:r w:rsidR="00982E68" w:rsidRPr="00A23546">
        <w:rPr>
          <w:rFonts w:ascii="微软雅黑" w:eastAsia="微软雅黑" w:hAnsi="微软雅黑" w:cs="微软雅黑"/>
          <w:sz w:val="18"/>
          <w:szCs w:val="18"/>
          <w:lang w:eastAsia="zh-CN"/>
        </w:rPr>
        <w:t>2021-2025.04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期间回测年均收益</w:t>
      </w:r>
      <w:r w:rsidR="00982E68" w:rsidRPr="00A23546">
        <w:rPr>
          <w:rFonts w:ascii="微软雅黑" w:eastAsia="微软雅黑" w:hAnsi="微软雅黑" w:cs="微软雅黑"/>
          <w:sz w:val="18"/>
          <w:szCs w:val="18"/>
          <w:lang w:eastAsia="zh-CN"/>
        </w:rPr>
        <w:t>12.2%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/</w:t>
      </w:r>
      <w:r w:rsidR="00982E68"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最大回撤</w:t>
      </w:r>
      <w:r w:rsidR="00982E68" w:rsidRPr="00A23546">
        <w:rPr>
          <w:rFonts w:ascii="微软雅黑" w:eastAsia="微软雅黑" w:hAnsi="微软雅黑" w:cs="微软雅黑"/>
          <w:sz w:val="18"/>
          <w:szCs w:val="18"/>
          <w:lang w:eastAsia="zh-CN"/>
        </w:rPr>
        <w:t>11.6%</w:t>
      </w:r>
      <w:r w:rsidRPr="00A2354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。</w:t>
      </w:r>
    </w:p>
    <w:p w14:paraId="5603512B" w14:textId="78819E48" w:rsidR="00636AA9" w:rsidRDefault="00000000">
      <w:pPr>
        <w:spacing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申万宏源证券                                                     投行部</w:t>
      </w:r>
      <w:r w:rsidR="00B21747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门  |  投资助理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                                                       2022.09 - 2022.11</w:t>
      </w:r>
    </w:p>
    <w:p w14:paraId="584DC2F3" w14:textId="77777777" w:rsidR="00636AA9" w:rsidRDefault="00000000" w:rsidP="008A0DC8">
      <w:pPr>
        <w:numPr>
          <w:ilvl w:val="0"/>
          <w:numId w:val="7"/>
        </w:numPr>
        <w:autoSpaceDE w:val="0"/>
        <w:autoSpaceDN w:val="0"/>
        <w:adjustRightInd w:val="0"/>
        <w:snapToGrid w:val="0"/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参与IPO财务核查：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协助进行尽职调查、按照质控部门要求补充招股说明书财务信息底稿；具体负责拟上市企业采购、销售数据的公允性调查以及与同行业企业的对比分析；核查内部控制环节的可靠性并对具体的业务流程施行穿行测试。</w:t>
      </w:r>
    </w:p>
    <w:p w14:paraId="3A3CC66F" w14:textId="77777777" w:rsidR="00636AA9" w:rsidRDefault="00000000" w:rsidP="008A0DC8">
      <w:pPr>
        <w:numPr>
          <w:ilvl w:val="0"/>
          <w:numId w:val="7"/>
        </w:numPr>
        <w:autoSpaceDE w:val="0"/>
        <w:autoSpaceDN w:val="0"/>
        <w:adjustRightInd w:val="0"/>
        <w:snapToGrid w:val="0"/>
        <w:spacing w:line="300" w:lineRule="exact"/>
        <w:ind w:left="170" w:hanging="170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测试内控流程：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协助项目组核查会计事务所提供的拟上市企业财务状况分析，完善关联企业信息，核实销售借贷等业务活动的真实性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。</w:t>
      </w:r>
    </w:p>
    <w:p w14:paraId="48956837" w14:textId="77777777" w:rsidR="00636AA9" w:rsidRDefault="00000000">
      <w:pPr>
        <w:pStyle w:val="Bodytext20"/>
        <w:pBdr>
          <w:bottom w:val="single" w:sz="4" w:space="0" w:color="auto"/>
        </w:pBdr>
        <w:spacing w:beforeLines="50" w:before="120" w:after="0" w:line="300" w:lineRule="exact"/>
        <w:rPr>
          <w:rFonts w:ascii="微软雅黑" w:eastAsia="微软雅黑" w:hAnsi="微软雅黑" w:cs="微软雅黑" w:hint="eastAsia"/>
          <w:b w:val="0"/>
          <w:bCs w:val="0"/>
          <w:color w:val="auto"/>
          <w:sz w:val="18"/>
          <w:szCs w:val="18"/>
          <w:lang w:val="en-US" w:eastAsia="zh-CN" w:bidi="ar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t>项目</w:t>
      </w:r>
      <w:r>
        <w:rPr>
          <w:rFonts w:ascii="微软雅黑" w:eastAsia="微软雅黑" w:hAnsi="微软雅黑" w:cs="微软雅黑" w:hint="eastAsia"/>
          <w:color w:val="auto"/>
        </w:rPr>
        <w:t>经历</w:t>
      </w:r>
    </w:p>
    <w:p w14:paraId="26CBE24B" w14:textId="470077F2" w:rsidR="00636AA9" w:rsidRDefault="00000000">
      <w:pPr>
        <w:spacing w:beforeLines="30" w:before="72"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ST股票事件驱动策略 | 独立研究项目                                                                                                            2025.05 - 2025.0</w:t>
      </w:r>
      <w:r w:rsidR="00086690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8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</w:t>
      </w:r>
    </w:p>
    <w:p w14:paraId="76B528B1" w14:textId="0E063008" w:rsidR="00636AA9" w:rsidRDefault="00000000" w:rsidP="00A23546">
      <w:pPr>
        <w:numPr>
          <w:ilvl w:val="0"/>
          <w:numId w:val="9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实证研究：</w:t>
      </w:r>
      <w:r w:rsidR="004C4A76" w:rsidRPr="004C4A7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对发布后存在明显</w:t>
      </w:r>
      <w:r w:rsidR="00150D4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持续</w:t>
      </w:r>
      <w:r w:rsidR="004C4A76" w:rsidRPr="004C4A76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收益的事件构建事件驱动型策略</w:t>
      </w:r>
      <w:r w:rsidR="00F47D2B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其中</w:t>
      </w:r>
      <w:r w:rsidR="00713DC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扭亏业绩预告公告后持有40日的平均累积超额收益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为</w:t>
      </w:r>
      <w:r w:rsidR="00713DC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7%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，涨停时间后持有90日的平均累积超额收益为6.7%；对于首次公布扭亏或在第二季度的涨停事件表现更佳。</w:t>
      </w:r>
    </w:p>
    <w:p w14:paraId="1EE6F927" w14:textId="0C98F20A" w:rsidR="00636AA9" w:rsidRDefault="00000000" w:rsidP="00A23546">
      <w:pPr>
        <w:numPr>
          <w:ilvl w:val="0"/>
          <w:numId w:val="9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预测模型：</w:t>
      </w:r>
      <w:r w:rsidR="008C25A4" w:rsidRP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基于指标发布日严格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匹配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公司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财务指标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与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量价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因子，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使用XGBoost等机器学习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开发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ST企业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摘帽概率模型，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样本外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预测准确率</w:t>
      </w:r>
      <w:r w:rsidR="008C25A4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77.6%；</w:t>
      </w:r>
      <w:r w:rsidR="00150D4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对于摘帽概率高的股票构建DQN网络时序模型预测具体买入卖出时点。</w:t>
      </w:r>
    </w:p>
    <w:p w14:paraId="1DF1018C" w14:textId="2FFA0314" w:rsidR="00636AA9" w:rsidRDefault="00000000">
      <w:pPr>
        <w:spacing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大宗商品CTA策略设计 | 渤海证券项目                                                                                                         2025.03 - 2025.0</w:t>
      </w:r>
      <w:r w:rsidR="00EE1902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5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  </w:t>
      </w:r>
    </w:p>
    <w:p w14:paraId="41D50A10" w14:textId="2FD5B3BC" w:rsidR="00636AA9" w:rsidRDefault="00000000" w:rsidP="00A23546">
      <w:pPr>
        <w:numPr>
          <w:ilvl w:val="0"/>
          <w:numId w:val="10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构建动态调仓框架：</w:t>
      </w:r>
      <w:r w:rsidR="00150D4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每3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月调整期货品种组合</w:t>
      </w:r>
      <w:r w:rsidR="00150D4A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，以交易量和换手率变动因子交叉选股，</w:t>
      </w:r>
      <w:r w:rsidR="0009341F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以过去3个月夏普比率表现最高的为择时策略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。</w:t>
      </w:r>
    </w:p>
    <w:p w14:paraId="24EFD61D" w14:textId="2C05B475" w:rsidR="00636AA9" w:rsidRDefault="0009341F" w:rsidP="00A23546">
      <w:pPr>
        <w:numPr>
          <w:ilvl w:val="0"/>
          <w:numId w:val="10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日内收益预测</w:t>
      </w:r>
      <w:r w:rsidR="00000000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：</w:t>
      </w:r>
      <w:r w:rsidR="00215598" w:rsidRPr="0021559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基于快照数据</w:t>
      </w:r>
      <w:r w:rsidR="00215598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构建多开空开不平衡因子，调整因子计算频率与未来收益率窗口构建相关系数矩阵</w:t>
      </w:r>
      <w:r w:rsidR="0000000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，筛选最优参数组合。</w:t>
      </w:r>
    </w:p>
    <w:p w14:paraId="1FF5E942" w14:textId="073F1B68" w:rsidR="00636AA9" w:rsidRDefault="0009341F">
      <w:pPr>
        <w:spacing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股票</w:t>
      </w:r>
      <w:r w:rsidR="00000000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逐笔成交因子开发 | 渤海证券项目                                                                                                                 2025.01 - 2025.02  </w:t>
      </w:r>
    </w:p>
    <w:p w14:paraId="380250D5" w14:textId="77777777" w:rsidR="00636AA9" w:rsidRDefault="00000000" w:rsidP="00A23546">
      <w:pPr>
        <w:numPr>
          <w:ilvl w:val="0"/>
          <w:numId w:val="11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创新因子构造方法：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构建成交单不平衡因子的基础上使用累积涨跌幅（反转因子）进行正交化处理，因子有效性指标ICIR提升50% 。 </w:t>
      </w:r>
    </w:p>
    <w:p w14:paraId="4BE3DCA3" w14:textId="10CB368B" w:rsidR="00636AA9" w:rsidRDefault="00000000" w:rsidP="00A23546">
      <w:pPr>
        <w:numPr>
          <w:ilvl w:val="0"/>
          <w:numId w:val="11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因子</w:t>
      </w:r>
      <w:r w:rsidR="0009341F"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多角度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验证：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剔除常用的市场风格因子影响之后，因子年化ICIR及多空组合的信息比率达1.8，通过机构风控测试。  </w:t>
      </w:r>
    </w:p>
    <w:p w14:paraId="7F942A35" w14:textId="77777777" w:rsidR="00636AA9" w:rsidRDefault="00000000">
      <w:pPr>
        <w:pStyle w:val="Bodytext20"/>
        <w:pBdr>
          <w:bottom w:val="single" w:sz="4" w:space="0" w:color="auto"/>
        </w:pBdr>
        <w:spacing w:beforeLines="50" w:before="120" w:after="0" w:line="300" w:lineRule="exact"/>
        <w:rPr>
          <w:rFonts w:ascii="微软雅黑" w:eastAsia="微软雅黑" w:hAnsi="微软雅黑" w:cs="微软雅黑" w:hint="eastAsia"/>
          <w:b w:val="0"/>
          <w:bCs w:val="0"/>
          <w:color w:val="auto"/>
          <w:sz w:val="18"/>
          <w:szCs w:val="18"/>
          <w:lang w:val="en-US" w:eastAsia="zh-CN" w:bidi="ar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t>科研</w:t>
      </w:r>
      <w:r>
        <w:rPr>
          <w:rFonts w:ascii="微软雅黑" w:eastAsia="微软雅黑" w:hAnsi="微软雅黑" w:cs="微软雅黑" w:hint="eastAsia"/>
          <w:color w:val="auto"/>
        </w:rPr>
        <w:t>经历</w:t>
      </w:r>
    </w:p>
    <w:p w14:paraId="72244104" w14:textId="77777777" w:rsidR="00636AA9" w:rsidRDefault="00000000">
      <w:pPr>
        <w:spacing w:beforeLines="30" w:before="72" w:line="300" w:lineRule="exact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 xml:space="preserve">《地方政府债务治理与企业避税》 | 《会计研究》         第二作者                                                                                      2025.04  </w:t>
      </w:r>
    </w:p>
    <w:p w14:paraId="73DF29C4" w14:textId="77777777" w:rsidR="00636AA9" w:rsidRDefault="00000000" w:rsidP="00A23546">
      <w:pPr>
        <w:numPr>
          <w:ilvl w:val="0"/>
          <w:numId w:val="12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政策效应评估：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以《预算法》实施为准自然实验，基于企业避税"收益-成本"权衡理论，系统分析地方政府债务治理对企业避税的影响。</w:t>
      </w:r>
    </w:p>
    <w:p w14:paraId="53523305" w14:textId="54A592E1" w:rsidR="00636AA9" w:rsidRDefault="00000000" w:rsidP="00A23546">
      <w:pPr>
        <w:numPr>
          <w:ilvl w:val="0"/>
          <w:numId w:val="12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创新数据库构建：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整合Wind/CNRDS平台数据，构建地方融资平台有息债务数据库，覆盖</w:t>
      </w:r>
      <w:r w:rsidR="00262CED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000+企业样本。</w:t>
      </w:r>
    </w:p>
    <w:p w14:paraId="137C3989" w14:textId="77777777" w:rsidR="00636AA9" w:rsidRDefault="00000000" w:rsidP="00A23546">
      <w:pPr>
        <w:numPr>
          <w:ilvl w:val="0"/>
          <w:numId w:val="12"/>
        </w:numPr>
        <w:spacing w:line="300" w:lineRule="exact"/>
        <w:ind w:left="170" w:hanging="170"/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严谨实证检验：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通过Stata完成基准回归、稳健性检验、异质性检验、机制等数据分析过程，运用模糊匹配技术识别集团避税证据。</w:t>
      </w:r>
    </w:p>
    <w:p w14:paraId="1FB7F3C5" w14:textId="77777777" w:rsidR="00636AA9" w:rsidRDefault="00000000">
      <w:pPr>
        <w:pStyle w:val="Bodytext20"/>
        <w:pBdr>
          <w:bottom w:val="single" w:sz="4" w:space="0" w:color="auto"/>
        </w:pBdr>
        <w:spacing w:after="0" w:line="300" w:lineRule="exact"/>
        <w:rPr>
          <w:rFonts w:ascii="微软雅黑" w:eastAsia="微软雅黑" w:hAnsi="微软雅黑" w:cs="微软雅黑" w:hint="eastAsia"/>
          <w:color w:val="auto"/>
          <w:lang w:val="en-US" w:eastAsia="zh-CN"/>
        </w:rPr>
      </w:pPr>
      <w:r>
        <w:rPr>
          <w:rFonts w:ascii="微软雅黑" w:eastAsia="微软雅黑" w:hAnsi="微软雅黑" w:cs="微软雅黑" w:hint="eastAsia"/>
          <w:color w:val="auto"/>
          <w:lang w:val="en-US" w:eastAsia="zh-CN"/>
        </w:rPr>
        <w:lastRenderedPageBreak/>
        <w:t>专业技能</w:t>
      </w:r>
    </w:p>
    <w:p w14:paraId="6F0F8C7A" w14:textId="77777777" w:rsidR="00636AA9" w:rsidRDefault="00000000">
      <w:pPr>
        <w:numPr>
          <w:ilvl w:val="0"/>
          <w:numId w:val="2"/>
        </w:numPr>
        <w:spacing w:beforeLines="30" w:before="72" w:line="300" w:lineRule="exact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语言：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中文母语，英文流利CET-4（555），CET-6（534），可作为工作及科研用语。  </w:t>
      </w:r>
    </w:p>
    <w:p w14:paraId="428D2233" w14:textId="77777777" w:rsidR="00636AA9" w:rsidRDefault="00000000">
      <w:pPr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证书：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初级会计证书  </w:t>
      </w:r>
    </w:p>
    <w:p w14:paraId="3B65DE5C" w14:textId="77777777" w:rsidR="00636AA9" w:rsidRDefault="00000000">
      <w:pPr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编程：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Python（熟练使用pandas数据清洗、sklearn建模、NumPy数值计算）  </w:t>
      </w:r>
    </w:p>
    <w:p w14:paraId="4E105579" w14:textId="77777777" w:rsidR="00636AA9" w:rsidRDefault="00000000">
      <w:pPr>
        <w:numPr>
          <w:ilvl w:val="0"/>
          <w:numId w:val="2"/>
        </w:numPr>
        <w:spacing w:line="300" w:lineRule="exact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lang w:eastAsia="zh-CN"/>
        </w:rPr>
        <w:t>量化工具：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精通策略回测框架、因子IC分析、参数敏感性测试  </w:t>
      </w:r>
    </w:p>
    <w:sectPr w:rsidR="00636AA9">
      <w:pgSz w:w="11900" w:h="16840"/>
      <w:pgMar w:top="567" w:right="454" w:bottom="567" w:left="454" w:header="216" w:footer="21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E74D6" w14:textId="77777777" w:rsidR="00FB1874" w:rsidRDefault="00FB1874"/>
  </w:endnote>
  <w:endnote w:type="continuationSeparator" w:id="0">
    <w:p w14:paraId="49C43C70" w14:textId="77777777" w:rsidR="00FB1874" w:rsidRDefault="00FB18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品尚黑简体">
    <w:altName w:val="汉仪中黑KW"/>
    <w:charset w:val="86"/>
    <w:family w:val="auto"/>
    <w:pitch w:val="default"/>
    <w:sig w:usb0="00000000" w:usb1="00000000" w:usb2="00000012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2F19" w14:textId="77777777" w:rsidR="00FB1874" w:rsidRDefault="00FB1874"/>
  </w:footnote>
  <w:footnote w:type="continuationSeparator" w:id="0">
    <w:p w14:paraId="2766114F" w14:textId="77777777" w:rsidR="00FB1874" w:rsidRDefault="00FB18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77AF0"/>
    <w:multiLevelType w:val="singleLevel"/>
    <w:tmpl w:val="00561CE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52A6DB2"/>
    <w:multiLevelType w:val="hybridMultilevel"/>
    <w:tmpl w:val="06649A86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AD67CF5"/>
    <w:multiLevelType w:val="hybridMultilevel"/>
    <w:tmpl w:val="335E1428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BB4D0E"/>
    <w:multiLevelType w:val="hybridMultilevel"/>
    <w:tmpl w:val="AD947796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E715CC5"/>
    <w:multiLevelType w:val="hybridMultilevel"/>
    <w:tmpl w:val="7746182C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A8C431A"/>
    <w:multiLevelType w:val="hybridMultilevel"/>
    <w:tmpl w:val="D78EF296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66F249"/>
    <w:multiLevelType w:val="singleLevel"/>
    <w:tmpl w:val="5966F2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1B1182"/>
    <w:multiLevelType w:val="hybridMultilevel"/>
    <w:tmpl w:val="C1241D8A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CB2AEC"/>
    <w:multiLevelType w:val="hybridMultilevel"/>
    <w:tmpl w:val="B6268364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A272E0A"/>
    <w:multiLevelType w:val="hybridMultilevel"/>
    <w:tmpl w:val="D946FDB0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91609EE"/>
    <w:multiLevelType w:val="hybridMultilevel"/>
    <w:tmpl w:val="26D641A0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C2310A1"/>
    <w:multiLevelType w:val="hybridMultilevel"/>
    <w:tmpl w:val="5A889FB8"/>
    <w:lvl w:ilvl="0" w:tplc="00561C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9616836">
    <w:abstractNumId w:val="0"/>
  </w:num>
  <w:num w:numId="2" w16cid:durableId="23753931">
    <w:abstractNumId w:val="6"/>
  </w:num>
  <w:num w:numId="3" w16cid:durableId="410394970">
    <w:abstractNumId w:val="4"/>
  </w:num>
  <w:num w:numId="4" w16cid:durableId="1806042751">
    <w:abstractNumId w:val="10"/>
  </w:num>
  <w:num w:numId="5" w16cid:durableId="89276279">
    <w:abstractNumId w:val="9"/>
  </w:num>
  <w:num w:numId="6" w16cid:durableId="1174609509">
    <w:abstractNumId w:val="5"/>
  </w:num>
  <w:num w:numId="7" w16cid:durableId="1565682075">
    <w:abstractNumId w:val="1"/>
  </w:num>
  <w:num w:numId="8" w16cid:durableId="399179834">
    <w:abstractNumId w:val="8"/>
  </w:num>
  <w:num w:numId="9" w16cid:durableId="1393117002">
    <w:abstractNumId w:val="2"/>
  </w:num>
  <w:num w:numId="10" w16cid:durableId="1053428831">
    <w:abstractNumId w:val="7"/>
  </w:num>
  <w:num w:numId="11" w16cid:durableId="2044861122">
    <w:abstractNumId w:val="3"/>
  </w:num>
  <w:num w:numId="12" w16cid:durableId="2040347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81"/>
  <w:drawingGridVerticalSpacing w:val="181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NzQxOGRlNTcxZDcxMzg2YWU5NDA1NmVhZjNlMTQifQ=="/>
  </w:docVars>
  <w:rsids>
    <w:rsidRoot w:val="00636AA9"/>
    <w:rsid w:val="B6BDDCFD"/>
    <w:rsid w:val="B7DA3C15"/>
    <w:rsid w:val="BFEF040C"/>
    <w:rsid w:val="DB78D848"/>
    <w:rsid w:val="DDEDDB36"/>
    <w:rsid w:val="DDFFE93C"/>
    <w:rsid w:val="E7FD7D79"/>
    <w:rsid w:val="EF6DAE3F"/>
    <w:rsid w:val="F6DB6F09"/>
    <w:rsid w:val="FEBBFBBB"/>
    <w:rsid w:val="FFF69FE3"/>
    <w:rsid w:val="0002052F"/>
    <w:rsid w:val="00086690"/>
    <w:rsid w:val="0009341F"/>
    <w:rsid w:val="000E1946"/>
    <w:rsid w:val="000F38EF"/>
    <w:rsid w:val="00150D4A"/>
    <w:rsid w:val="00215598"/>
    <w:rsid w:val="00217187"/>
    <w:rsid w:val="00260F7B"/>
    <w:rsid w:val="00262CED"/>
    <w:rsid w:val="00264355"/>
    <w:rsid w:val="00437E61"/>
    <w:rsid w:val="00453DF1"/>
    <w:rsid w:val="00477F22"/>
    <w:rsid w:val="004B52B0"/>
    <w:rsid w:val="004C4A76"/>
    <w:rsid w:val="00511847"/>
    <w:rsid w:val="0052087A"/>
    <w:rsid w:val="00536AAF"/>
    <w:rsid w:val="005E5596"/>
    <w:rsid w:val="00636AA9"/>
    <w:rsid w:val="00713DCF"/>
    <w:rsid w:val="007647EC"/>
    <w:rsid w:val="007920DA"/>
    <w:rsid w:val="008A0DC8"/>
    <w:rsid w:val="008C25A4"/>
    <w:rsid w:val="00915398"/>
    <w:rsid w:val="00982E68"/>
    <w:rsid w:val="00991829"/>
    <w:rsid w:val="00A23546"/>
    <w:rsid w:val="00B21747"/>
    <w:rsid w:val="00B97744"/>
    <w:rsid w:val="00C07984"/>
    <w:rsid w:val="00EE1902"/>
    <w:rsid w:val="00EE67A3"/>
    <w:rsid w:val="00EE7FEA"/>
    <w:rsid w:val="00F47D2B"/>
    <w:rsid w:val="00F73027"/>
    <w:rsid w:val="00FB1874"/>
    <w:rsid w:val="024B15E3"/>
    <w:rsid w:val="03AB0942"/>
    <w:rsid w:val="058613AA"/>
    <w:rsid w:val="06CF08EA"/>
    <w:rsid w:val="071E74B3"/>
    <w:rsid w:val="07A710F1"/>
    <w:rsid w:val="09001155"/>
    <w:rsid w:val="0A2F25AF"/>
    <w:rsid w:val="0A5B1687"/>
    <w:rsid w:val="0AFA7231"/>
    <w:rsid w:val="0B9E4629"/>
    <w:rsid w:val="0C757220"/>
    <w:rsid w:val="0CA060AB"/>
    <w:rsid w:val="0E3601F3"/>
    <w:rsid w:val="0F3B75EA"/>
    <w:rsid w:val="10431D13"/>
    <w:rsid w:val="14524790"/>
    <w:rsid w:val="15895A18"/>
    <w:rsid w:val="163308AB"/>
    <w:rsid w:val="16342EC5"/>
    <w:rsid w:val="17695F0B"/>
    <w:rsid w:val="18152EED"/>
    <w:rsid w:val="18492AAE"/>
    <w:rsid w:val="18D6206B"/>
    <w:rsid w:val="19900AA5"/>
    <w:rsid w:val="1A9776FB"/>
    <w:rsid w:val="1AED56D7"/>
    <w:rsid w:val="1B877542"/>
    <w:rsid w:val="1BD20A7C"/>
    <w:rsid w:val="1D2C71B8"/>
    <w:rsid w:val="1D8F62F3"/>
    <w:rsid w:val="1F097721"/>
    <w:rsid w:val="1F5F05E8"/>
    <w:rsid w:val="1F6D103C"/>
    <w:rsid w:val="2017685A"/>
    <w:rsid w:val="20E00C0C"/>
    <w:rsid w:val="21C2753E"/>
    <w:rsid w:val="223F7355"/>
    <w:rsid w:val="23E5745B"/>
    <w:rsid w:val="240C0A38"/>
    <w:rsid w:val="24FEA26B"/>
    <w:rsid w:val="2560271E"/>
    <w:rsid w:val="27B36BED"/>
    <w:rsid w:val="29B05718"/>
    <w:rsid w:val="2A217AC4"/>
    <w:rsid w:val="2AAB4446"/>
    <w:rsid w:val="2B7037C7"/>
    <w:rsid w:val="2BA36361"/>
    <w:rsid w:val="2CBF1BAC"/>
    <w:rsid w:val="2D191BB3"/>
    <w:rsid w:val="2D691E3C"/>
    <w:rsid w:val="2D7D04FB"/>
    <w:rsid w:val="2E202183"/>
    <w:rsid w:val="2EA36FE1"/>
    <w:rsid w:val="2F4B39AF"/>
    <w:rsid w:val="2F823F28"/>
    <w:rsid w:val="30B113A2"/>
    <w:rsid w:val="313E6D93"/>
    <w:rsid w:val="317713A7"/>
    <w:rsid w:val="324B4193"/>
    <w:rsid w:val="343C1430"/>
    <w:rsid w:val="34696949"/>
    <w:rsid w:val="34C50E05"/>
    <w:rsid w:val="385B3E23"/>
    <w:rsid w:val="3A3064A2"/>
    <w:rsid w:val="3A4F0F00"/>
    <w:rsid w:val="3A783ADB"/>
    <w:rsid w:val="3AA25344"/>
    <w:rsid w:val="3B7E4CA6"/>
    <w:rsid w:val="3BFB2FBD"/>
    <w:rsid w:val="3C972663"/>
    <w:rsid w:val="3CDE3A95"/>
    <w:rsid w:val="3E1248FB"/>
    <w:rsid w:val="3E1B1E27"/>
    <w:rsid w:val="3E296A6B"/>
    <w:rsid w:val="40FC622F"/>
    <w:rsid w:val="451F3201"/>
    <w:rsid w:val="459551E8"/>
    <w:rsid w:val="460E4764"/>
    <w:rsid w:val="472F98F6"/>
    <w:rsid w:val="48244D33"/>
    <w:rsid w:val="49735167"/>
    <w:rsid w:val="49B80255"/>
    <w:rsid w:val="49DA098B"/>
    <w:rsid w:val="4A791F0B"/>
    <w:rsid w:val="4A8605D3"/>
    <w:rsid w:val="4C98598E"/>
    <w:rsid w:val="4E660E50"/>
    <w:rsid w:val="50336C85"/>
    <w:rsid w:val="5127014E"/>
    <w:rsid w:val="52265B4E"/>
    <w:rsid w:val="52B0678D"/>
    <w:rsid w:val="53330CBE"/>
    <w:rsid w:val="55296C67"/>
    <w:rsid w:val="554D470B"/>
    <w:rsid w:val="563873B7"/>
    <w:rsid w:val="56FBCFE7"/>
    <w:rsid w:val="57344EE1"/>
    <w:rsid w:val="57DE5353"/>
    <w:rsid w:val="581721CE"/>
    <w:rsid w:val="59892805"/>
    <w:rsid w:val="5A52115F"/>
    <w:rsid w:val="5A5928C4"/>
    <w:rsid w:val="5AFCBDAA"/>
    <w:rsid w:val="5B3C07D9"/>
    <w:rsid w:val="5F5C4E94"/>
    <w:rsid w:val="5F6374EA"/>
    <w:rsid w:val="5FF828CF"/>
    <w:rsid w:val="62756482"/>
    <w:rsid w:val="62DA398D"/>
    <w:rsid w:val="63EC71AC"/>
    <w:rsid w:val="64578A42"/>
    <w:rsid w:val="647A73CB"/>
    <w:rsid w:val="66E446E0"/>
    <w:rsid w:val="69A05DBF"/>
    <w:rsid w:val="6B065463"/>
    <w:rsid w:val="6BDB073C"/>
    <w:rsid w:val="6CEB2A7E"/>
    <w:rsid w:val="6D72417C"/>
    <w:rsid w:val="6E073463"/>
    <w:rsid w:val="6FAC44BC"/>
    <w:rsid w:val="709F7B9A"/>
    <w:rsid w:val="72053ED2"/>
    <w:rsid w:val="737775EF"/>
    <w:rsid w:val="73E97D57"/>
    <w:rsid w:val="748E0359"/>
    <w:rsid w:val="74CB075D"/>
    <w:rsid w:val="76E9529A"/>
    <w:rsid w:val="77A74027"/>
    <w:rsid w:val="77D02DC0"/>
    <w:rsid w:val="793C6888"/>
    <w:rsid w:val="7B5B4E5C"/>
    <w:rsid w:val="7CC0773B"/>
    <w:rsid w:val="7D294931"/>
    <w:rsid w:val="7DEF4048"/>
    <w:rsid w:val="7E65A1BF"/>
    <w:rsid w:val="7E7675F8"/>
    <w:rsid w:val="7F190EEB"/>
    <w:rsid w:val="7F293376"/>
    <w:rsid w:val="7FBF4D32"/>
    <w:rsid w:val="7FD4792D"/>
    <w:rsid w:val="7FE64A6C"/>
    <w:rsid w:val="7FF9519E"/>
    <w:rsid w:val="7FFFDA08"/>
    <w:rsid w:val="8BD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9D1C59"/>
  <w15:docId w15:val="{A5DC1FCA-49F9-4BD7-871D-ECDC435E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zh-CN" w:bidi="ar-SA"/>
    </w:rPr>
  </w:style>
  <w:style w:type="paragraph" w:styleId="a4">
    <w:name w:val="Normal (Web)"/>
    <w:basedOn w:val="a"/>
    <w:qFormat/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Bodytext3">
    <w:name w:val="Body text|3_"/>
    <w:basedOn w:val="a0"/>
    <w:link w:val="Bodytext30"/>
    <w:qFormat/>
    <w:rPr>
      <w:rFonts w:ascii="宋体" w:eastAsia="宋体" w:hAnsi="宋体" w:cs="宋体"/>
      <w:b/>
      <w:bCs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Bodytext30">
    <w:name w:val="Body text|3"/>
    <w:basedOn w:val="a"/>
    <w:link w:val="Bodytext3"/>
    <w:qFormat/>
    <w:pPr>
      <w:spacing w:after="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Pr>
      <w:rFonts w:ascii="宋体" w:eastAsia="宋体" w:hAnsi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pPr>
      <w:spacing w:after="40" w:line="264" w:lineRule="auto"/>
    </w:pPr>
    <w:rPr>
      <w:rFonts w:ascii="宋体" w:eastAsia="宋体" w:hAnsi="宋体" w:cs="宋体"/>
      <w:sz w:val="18"/>
      <w:szCs w:val="18"/>
      <w:lang w:val="zh-TW" w:eastAsia="zh-TW" w:bidi="zh-TW"/>
    </w:rPr>
  </w:style>
  <w:style w:type="character" w:customStyle="1" w:styleId="Bodytext2">
    <w:name w:val="Body text|2_"/>
    <w:basedOn w:val="a0"/>
    <w:link w:val="Bodytext20"/>
    <w:qFormat/>
    <w:rPr>
      <w:rFonts w:ascii="宋体" w:eastAsia="宋体" w:hAnsi="宋体" w:cs="宋体"/>
      <w:b/>
      <w:bCs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Bodytext20">
    <w:name w:val="Body text|2"/>
    <w:basedOn w:val="a"/>
    <w:link w:val="Bodytext2"/>
    <w:qFormat/>
    <w:pPr>
      <w:spacing w:after="140"/>
    </w:pPr>
    <w:rPr>
      <w:rFonts w:ascii="宋体" w:eastAsia="宋体" w:hAnsi="宋体" w:cs="宋体"/>
      <w:b/>
      <w:bCs/>
      <w:sz w:val="20"/>
      <w:szCs w:val="20"/>
      <w:lang w:val="zh-TW" w:eastAsia="zh-TW" w:bidi="zh-TW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header"/>
    <w:basedOn w:val="a"/>
    <w:link w:val="ab"/>
    <w:rsid w:val="005208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52087A"/>
    <w:rPr>
      <w:rFonts w:eastAsia="Times New Roman"/>
      <w:color w:val="000000"/>
      <w:sz w:val="18"/>
      <w:szCs w:val="18"/>
      <w:lang w:eastAsia="en-US" w:bidi="en-US"/>
    </w:rPr>
  </w:style>
  <w:style w:type="paragraph" w:styleId="ac">
    <w:name w:val="footer"/>
    <w:basedOn w:val="a"/>
    <w:link w:val="ad"/>
    <w:rsid w:val="005208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52087A"/>
    <w:rPr>
      <w:rFonts w:eastAsia="Times New Roman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eve19</dc:creator>
  <cp:lastModifiedBy>Author</cp:lastModifiedBy>
  <cp:revision>22</cp:revision>
  <dcterms:created xsi:type="dcterms:W3CDTF">2025-08-02T01:58:00Z</dcterms:created>
  <dcterms:modified xsi:type="dcterms:W3CDTF">2025-08-04T15:45:00Z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D5650E73060B9CA8B66C8C68D7729783_43</vt:lpwstr>
  </property>
</Properties>
</file>