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65FFC82">
      <w:pPr>
        <w:widowControl/>
        <w:jc w:val="center"/>
        <w:rPr>
          <w:rFonts w:hint="eastAsia" w:ascii="微软雅黑" w:hAnsi="微软雅黑" w:eastAsia="微软雅黑" w:cs="微软雅黑"/>
          <w:spacing w:val="6"/>
          <w:sz w:val="18"/>
          <w:szCs w:val="18"/>
        </w:rPr>
      </w:pPr>
      <w:r>
        <w:rPr>
          <w:spacing w:val="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6115050</wp:posOffset>
            </wp:positionH>
            <wp:positionV relativeFrom="paragraph">
              <wp:posOffset>-72390</wp:posOffset>
            </wp:positionV>
            <wp:extent cx="868680" cy="1048385"/>
            <wp:effectExtent l="0" t="0" r="7620" b="18415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rcRect l="12686" r="13935" b="11453"/>
                    <a:stretch>
                      <a:fillRect/>
                    </a:stretch>
                  </pic:blipFill>
                  <pic:spPr>
                    <a:xfrm>
                      <a:off x="0" y="0"/>
                      <a:ext cx="868680" cy="1048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微软雅黑" w:hAnsi="微软雅黑" w:eastAsia="微软雅黑" w:cs="微软雅黑"/>
          <w:b/>
          <w:bCs/>
          <w:color w:val="auto"/>
          <w:spacing w:val="6"/>
          <w:sz w:val="32"/>
          <w:szCs w:val="32"/>
          <w:lang w:eastAsia="zh-CN"/>
        </w:rPr>
        <w:t>王博</w:t>
      </w:r>
    </w:p>
    <w:p w14:paraId="2E6EA491">
      <w:pPr>
        <w:numPr>
          <w:ilvl w:val="0"/>
          <w:numId w:val="0"/>
        </w:numPr>
        <w:spacing w:line="300" w:lineRule="exact"/>
        <w:ind w:leftChars="0"/>
        <w:jc w:val="center"/>
        <w:rPr>
          <w:rFonts w:hint="eastAsia" w:ascii="微软雅黑" w:hAnsi="微软雅黑" w:eastAsia="微软雅黑" w:cs="微软雅黑"/>
          <w:spacing w:val="6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pacing w:val="6"/>
          <w:sz w:val="18"/>
          <w:szCs w:val="18"/>
        </w:rPr>
        <w:t>电话：</w:t>
      </w:r>
      <w:r>
        <w:rPr>
          <w:rFonts w:hint="eastAsia" w:ascii="微软雅黑" w:hAnsi="微软雅黑" w:eastAsia="微软雅黑" w:cs="微软雅黑"/>
          <w:spacing w:val="6"/>
          <w:sz w:val="18"/>
          <w:szCs w:val="18"/>
        </w:rPr>
        <w:t xml:space="preserve">15955581917 </w:t>
      </w:r>
      <w:r>
        <w:rPr>
          <w:rFonts w:hint="eastAsia" w:ascii="微软雅黑" w:hAnsi="微软雅黑" w:eastAsia="微软雅黑" w:cs="微软雅黑"/>
          <w:spacing w:val="6"/>
          <w:sz w:val="18"/>
          <w:szCs w:val="18"/>
          <w:lang w:val="en-US" w:eastAsia="zh-CN"/>
        </w:rPr>
        <w:t xml:space="preserve">|  </w:t>
      </w:r>
      <w:r>
        <w:rPr>
          <w:rFonts w:hint="eastAsia" w:ascii="微软雅黑" w:hAnsi="微软雅黑" w:eastAsia="微软雅黑" w:cs="微软雅黑"/>
          <w:b/>
          <w:bCs/>
          <w:spacing w:val="6"/>
          <w:sz w:val="18"/>
          <w:szCs w:val="18"/>
        </w:rPr>
        <w:t>邮箱：</w:t>
      </w:r>
      <w:r>
        <w:rPr>
          <w:rFonts w:hint="eastAsia" w:ascii="微软雅黑" w:hAnsi="微软雅黑" w:eastAsia="微软雅黑" w:cs="微软雅黑"/>
          <w:spacing w:val="6"/>
          <w:sz w:val="18"/>
          <w:szCs w:val="18"/>
        </w:rPr>
        <w:fldChar w:fldCharType="begin"/>
      </w:r>
      <w:r>
        <w:rPr>
          <w:rFonts w:hint="eastAsia" w:ascii="微软雅黑" w:hAnsi="微软雅黑" w:eastAsia="微软雅黑" w:cs="微软雅黑"/>
          <w:spacing w:val="6"/>
          <w:sz w:val="18"/>
          <w:szCs w:val="18"/>
        </w:rPr>
        <w:instrText xml:space="preserve"> HYPERLINK "mailto:wangbo24@tju.edu.cn" </w:instrText>
      </w:r>
      <w:r>
        <w:rPr>
          <w:rFonts w:hint="eastAsia" w:ascii="微软雅黑" w:hAnsi="微软雅黑" w:eastAsia="微软雅黑" w:cs="微软雅黑"/>
          <w:spacing w:val="6"/>
          <w:sz w:val="18"/>
          <w:szCs w:val="18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spacing w:val="6"/>
          <w:sz w:val="18"/>
          <w:szCs w:val="18"/>
        </w:rPr>
        <w:t>wangbo24@tju.edu.cn</w:t>
      </w:r>
      <w:r>
        <w:rPr>
          <w:rFonts w:hint="eastAsia" w:ascii="微软雅黑" w:hAnsi="微软雅黑" w:eastAsia="微软雅黑" w:cs="微软雅黑"/>
          <w:spacing w:val="6"/>
          <w:sz w:val="18"/>
          <w:szCs w:val="18"/>
        </w:rPr>
        <w:fldChar w:fldCharType="end"/>
      </w:r>
    </w:p>
    <w:p w14:paraId="35731D30">
      <w:pPr>
        <w:numPr>
          <w:ilvl w:val="0"/>
          <w:numId w:val="0"/>
        </w:numPr>
        <w:spacing w:line="300" w:lineRule="exact"/>
        <w:ind w:leftChars="0"/>
        <w:rPr>
          <w:rFonts w:hint="eastAsia" w:ascii="微软雅黑" w:hAnsi="微软雅黑" w:eastAsia="微软雅黑" w:cs="微软雅黑"/>
          <w:spacing w:val="6"/>
          <w:sz w:val="18"/>
          <w:szCs w:val="18"/>
          <w:lang w:eastAsia="zh-CN"/>
        </w:rPr>
      </w:pPr>
    </w:p>
    <w:p w14:paraId="65AC0A8B">
      <w:pPr>
        <w:pStyle w:val="18"/>
        <w:pBdr>
          <w:bottom w:val="single" w:color="auto" w:sz="4" w:space="0"/>
        </w:pBdr>
        <w:spacing w:before="120" w:beforeLines="50" w:after="0" w:line="300" w:lineRule="exact"/>
        <w:rPr>
          <w:rFonts w:hint="eastAsia" w:ascii="微软雅黑" w:hAnsi="微软雅黑" w:eastAsia="微软雅黑" w:cs="微软雅黑"/>
          <w:color w:val="auto"/>
          <w:spacing w:val="6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pacing w:val="6"/>
          <w:lang w:val="en-US" w:eastAsia="zh-CN"/>
        </w:rPr>
        <w:t>个人优势</w:t>
      </w:r>
    </w:p>
    <w:p w14:paraId="141D555C">
      <w:pPr>
        <w:numPr>
          <w:ilvl w:val="0"/>
          <w:numId w:val="0"/>
        </w:numPr>
        <w:spacing w:before="72" w:beforeLines="30" w:line="300" w:lineRule="exact"/>
        <w:ind w:leftChars="0"/>
        <w:rPr>
          <w:rFonts w:hint="eastAsia" w:ascii="微软雅黑" w:hAnsi="微软雅黑" w:eastAsia="微软雅黑" w:cs="微软雅黑"/>
          <w:spacing w:val="6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pacing w:val="6"/>
          <w:sz w:val="18"/>
          <w:szCs w:val="18"/>
          <w:lang w:eastAsia="zh-CN"/>
        </w:rPr>
        <w:t>985本硕背景：</w:t>
      </w:r>
      <w:r>
        <w:rPr>
          <w:rFonts w:hint="eastAsia" w:ascii="微软雅黑" w:hAnsi="微软雅黑" w:eastAsia="微软雅黑" w:cs="微软雅黑"/>
          <w:spacing w:val="6"/>
          <w:sz w:val="18"/>
          <w:szCs w:val="18"/>
          <w:lang w:eastAsia="zh-CN"/>
        </w:rPr>
        <w:t>吉林大学会计学（专业前3），天津大学金融学保研，以第二作者在《会计研究》（中文核心）发表论文。</w:t>
      </w:r>
    </w:p>
    <w:p w14:paraId="44605C40">
      <w:pPr>
        <w:numPr>
          <w:ilvl w:val="0"/>
          <w:numId w:val="0"/>
        </w:numPr>
        <w:spacing w:line="300" w:lineRule="exact"/>
        <w:ind w:leftChars="0"/>
        <w:rPr>
          <w:rFonts w:hint="eastAsia" w:ascii="微软雅黑" w:hAnsi="微软雅黑" w:eastAsia="微软雅黑" w:cs="微软雅黑"/>
          <w:spacing w:val="6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pacing w:val="6"/>
          <w:sz w:val="18"/>
          <w:szCs w:val="18"/>
          <w:lang w:eastAsia="zh-CN"/>
        </w:rPr>
        <w:t>扎实学术基础：</w:t>
      </w:r>
      <w:r>
        <w:rPr>
          <w:rFonts w:hint="eastAsia" w:ascii="微软雅黑" w:hAnsi="微软雅黑" w:eastAsia="微软雅黑" w:cs="微软雅黑"/>
          <w:spacing w:val="6"/>
          <w:sz w:val="18"/>
          <w:szCs w:val="18"/>
          <w:lang w:eastAsia="zh-CN"/>
        </w:rPr>
        <w:t>财务会计/金融/数学基础扎实（核心课程均分94+），精通Python量化建模（机器学习、因子开发、策略回测）。</w:t>
      </w:r>
    </w:p>
    <w:p w14:paraId="3FBFD512">
      <w:pPr>
        <w:numPr>
          <w:ilvl w:val="0"/>
          <w:numId w:val="0"/>
        </w:numPr>
        <w:spacing w:line="300" w:lineRule="exact"/>
        <w:ind w:leftChars="0"/>
        <w:rPr>
          <w:rFonts w:hint="eastAsia" w:ascii="微软雅黑" w:hAnsi="微软雅黑" w:eastAsia="微软雅黑" w:cs="微软雅黑"/>
          <w:spacing w:val="6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pacing w:val="6"/>
          <w:sz w:val="18"/>
          <w:szCs w:val="18"/>
          <w:lang w:eastAsia="zh-CN"/>
        </w:rPr>
        <w:t>金融实战经验：</w:t>
      </w:r>
      <w:r>
        <w:rPr>
          <w:rFonts w:hint="eastAsia" w:ascii="微软雅黑" w:hAnsi="微软雅黑" w:eastAsia="微软雅黑" w:cs="微软雅黑"/>
          <w:spacing w:val="6"/>
          <w:sz w:val="18"/>
          <w:szCs w:val="18"/>
          <w:lang w:eastAsia="zh-CN"/>
        </w:rPr>
        <w:t>主导事件驱动/高频因子/CTA策略开发，事件策略年化收益达</w:t>
      </w:r>
      <w:r>
        <w:rPr>
          <w:rFonts w:ascii="微软雅黑" w:hAnsi="微软雅黑" w:eastAsia="微软雅黑" w:cs="微软雅黑"/>
          <w:spacing w:val="6"/>
          <w:sz w:val="18"/>
          <w:szCs w:val="18"/>
          <w:lang w:eastAsia="zh-CN"/>
        </w:rPr>
        <w:t>69.2</w:t>
      </w:r>
      <w:r>
        <w:rPr>
          <w:rFonts w:hint="eastAsia" w:ascii="微软雅黑" w:hAnsi="微软雅黑" w:eastAsia="微软雅黑" w:cs="微软雅黑"/>
          <w:spacing w:val="6"/>
          <w:sz w:val="18"/>
          <w:szCs w:val="18"/>
          <w:lang w:eastAsia="zh-CN"/>
        </w:rPr>
        <w:t>%，夏普比率1.9，最大回撤16.3%。</w:t>
      </w:r>
    </w:p>
    <w:p w14:paraId="3D5DFADE">
      <w:pPr>
        <w:pStyle w:val="18"/>
        <w:pBdr>
          <w:bottom w:val="single" w:color="auto" w:sz="4" w:space="0"/>
        </w:pBdr>
        <w:spacing w:before="120" w:beforeLines="50" w:after="0" w:line="300" w:lineRule="exact"/>
        <w:rPr>
          <w:rFonts w:hint="eastAsia" w:ascii="微软雅黑" w:hAnsi="微软雅黑" w:eastAsia="微软雅黑" w:cs="微软雅黑"/>
          <w:color w:val="auto"/>
          <w:spacing w:val="6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pacing w:val="6"/>
          <w:lang w:val="en-US" w:eastAsia="zh-CN"/>
        </w:rPr>
        <w:t>教育经历</w:t>
      </w:r>
    </w:p>
    <w:p w14:paraId="596DDCA1">
      <w:pPr>
        <w:spacing w:before="72" w:beforeLines="30" w:line="300" w:lineRule="exact"/>
        <w:rPr>
          <w:rFonts w:hint="eastAsia" w:ascii="微软雅黑" w:hAnsi="微软雅黑" w:eastAsia="微软雅黑" w:cs="微软雅黑"/>
          <w:b/>
          <w:bCs/>
          <w:spacing w:val="6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pacing w:val="6"/>
          <w:sz w:val="18"/>
          <w:szCs w:val="18"/>
          <w:lang w:eastAsia="zh-CN"/>
        </w:rPr>
        <w:t xml:space="preserve">天津大学（985，保送）                                         </w:t>
      </w:r>
      <w:r>
        <w:rPr>
          <w:rFonts w:hint="eastAsia" w:ascii="微软雅黑" w:hAnsi="微软雅黑" w:eastAsia="微软雅黑" w:cs="微软雅黑"/>
          <w:b/>
          <w:bCs/>
          <w:spacing w:val="6"/>
          <w:sz w:val="18"/>
          <w:szCs w:val="18"/>
          <w:lang w:val="en-US" w:eastAsia="zh-CN"/>
        </w:rPr>
        <w:t xml:space="preserve">     </w:t>
      </w:r>
      <w:bookmarkStart w:id="0" w:name="_GoBack"/>
      <w:bookmarkEnd w:id="0"/>
      <w:r>
        <w:rPr>
          <w:rFonts w:hint="eastAsia" w:ascii="微软雅黑" w:hAnsi="微软雅黑" w:eastAsia="微软雅黑" w:cs="微软雅黑"/>
          <w:b/>
          <w:bCs/>
          <w:spacing w:val="6"/>
          <w:sz w:val="18"/>
          <w:szCs w:val="18"/>
          <w:lang w:eastAsia="zh-CN"/>
        </w:rPr>
        <w:t xml:space="preserve">金融 硕士                                                                       2023.09 - 2026.01 </w:t>
      </w:r>
    </w:p>
    <w:p w14:paraId="66B5FF5A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283" w:hanging="283"/>
        <w:textAlignment w:val="auto"/>
        <w:rPr>
          <w:rFonts w:hint="eastAsia" w:ascii="微软雅黑" w:hAnsi="微软雅黑" w:eastAsia="微软雅黑" w:cs="微软雅黑"/>
          <w:spacing w:val="6"/>
          <w:sz w:val="18"/>
          <w:szCs w:val="18"/>
          <w:lang w:eastAsia="zh-CN"/>
        </w:rPr>
      </w:pPr>
      <w:r>
        <w:rPr>
          <w:rFonts w:ascii="微软雅黑" w:hAnsi="微软雅黑" w:eastAsia="微软雅黑" w:cs="微软雅黑"/>
          <w:b/>
          <w:bCs/>
          <w:spacing w:val="6"/>
          <w:sz w:val="18"/>
          <w:szCs w:val="18"/>
          <w:lang w:eastAsia="zh-CN"/>
        </w:rPr>
        <w:t>核心课程：</w:t>
      </w:r>
      <w:r>
        <w:rPr>
          <w:rFonts w:hint="eastAsia" w:ascii="微软雅黑" w:hAnsi="微软雅黑" w:eastAsia="微软雅黑" w:cs="微软雅黑"/>
          <w:spacing w:val="6"/>
          <w:sz w:val="18"/>
          <w:szCs w:val="18"/>
          <w:lang w:eastAsia="zh-CN"/>
        </w:rPr>
        <w:t>公司金融</w:t>
      </w:r>
      <w:r>
        <w:rPr>
          <w:rFonts w:ascii="微软雅黑" w:hAnsi="微软雅黑" w:eastAsia="微软雅黑" w:cs="微软雅黑"/>
          <w:spacing w:val="6"/>
          <w:sz w:val="18"/>
          <w:szCs w:val="18"/>
          <w:lang w:eastAsia="zh-CN"/>
        </w:rPr>
        <w:t>（92）、投资学（88）、金融计量经济学（86）</w:t>
      </w:r>
      <w:r>
        <w:rPr>
          <w:rFonts w:hint="eastAsia" w:ascii="微软雅黑" w:hAnsi="微软雅黑" w:eastAsia="微软雅黑" w:cs="微软雅黑"/>
          <w:spacing w:val="6"/>
          <w:sz w:val="18"/>
          <w:szCs w:val="18"/>
          <w:lang w:eastAsia="zh-CN"/>
        </w:rPr>
        <w:t>、金融工程理论、Python分析、高级商业分析、数据可视化。</w:t>
      </w:r>
    </w:p>
    <w:p w14:paraId="6F120AFD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283" w:hanging="283"/>
        <w:textAlignment w:val="auto"/>
        <w:rPr>
          <w:rFonts w:hint="eastAsia" w:ascii="微软雅黑" w:hAnsi="微软雅黑" w:eastAsia="微软雅黑" w:cs="微软雅黑"/>
          <w:spacing w:val="6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pacing w:val="6"/>
          <w:sz w:val="18"/>
          <w:szCs w:val="18"/>
          <w:lang w:eastAsia="zh-CN"/>
        </w:rPr>
        <w:t>荣誉</w:t>
      </w:r>
      <w:r>
        <w:rPr>
          <w:rFonts w:ascii="微软雅黑" w:hAnsi="微软雅黑" w:eastAsia="微软雅黑" w:cs="微软雅黑"/>
          <w:b/>
          <w:bCs/>
          <w:spacing w:val="6"/>
          <w:sz w:val="18"/>
          <w:szCs w:val="18"/>
          <w:lang w:eastAsia="zh-CN"/>
        </w:rPr>
        <w:t>奖项：</w:t>
      </w:r>
      <w:r>
        <w:rPr>
          <w:rFonts w:hint="eastAsia" w:ascii="微软雅黑" w:hAnsi="微软雅黑" w:eastAsia="微软雅黑" w:cs="微软雅黑"/>
          <w:spacing w:val="6"/>
          <w:sz w:val="18"/>
          <w:szCs w:val="18"/>
          <w:lang w:eastAsia="zh-CN"/>
        </w:rPr>
        <w:t>天津大学</w:t>
      </w:r>
      <w:r>
        <w:rPr>
          <w:rFonts w:ascii="微软雅黑" w:hAnsi="微软雅黑" w:eastAsia="微软雅黑" w:cs="微软雅黑"/>
          <w:spacing w:val="6"/>
          <w:sz w:val="18"/>
          <w:szCs w:val="18"/>
          <w:lang w:eastAsia="zh-CN"/>
        </w:rPr>
        <w:t xml:space="preserve">二等奖学金（前15%） </w:t>
      </w:r>
    </w:p>
    <w:p w14:paraId="223C9050">
      <w:pPr>
        <w:spacing w:line="300" w:lineRule="exact"/>
        <w:rPr>
          <w:rFonts w:hint="eastAsia" w:ascii="微软雅黑" w:hAnsi="微软雅黑" w:eastAsia="微软雅黑" w:cs="微软雅黑"/>
          <w:b/>
          <w:bCs/>
          <w:spacing w:val="6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pacing w:val="6"/>
          <w:sz w:val="18"/>
          <w:szCs w:val="18"/>
          <w:lang w:eastAsia="zh-CN"/>
        </w:rPr>
        <w:t xml:space="preserve">吉林大学（985）                                                  财务与会计 </w:t>
      </w:r>
      <w:r>
        <w:rPr>
          <w:rFonts w:hint="eastAsia" w:ascii="微软雅黑" w:hAnsi="微软雅黑" w:eastAsia="微软雅黑" w:cs="微软雅黑"/>
          <w:b/>
          <w:bCs/>
          <w:spacing w:val="6"/>
          <w:sz w:val="18"/>
          <w:szCs w:val="18"/>
          <w:lang w:val="en-US" w:eastAsia="zh-CN"/>
        </w:rPr>
        <w:t>本科</w:t>
      </w:r>
      <w:r>
        <w:rPr>
          <w:rFonts w:hint="eastAsia" w:ascii="微软雅黑" w:hAnsi="微软雅黑" w:eastAsia="微软雅黑" w:cs="微软雅黑"/>
          <w:b/>
          <w:bCs/>
          <w:spacing w:val="6"/>
          <w:sz w:val="18"/>
          <w:szCs w:val="18"/>
          <w:lang w:eastAsia="zh-CN"/>
        </w:rPr>
        <w:t xml:space="preserve">                                                              2019.09 - 2023.06 </w:t>
      </w:r>
    </w:p>
    <w:p w14:paraId="0878FF0B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283" w:hanging="283"/>
        <w:textAlignment w:val="auto"/>
        <w:rPr>
          <w:rFonts w:hint="eastAsia" w:ascii="微软雅黑" w:hAnsi="微软雅黑" w:eastAsia="微软雅黑" w:cs="微软雅黑"/>
          <w:spacing w:val="6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pacing w:val="6"/>
          <w:sz w:val="18"/>
          <w:szCs w:val="18"/>
          <w:lang w:eastAsia="zh-CN"/>
        </w:rPr>
        <w:t>核心课程：</w:t>
      </w:r>
      <w:r>
        <w:rPr>
          <w:rFonts w:hint="eastAsia" w:ascii="微软雅黑" w:hAnsi="微软雅黑" w:eastAsia="微软雅黑" w:cs="微软雅黑"/>
          <w:spacing w:val="6"/>
          <w:sz w:val="18"/>
          <w:szCs w:val="18"/>
          <w:lang w:eastAsia="zh-CN"/>
        </w:rPr>
        <w:t xml:space="preserve">微积分(94)、线性代数(98)、概率论(99)、C语言(91)、管理会计(91)、微观经济学(94)、宏观经济学(93) </w:t>
      </w:r>
    </w:p>
    <w:p w14:paraId="24DD0265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283" w:hanging="283"/>
        <w:textAlignment w:val="auto"/>
        <w:rPr>
          <w:rFonts w:hint="eastAsia" w:ascii="微软雅黑" w:hAnsi="微软雅黑" w:eastAsia="微软雅黑" w:cs="微软雅黑"/>
          <w:spacing w:val="6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pacing w:val="6"/>
          <w:sz w:val="18"/>
          <w:szCs w:val="18"/>
          <w:lang w:eastAsia="zh-CN"/>
        </w:rPr>
        <w:t>成绩荣誉：</w:t>
      </w:r>
      <w:r>
        <w:rPr>
          <w:rFonts w:hint="eastAsia" w:ascii="微软雅黑" w:hAnsi="微软雅黑" w:eastAsia="微软雅黑" w:cs="微软雅黑"/>
          <w:spacing w:val="6"/>
          <w:sz w:val="18"/>
          <w:szCs w:val="18"/>
          <w:lang w:eastAsia="zh-CN"/>
        </w:rPr>
        <w:t xml:space="preserve">3.8/4.0 专业前3 ；一等奖学金（前5%）、二等奖学金（前10%）、校优秀学生（前5%）、院优秀学生（前10%） </w:t>
      </w:r>
    </w:p>
    <w:p w14:paraId="4DB19569">
      <w:pPr>
        <w:pStyle w:val="18"/>
        <w:pBdr>
          <w:bottom w:val="single" w:color="auto" w:sz="4" w:space="0"/>
        </w:pBdr>
        <w:spacing w:before="120" w:beforeLines="50" w:after="0" w:line="300" w:lineRule="exact"/>
        <w:rPr>
          <w:rFonts w:hint="eastAsia" w:ascii="微软雅黑" w:hAnsi="微软雅黑" w:eastAsia="微软雅黑" w:cs="微软雅黑"/>
          <w:b w:val="0"/>
          <w:bCs w:val="0"/>
          <w:color w:val="auto"/>
          <w:spacing w:val="6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auto"/>
          <w:spacing w:val="6"/>
          <w:lang w:val="en-US" w:eastAsia="zh-CN"/>
        </w:rPr>
        <w:t>实习</w:t>
      </w:r>
      <w:r>
        <w:rPr>
          <w:rFonts w:hint="eastAsia" w:ascii="微软雅黑" w:hAnsi="微软雅黑" w:eastAsia="微软雅黑" w:cs="微软雅黑"/>
          <w:color w:val="auto"/>
          <w:spacing w:val="6"/>
        </w:rPr>
        <w:t>经历</w:t>
      </w:r>
    </w:p>
    <w:p w14:paraId="30BDCA3E">
      <w:pPr>
        <w:spacing w:before="72" w:beforeLines="30" w:line="300" w:lineRule="exact"/>
        <w:rPr>
          <w:rFonts w:hint="eastAsia" w:ascii="微软雅黑" w:hAnsi="微软雅黑" w:eastAsia="微软雅黑" w:cs="微软雅黑"/>
          <w:b/>
          <w:bCs/>
          <w:spacing w:val="6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pacing w:val="6"/>
          <w:sz w:val="18"/>
          <w:szCs w:val="18"/>
          <w:lang w:eastAsia="zh-CN"/>
        </w:rPr>
        <w:t>上海量魁私募基金管理有限公司                        投研部门  |  量化研究员                                                        2025.05 - 2025.08</w:t>
      </w:r>
    </w:p>
    <w:p w14:paraId="7C0471FB"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283" w:hanging="283"/>
        <w:textAlignment w:val="auto"/>
        <w:rPr>
          <w:rFonts w:hint="eastAsia" w:ascii="微软雅黑" w:hAnsi="微软雅黑" w:eastAsia="微软雅黑" w:cs="微软雅黑"/>
          <w:spacing w:val="6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pacing w:val="6"/>
          <w:sz w:val="18"/>
          <w:szCs w:val="18"/>
          <w:lang w:eastAsia="zh-CN"/>
        </w:rPr>
        <w:t>开发事件驱动策略：</w:t>
      </w:r>
      <w:r>
        <w:rPr>
          <w:rFonts w:hint="eastAsia" w:ascii="微软雅黑" w:hAnsi="微软雅黑" w:eastAsia="微软雅黑" w:cs="微软雅黑"/>
          <w:spacing w:val="6"/>
          <w:sz w:val="18"/>
          <w:szCs w:val="18"/>
          <w:lang w:eastAsia="zh-CN"/>
        </w:rPr>
        <w:t>分析A股ST股票公告事件时间分布和持有收益，实证扭亏业绩预告公告发布后40天累计超额收益达7.0%（t值=2.9）；挖掘日内失衡因子与超预期因子对公告事件收益的促进作用（多头组合收益分别提升2.2%和3%）</w:t>
      </w:r>
    </w:p>
    <w:p w14:paraId="3269AB3C"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283" w:hanging="283"/>
        <w:textAlignment w:val="auto"/>
        <w:rPr>
          <w:rFonts w:ascii="微软雅黑" w:hAnsi="微软雅黑" w:eastAsia="微软雅黑" w:cs="微软雅黑"/>
          <w:spacing w:val="6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pacing w:val="6"/>
          <w:sz w:val="18"/>
          <w:szCs w:val="18"/>
          <w:lang w:eastAsia="zh-CN"/>
        </w:rPr>
        <w:t>机器学习预测模型：</w:t>
      </w:r>
      <w:r>
        <w:rPr>
          <w:rFonts w:hint="eastAsia" w:ascii="微软雅黑" w:hAnsi="微软雅黑" w:eastAsia="微软雅黑" w:cs="微软雅黑"/>
          <w:spacing w:val="6"/>
          <w:sz w:val="18"/>
          <w:szCs w:val="18"/>
          <w:lang w:eastAsia="zh-CN"/>
        </w:rPr>
        <w:t>整合月度频率盈利能力、治理情况等基本面</w:t>
      </w:r>
      <w:r>
        <w:rPr>
          <w:rFonts w:hint="eastAsia" w:ascii="微软雅黑" w:hAnsi="微软雅黑" w:eastAsia="微软雅黑" w:cs="微软雅黑"/>
          <w:spacing w:val="6"/>
          <w:sz w:val="18"/>
          <w:szCs w:val="18"/>
          <w:lang w:val="en-US" w:eastAsia="zh-CN"/>
        </w:rPr>
        <w:t>信息</w:t>
      </w:r>
      <w:r>
        <w:rPr>
          <w:rFonts w:hint="eastAsia" w:ascii="微软雅黑" w:hAnsi="微软雅黑" w:eastAsia="微软雅黑" w:cs="微软雅黑"/>
          <w:spacing w:val="6"/>
          <w:sz w:val="18"/>
          <w:szCs w:val="18"/>
          <w:lang w:eastAsia="zh-CN"/>
        </w:rPr>
        <w:t>与基础量价</w:t>
      </w:r>
      <w:r>
        <w:rPr>
          <w:rFonts w:hint="eastAsia" w:ascii="微软雅黑" w:hAnsi="微软雅黑" w:eastAsia="微软雅黑" w:cs="微软雅黑"/>
          <w:spacing w:val="6"/>
          <w:sz w:val="18"/>
          <w:szCs w:val="18"/>
          <w:lang w:val="en-US" w:eastAsia="zh-CN"/>
        </w:rPr>
        <w:t>等20+特征</w:t>
      </w:r>
      <w:r>
        <w:rPr>
          <w:rFonts w:hint="eastAsia" w:ascii="微软雅黑" w:hAnsi="微软雅黑" w:eastAsia="微软雅黑" w:cs="微软雅黑"/>
          <w:spacing w:val="6"/>
          <w:sz w:val="18"/>
          <w:szCs w:val="18"/>
          <w:lang w:eastAsia="zh-CN"/>
        </w:rPr>
        <w:t>，使用Random Forest、XGBoost等二元分类机器学习模型滚动预测次月摘帽可能性，样本外准确率达77.6%</w:t>
      </w:r>
    </w:p>
    <w:p w14:paraId="722732C8"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283" w:hanging="283"/>
        <w:textAlignment w:val="auto"/>
        <w:rPr>
          <w:rFonts w:hint="eastAsia" w:ascii="微软雅黑" w:hAnsi="微软雅黑" w:eastAsia="微软雅黑" w:cs="微软雅黑"/>
          <w:spacing w:val="6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pacing w:val="6"/>
          <w:sz w:val="18"/>
          <w:szCs w:val="18"/>
          <w:lang w:eastAsia="zh-CN"/>
        </w:rPr>
        <w:t>回测框架设计：</w:t>
      </w:r>
      <w:r>
        <w:rPr>
          <w:rFonts w:hint="eastAsia" w:ascii="微软雅黑" w:hAnsi="微软雅黑" w:eastAsia="微软雅黑" w:cs="微软雅黑"/>
          <w:spacing w:val="6"/>
          <w:sz w:val="18"/>
          <w:szCs w:val="18"/>
          <w:lang w:eastAsia="zh-CN"/>
        </w:rPr>
        <w:t>以摘帽概率较高的ST企业作为股票池且每月更新，涨停触发买入信号持有20日平仓或</w:t>
      </w:r>
      <w:r>
        <w:rPr>
          <w:rFonts w:hint="eastAsia" w:ascii="微软雅黑" w:hAnsi="微软雅黑" w:eastAsia="微软雅黑" w:cs="微软雅黑"/>
          <w:spacing w:val="6"/>
          <w:sz w:val="18"/>
          <w:szCs w:val="18"/>
          <w:lang w:val="en-US" w:eastAsia="zh-CN"/>
        </w:rPr>
        <w:t>单日下跌4.9%</w:t>
      </w:r>
      <w:r>
        <w:rPr>
          <w:rFonts w:hint="eastAsia" w:ascii="微软雅黑" w:hAnsi="微软雅黑" w:eastAsia="微软雅黑" w:cs="微软雅黑"/>
          <w:spacing w:val="6"/>
          <w:sz w:val="18"/>
          <w:szCs w:val="18"/>
          <w:lang w:eastAsia="zh-CN"/>
        </w:rPr>
        <w:t>止损，2018-2025回测期间年化收益69.2%/夏普比率1.9/最大回撤16.3%</w:t>
      </w:r>
    </w:p>
    <w:p w14:paraId="64D40C01">
      <w:pPr>
        <w:spacing w:line="300" w:lineRule="exact"/>
        <w:rPr>
          <w:rFonts w:hint="eastAsia" w:ascii="微软雅黑" w:hAnsi="微软雅黑" w:eastAsia="微软雅黑" w:cs="微软雅黑"/>
          <w:b/>
          <w:bCs/>
          <w:spacing w:val="6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pacing w:val="6"/>
          <w:sz w:val="18"/>
          <w:szCs w:val="18"/>
          <w:lang w:eastAsia="zh-CN"/>
        </w:rPr>
        <w:t>渤海证券                                                    对冲量化部门  |  量化交易实习生                                                 2025.01 - 2025.05</w:t>
      </w:r>
    </w:p>
    <w:p w14:paraId="35DD6B30">
      <w:pPr>
        <w:pStyle w:val="19"/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00" w:lineRule="exact"/>
        <w:ind w:left="283" w:hanging="283" w:firstLineChars="0"/>
        <w:textAlignment w:val="auto"/>
        <w:rPr>
          <w:rFonts w:hint="eastAsia" w:ascii="微软雅黑" w:hAnsi="微软雅黑" w:eastAsia="微软雅黑" w:cs="微软雅黑"/>
          <w:spacing w:val="6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pacing w:val="6"/>
          <w:sz w:val="18"/>
          <w:szCs w:val="18"/>
          <w:lang w:eastAsia="zh-CN"/>
        </w:rPr>
        <w:t>高频因子开发</w:t>
      </w:r>
      <w:r>
        <w:rPr>
          <w:rFonts w:hint="eastAsia" w:cs="方正品尚黑简体" w:asciiTheme="minorEastAsia" w:hAnsiTheme="minorEastAsia" w:eastAsiaTheme="minorEastAsia"/>
          <w:b/>
          <w:bCs/>
          <w:spacing w:val="6"/>
          <w:sz w:val="18"/>
          <w:szCs w:val="18"/>
          <w:lang w:eastAsia="zh-CN"/>
        </w:rPr>
        <w:t>：</w:t>
      </w:r>
      <w:r>
        <w:rPr>
          <w:rFonts w:hint="eastAsia" w:ascii="微软雅黑" w:hAnsi="微软雅黑" w:eastAsia="微软雅黑" w:cs="微软雅黑"/>
          <w:spacing w:val="6"/>
          <w:sz w:val="18"/>
          <w:szCs w:val="18"/>
          <w:lang w:eastAsia="zh-CN"/>
        </w:rPr>
        <w:t>基于股票逐笔成交数据的非孤立单构建每日成交不平衡因子，经市值中性化+涨跌幅正交化处理，因子ICIR达2.52，多空对冲组合年化收益25.51%/最大回撤10.07%；对因子频率、孤立成交单窗口期等参数进行敏感性分析</w:t>
      </w:r>
    </w:p>
    <w:p w14:paraId="03830FD7">
      <w:pPr>
        <w:pStyle w:val="19"/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00" w:lineRule="exact"/>
        <w:ind w:left="283" w:hanging="283" w:firstLineChars="0"/>
        <w:textAlignment w:val="auto"/>
        <w:rPr>
          <w:rFonts w:hint="eastAsia" w:ascii="微软雅黑" w:hAnsi="微软雅黑" w:eastAsia="微软雅黑" w:cs="微软雅黑"/>
          <w:spacing w:val="6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pacing w:val="6"/>
          <w:sz w:val="18"/>
          <w:szCs w:val="18"/>
          <w:lang w:eastAsia="zh-CN"/>
        </w:rPr>
        <w:t>商品期货策略：</w:t>
      </w:r>
      <w:r>
        <w:rPr>
          <w:rFonts w:hint="eastAsia" w:ascii="微软雅黑" w:hAnsi="微软雅黑" w:eastAsia="微软雅黑" w:cs="微软雅黑"/>
          <w:spacing w:val="6"/>
          <w:sz w:val="18"/>
          <w:szCs w:val="18"/>
          <w:lang w:eastAsia="zh-CN"/>
        </w:rPr>
        <w:t>针对主力合约开发Aberration、Boll、DMA、MA、MACD均线策略，</w:t>
      </w:r>
      <w:r>
        <w:rPr>
          <w:rFonts w:hint="eastAsia" w:ascii="微软雅黑" w:hAnsi="微软雅黑" w:eastAsia="微软雅黑" w:cs="微软雅黑"/>
          <w:spacing w:val="6"/>
          <w:sz w:val="18"/>
          <w:szCs w:val="18"/>
          <w:lang w:val="en-US" w:eastAsia="zh-CN"/>
        </w:rPr>
        <w:t>每3月</w:t>
      </w:r>
      <w:r>
        <w:rPr>
          <w:rFonts w:hint="eastAsia" w:ascii="微软雅黑" w:hAnsi="微软雅黑" w:eastAsia="微软雅黑" w:cs="微软雅黑"/>
          <w:spacing w:val="6"/>
          <w:sz w:val="18"/>
          <w:szCs w:val="18"/>
          <w:lang w:eastAsia="zh-CN"/>
        </w:rPr>
        <w:t>根据流动性变动因子</w:t>
      </w:r>
      <w:r>
        <w:rPr>
          <w:rFonts w:hint="eastAsia" w:ascii="微软雅黑" w:hAnsi="微软雅黑" w:eastAsia="微软雅黑" w:cs="微软雅黑"/>
          <w:spacing w:val="6"/>
          <w:sz w:val="18"/>
          <w:szCs w:val="18"/>
          <w:lang w:val="en-US" w:eastAsia="zh-CN"/>
        </w:rPr>
        <w:t>调整</w:t>
      </w:r>
      <w:r>
        <w:rPr>
          <w:rFonts w:hint="eastAsia" w:ascii="微软雅黑" w:hAnsi="微软雅黑" w:eastAsia="微软雅黑" w:cs="微软雅黑"/>
          <w:spacing w:val="6"/>
          <w:sz w:val="18"/>
          <w:szCs w:val="18"/>
          <w:lang w:eastAsia="zh-CN"/>
        </w:rPr>
        <w:t>多头组合，针对每一品种以过去3个月夏普比率最高的均线策略作为择时策略，</w:t>
      </w:r>
      <w:r>
        <w:rPr>
          <w:rFonts w:ascii="微软雅黑" w:hAnsi="微软雅黑" w:eastAsia="微软雅黑" w:cs="微软雅黑"/>
          <w:spacing w:val="6"/>
          <w:sz w:val="18"/>
          <w:szCs w:val="18"/>
          <w:lang w:eastAsia="zh-CN"/>
        </w:rPr>
        <w:t>2021-2025.04</w:t>
      </w:r>
      <w:r>
        <w:rPr>
          <w:rFonts w:hint="eastAsia" w:ascii="微软雅黑" w:hAnsi="微软雅黑" w:eastAsia="微软雅黑" w:cs="微软雅黑"/>
          <w:spacing w:val="6"/>
          <w:sz w:val="18"/>
          <w:szCs w:val="18"/>
          <w:lang w:eastAsia="zh-CN"/>
        </w:rPr>
        <w:t>期间回测年均收益</w:t>
      </w:r>
      <w:r>
        <w:rPr>
          <w:rFonts w:ascii="微软雅黑" w:hAnsi="微软雅黑" w:eastAsia="微软雅黑" w:cs="微软雅黑"/>
          <w:spacing w:val="6"/>
          <w:sz w:val="18"/>
          <w:szCs w:val="18"/>
          <w:lang w:eastAsia="zh-CN"/>
        </w:rPr>
        <w:t>12.2%</w:t>
      </w:r>
      <w:r>
        <w:rPr>
          <w:rFonts w:hint="eastAsia" w:ascii="微软雅黑" w:hAnsi="微软雅黑" w:eastAsia="微软雅黑" w:cs="微软雅黑"/>
          <w:spacing w:val="6"/>
          <w:sz w:val="18"/>
          <w:szCs w:val="18"/>
          <w:lang w:eastAsia="zh-CN"/>
        </w:rPr>
        <w:t>/最大回撤</w:t>
      </w:r>
      <w:r>
        <w:rPr>
          <w:rFonts w:ascii="微软雅黑" w:hAnsi="微软雅黑" w:eastAsia="微软雅黑" w:cs="微软雅黑"/>
          <w:spacing w:val="6"/>
          <w:sz w:val="18"/>
          <w:szCs w:val="18"/>
          <w:lang w:eastAsia="zh-CN"/>
        </w:rPr>
        <w:t>11.6%</w:t>
      </w:r>
    </w:p>
    <w:p w14:paraId="5603512B">
      <w:pPr>
        <w:spacing w:line="300" w:lineRule="exact"/>
        <w:rPr>
          <w:rFonts w:hint="eastAsia" w:ascii="微软雅黑" w:hAnsi="微软雅黑" w:eastAsia="微软雅黑" w:cs="微软雅黑"/>
          <w:b/>
          <w:bCs/>
          <w:spacing w:val="6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pacing w:val="6"/>
          <w:sz w:val="18"/>
          <w:szCs w:val="18"/>
          <w:lang w:eastAsia="zh-CN"/>
        </w:rPr>
        <w:t>申万宏源证券                                                     投行部门  |  投资助理                                                          2022.09 - 2022.11</w:t>
      </w:r>
    </w:p>
    <w:p w14:paraId="584DC2F3"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00" w:lineRule="exact"/>
        <w:ind w:left="283" w:hanging="283"/>
        <w:textAlignment w:val="auto"/>
        <w:rPr>
          <w:rFonts w:hint="eastAsia" w:ascii="微软雅黑" w:hAnsi="微软雅黑" w:eastAsia="微软雅黑" w:cs="微软雅黑"/>
          <w:spacing w:val="6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pacing w:val="6"/>
          <w:sz w:val="18"/>
          <w:szCs w:val="18"/>
          <w:lang w:eastAsia="zh-CN"/>
        </w:rPr>
        <w:t>参与IPO财务核查：</w:t>
      </w:r>
      <w:r>
        <w:rPr>
          <w:rFonts w:hint="eastAsia" w:ascii="微软雅黑" w:hAnsi="微软雅黑" w:eastAsia="微软雅黑" w:cs="微软雅黑"/>
          <w:spacing w:val="6"/>
          <w:sz w:val="18"/>
          <w:szCs w:val="18"/>
          <w:lang w:eastAsia="zh-CN"/>
        </w:rPr>
        <w:t>协助进行尽职调查、按照质控部门要求补充招股说明书财务信息底稿；具体负责拟上市企业采购、销售数据的公允性调查以及与同行业企业的对比分析；核查内部控制环节的可靠性并对具体的业务流程施行穿行测试</w:t>
      </w:r>
    </w:p>
    <w:p w14:paraId="3A3CC66F"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00" w:lineRule="exact"/>
        <w:ind w:left="283" w:hanging="283"/>
        <w:textAlignment w:val="auto"/>
        <w:rPr>
          <w:rFonts w:hint="eastAsia" w:ascii="微软雅黑" w:hAnsi="微软雅黑" w:eastAsia="微软雅黑" w:cs="微软雅黑"/>
          <w:b/>
          <w:bCs/>
          <w:spacing w:val="6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pacing w:val="6"/>
          <w:sz w:val="18"/>
          <w:szCs w:val="18"/>
          <w:lang w:eastAsia="zh-CN"/>
        </w:rPr>
        <w:t>测试内控流程：</w:t>
      </w:r>
      <w:r>
        <w:rPr>
          <w:rFonts w:hint="eastAsia" w:ascii="微软雅黑" w:hAnsi="微软雅黑" w:eastAsia="微软雅黑" w:cs="微软雅黑"/>
          <w:spacing w:val="6"/>
          <w:sz w:val="18"/>
          <w:szCs w:val="18"/>
          <w:lang w:eastAsia="zh-CN"/>
        </w:rPr>
        <w:t>协助项目组核查会计事务所提供的拟上市企业财务状况分析，完善关联企业信息，核实销售借贷等业务活动的真实性</w:t>
      </w:r>
    </w:p>
    <w:p w14:paraId="48956837">
      <w:pPr>
        <w:pStyle w:val="18"/>
        <w:pBdr>
          <w:bottom w:val="single" w:color="auto" w:sz="4" w:space="0"/>
        </w:pBdr>
        <w:spacing w:before="120" w:beforeLines="50" w:after="0" w:line="300" w:lineRule="exact"/>
        <w:rPr>
          <w:rFonts w:hint="eastAsia" w:ascii="微软雅黑" w:hAnsi="微软雅黑" w:eastAsia="微软雅黑" w:cs="微软雅黑"/>
          <w:b w:val="0"/>
          <w:bCs w:val="0"/>
          <w:color w:val="auto"/>
          <w:spacing w:val="6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auto"/>
          <w:spacing w:val="6"/>
          <w:lang w:val="en-US" w:eastAsia="zh-CN"/>
        </w:rPr>
        <w:t>项目</w:t>
      </w:r>
      <w:r>
        <w:rPr>
          <w:rFonts w:hint="eastAsia" w:ascii="微软雅黑" w:hAnsi="微软雅黑" w:eastAsia="微软雅黑" w:cs="微软雅黑"/>
          <w:color w:val="auto"/>
          <w:spacing w:val="6"/>
        </w:rPr>
        <w:t>经历</w:t>
      </w:r>
    </w:p>
    <w:p w14:paraId="26CBE24B">
      <w:pPr>
        <w:spacing w:before="72" w:beforeLines="30" w:line="300" w:lineRule="exact"/>
        <w:rPr>
          <w:rFonts w:hint="eastAsia" w:ascii="微软雅黑" w:hAnsi="微软雅黑" w:eastAsia="微软雅黑" w:cs="微软雅黑"/>
          <w:b/>
          <w:bCs/>
          <w:spacing w:val="6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pacing w:val="6"/>
          <w:sz w:val="18"/>
          <w:szCs w:val="18"/>
          <w:lang w:eastAsia="zh-CN"/>
        </w:rPr>
        <w:t xml:space="preserve">ST股票事件驱动策略 | 独立研究项目                                                                                                            2025.05 - 2025.08  </w:t>
      </w:r>
    </w:p>
    <w:p w14:paraId="76B528B1"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283" w:hanging="283"/>
        <w:textAlignment w:val="auto"/>
        <w:rPr>
          <w:rFonts w:hint="eastAsia" w:ascii="微软雅黑" w:hAnsi="微软雅黑" w:eastAsia="微软雅黑" w:cs="微软雅黑"/>
          <w:spacing w:val="6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pacing w:val="6"/>
          <w:sz w:val="18"/>
          <w:szCs w:val="18"/>
          <w:lang w:val="en-US" w:eastAsia="zh-CN"/>
        </w:rPr>
        <w:t>事件后收益</w:t>
      </w:r>
      <w:r>
        <w:rPr>
          <w:rFonts w:hint="eastAsia" w:ascii="微软雅黑" w:hAnsi="微软雅黑" w:eastAsia="微软雅黑" w:cs="微软雅黑"/>
          <w:b/>
          <w:bCs/>
          <w:spacing w:val="6"/>
          <w:sz w:val="18"/>
          <w:szCs w:val="18"/>
          <w:lang w:eastAsia="zh-CN"/>
        </w:rPr>
        <w:t>：</w:t>
      </w:r>
      <w:r>
        <w:rPr>
          <w:rFonts w:hint="eastAsia" w:ascii="微软雅黑" w:hAnsi="微软雅黑" w:eastAsia="微软雅黑" w:cs="微软雅黑"/>
          <w:spacing w:val="6"/>
          <w:sz w:val="18"/>
          <w:szCs w:val="18"/>
          <w:lang w:eastAsia="zh-CN"/>
        </w:rPr>
        <w:t>对发布后存在明显持续收益的事件构建事件驱动型策略，其中扭亏业绩预告公告后持有40日的平均累积超额收益为7%，涨停</w:t>
      </w:r>
      <w:r>
        <w:rPr>
          <w:rFonts w:hint="eastAsia" w:ascii="微软雅黑" w:hAnsi="微软雅黑" w:eastAsia="微软雅黑" w:cs="微软雅黑"/>
          <w:spacing w:val="6"/>
          <w:sz w:val="18"/>
          <w:szCs w:val="18"/>
          <w:lang w:val="en-US" w:eastAsia="zh-CN"/>
        </w:rPr>
        <w:t>事件</w:t>
      </w:r>
      <w:r>
        <w:rPr>
          <w:rFonts w:hint="eastAsia" w:ascii="微软雅黑" w:hAnsi="微软雅黑" w:eastAsia="微软雅黑" w:cs="微软雅黑"/>
          <w:spacing w:val="6"/>
          <w:sz w:val="18"/>
          <w:szCs w:val="18"/>
          <w:lang w:eastAsia="zh-CN"/>
        </w:rPr>
        <w:t>后持有90日的平均累积超额收益为6.7%；对于首次公布扭亏或在第二季度的涨停事件表现更佳</w:t>
      </w:r>
    </w:p>
    <w:p w14:paraId="1EE6F927"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283" w:hanging="283"/>
        <w:textAlignment w:val="auto"/>
        <w:rPr>
          <w:rFonts w:hint="eastAsia" w:ascii="微软雅黑" w:hAnsi="微软雅黑" w:eastAsia="微软雅黑" w:cs="微软雅黑"/>
          <w:spacing w:val="6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pacing w:val="6"/>
          <w:sz w:val="18"/>
          <w:szCs w:val="18"/>
          <w:lang w:val="en-US" w:eastAsia="zh-CN"/>
        </w:rPr>
        <w:t>事件前预测</w:t>
      </w:r>
      <w:r>
        <w:rPr>
          <w:rFonts w:hint="eastAsia" w:ascii="微软雅黑" w:hAnsi="微软雅黑" w:eastAsia="微软雅黑" w:cs="微软雅黑"/>
          <w:b/>
          <w:bCs/>
          <w:spacing w:val="6"/>
          <w:sz w:val="18"/>
          <w:szCs w:val="18"/>
          <w:lang w:eastAsia="zh-CN"/>
        </w:rPr>
        <w:t>：</w:t>
      </w:r>
      <w:r>
        <w:rPr>
          <w:rFonts w:hint="eastAsia" w:ascii="微软雅黑" w:hAnsi="微软雅黑" w:eastAsia="微软雅黑" w:cs="微软雅黑"/>
          <w:spacing w:val="6"/>
          <w:sz w:val="18"/>
          <w:szCs w:val="18"/>
          <w:lang w:eastAsia="zh-CN"/>
        </w:rPr>
        <w:t>基于指标发布日严格匹配公司财务指标与量价因子，使用XGBoost等机器学习开发ST企业摘帽概率模型，样本外预测准确率77.6%；对于摘帽概率高的股票构建DQN网络时序模型</w:t>
      </w:r>
      <w:r>
        <w:rPr>
          <w:rFonts w:hint="eastAsia" w:ascii="微软雅黑" w:hAnsi="微软雅黑" w:eastAsia="微软雅黑" w:cs="微软雅黑"/>
          <w:spacing w:val="6"/>
          <w:sz w:val="18"/>
          <w:szCs w:val="18"/>
          <w:lang w:val="en-US" w:eastAsia="zh-CN"/>
        </w:rPr>
        <w:t>细化</w:t>
      </w:r>
      <w:r>
        <w:rPr>
          <w:rFonts w:hint="eastAsia" w:ascii="微软雅黑" w:hAnsi="微软雅黑" w:eastAsia="微软雅黑" w:cs="微软雅黑"/>
          <w:spacing w:val="6"/>
          <w:sz w:val="18"/>
          <w:szCs w:val="18"/>
          <w:lang w:eastAsia="zh-CN"/>
        </w:rPr>
        <w:t>买入卖出时点</w:t>
      </w:r>
    </w:p>
    <w:p w14:paraId="1DF1018C">
      <w:pPr>
        <w:spacing w:line="300" w:lineRule="exact"/>
        <w:rPr>
          <w:rFonts w:hint="eastAsia" w:ascii="微软雅黑" w:hAnsi="微软雅黑" w:eastAsia="微软雅黑" w:cs="微软雅黑"/>
          <w:b/>
          <w:bCs/>
          <w:spacing w:val="6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pacing w:val="6"/>
          <w:sz w:val="18"/>
          <w:szCs w:val="18"/>
          <w:lang w:eastAsia="zh-CN"/>
        </w:rPr>
        <w:t xml:space="preserve">大宗商品CTA策略设计 | 渤海证券项目                                                                                                         2025.03 - 2025.05  </w:t>
      </w:r>
    </w:p>
    <w:p w14:paraId="41D50A10"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283" w:hanging="283"/>
        <w:textAlignment w:val="auto"/>
        <w:rPr>
          <w:rFonts w:hint="eastAsia" w:ascii="微软雅黑" w:hAnsi="微软雅黑" w:eastAsia="微软雅黑" w:cs="微软雅黑"/>
          <w:spacing w:val="6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pacing w:val="6"/>
          <w:sz w:val="18"/>
          <w:szCs w:val="18"/>
          <w:lang w:eastAsia="zh-CN"/>
        </w:rPr>
        <w:t>构建动态调仓框架：</w:t>
      </w:r>
      <w:r>
        <w:rPr>
          <w:rFonts w:hint="eastAsia" w:ascii="微软雅黑" w:hAnsi="微软雅黑" w:eastAsia="微软雅黑" w:cs="微软雅黑"/>
          <w:spacing w:val="6"/>
          <w:sz w:val="18"/>
          <w:szCs w:val="18"/>
          <w:lang w:eastAsia="zh-CN"/>
        </w:rPr>
        <w:t>每3月调整期货品种组合，以交易量和换手率变动因子交叉选股，以过去3个月夏普比率最高</w:t>
      </w:r>
      <w:r>
        <w:rPr>
          <w:rFonts w:hint="eastAsia" w:ascii="微软雅黑" w:hAnsi="微软雅黑" w:eastAsia="微软雅黑" w:cs="微软雅黑"/>
          <w:spacing w:val="6"/>
          <w:sz w:val="18"/>
          <w:szCs w:val="18"/>
          <w:lang w:val="en-US" w:eastAsia="zh-CN"/>
        </w:rPr>
        <w:t>者</w:t>
      </w:r>
      <w:r>
        <w:rPr>
          <w:rFonts w:hint="eastAsia" w:ascii="微软雅黑" w:hAnsi="微软雅黑" w:eastAsia="微软雅黑" w:cs="微软雅黑"/>
          <w:spacing w:val="6"/>
          <w:sz w:val="18"/>
          <w:szCs w:val="18"/>
          <w:lang w:eastAsia="zh-CN"/>
        </w:rPr>
        <w:t>为择时策略</w:t>
      </w:r>
    </w:p>
    <w:p w14:paraId="24EFD61D"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283" w:hanging="283"/>
        <w:textAlignment w:val="auto"/>
        <w:rPr>
          <w:rFonts w:hint="eastAsia" w:ascii="微软雅黑" w:hAnsi="微软雅黑" w:eastAsia="微软雅黑" w:cs="微软雅黑"/>
          <w:spacing w:val="6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pacing w:val="6"/>
          <w:sz w:val="18"/>
          <w:szCs w:val="18"/>
          <w:lang w:eastAsia="zh-CN"/>
        </w:rPr>
        <w:t>日内收益预测：</w:t>
      </w:r>
      <w:r>
        <w:rPr>
          <w:rFonts w:hint="eastAsia" w:ascii="微软雅黑" w:hAnsi="微软雅黑" w:eastAsia="微软雅黑" w:cs="微软雅黑"/>
          <w:spacing w:val="6"/>
          <w:sz w:val="18"/>
          <w:szCs w:val="18"/>
          <w:lang w:eastAsia="zh-CN"/>
        </w:rPr>
        <w:t>基于快照数据构建多开空开不平衡因子，调整因子计算频率与未来收益率窗口构建相关系数矩阵，筛选最优参数组合</w:t>
      </w:r>
    </w:p>
    <w:p w14:paraId="1FF5E942">
      <w:pPr>
        <w:spacing w:line="300" w:lineRule="exact"/>
        <w:rPr>
          <w:rFonts w:hint="eastAsia" w:ascii="微软雅黑" w:hAnsi="微软雅黑" w:eastAsia="微软雅黑" w:cs="微软雅黑"/>
          <w:b/>
          <w:bCs/>
          <w:spacing w:val="6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pacing w:val="6"/>
          <w:sz w:val="18"/>
          <w:szCs w:val="18"/>
          <w:lang w:eastAsia="zh-CN"/>
        </w:rPr>
        <w:t xml:space="preserve">股票逐笔成交因子开发 | 渤海证券项目                                                                                                                 2025.01 - 2025.02  </w:t>
      </w:r>
    </w:p>
    <w:p w14:paraId="380250D5"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283" w:hanging="283"/>
        <w:textAlignment w:val="auto"/>
        <w:rPr>
          <w:rFonts w:hint="eastAsia" w:ascii="微软雅黑" w:hAnsi="微软雅黑" w:eastAsia="微软雅黑" w:cs="微软雅黑"/>
          <w:spacing w:val="6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pacing w:val="6"/>
          <w:sz w:val="18"/>
          <w:szCs w:val="18"/>
          <w:lang w:eastAsia="zh-CN"/>
        </w:rPr>
        <w:t>创新因子构造方法：</w:t>
      </w:r>
      <w:r>
        <w:rPr>
          <w:rFonts w:hint="eastAsia" w:ascii="微软雅黑" w:hAnsi="微软雅黑" w:eastAsia="微软雅黑" w:cs="微软雅黑"/>
          <w:spacing w:val="6"/>
          <w:sz w:val="18"/>
          <w:szCs w:val="18"/>
          <w:lang w:eastAsia="zh-CN"/>
        </w:rPr>
        <w:t xml:space="preserve">构建成交单不平衡因子的基础上使用累积涨跌幅（反转因子）进行正交化处理，因子有效性指标ICIR提升50% </w:t>
      </w:r>
    </w:p>
    <w:p w14:paraId="4BE3DCA3"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283" w:hanging="283"/>
        <w:textAlignment w:val="auto"/>
        <w:rPr>
          <w:rFonts w:hint="eastAsia" w:ascii="微软雅黑" w:hAnsi="微软雅黑" w:eastAsia="微软雅黑" w:cs="微软雅黑"/>
          <w:spacing w:val="6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pacing w:val="6"/>
          <w:sz w:val="18"/>
          <w:szCs w:val="18"/>
          <w:lang w:eastAsia="zh-CN"/>
        </w:rPr>
        <w:t>因子多角度验证：</w:t>
      </w:r>
      <w:r>
        <w:rPr>
          <w:rFonts w:hint="eastAsia" w:ascii="微软雅黑" w:hAnsi="微软雅黑" w:eastAsia="微软雅黑" w:cs="微软雅黑"/>
          <w:spacing w:val="6"/>
          <w:sz w:val="18"/>
          <w:szCs w:val="18"/>
          <w:lang w:eastAsia="zh-CN"/>
        </w:rPr>
        <w:t>剔除常用的市场风格因子影响之后，因子年化ICIR</w:t>
      </w:r>
      <w:r>
        <w:rPr>
          <w:rFonts w:hint="eastAsia" w:ascii="微软雅黑" w:hAnsi="微软雅黑" w:eastAsia="微软雅黑" w:cs="微软雅黑"/>
          <w:spacing w:val="6"/>
          <w:sz w:val="18"/>
          <w:szCs w:val="18"/>
          <w:lang w:val="en-US" w:eastAsia="zh-CN"/>
        </w:rPr>
        <w:t>提升至2.92</w:t>
      </w:r>
      <w:r>
        <w:rPr>
          <w:rFonts w:hint="eastAsia" w:ascii="微软雅黑" w:hAnsi="微软雅黑" w:eastAsia="微软雅黑" w:cs="微软雅黑"/>
          <w:spacing w:val="6"/>
          <w:sz w:val="18"/>
          <w:szCs w:val="18"/>
          <w:lang w:eastAsia="zh-CN"/>
        </w:rPr>
        <w:t>及多空组合的信息比率达1.8</w:t>
      </w:r>
    </w:p>
    <w:p w14:paraId="7F942A35">
      <w:pPr>
        <w:pStyle w:val="18"/>
        <w:pBdr>
          <w:bottom w:val="single" w:color="auto" w:sz="4" w:space="0"/>
        </w:pBdr>
        <w:spacing w:before="120" w:beforeLines="50" w:after="0" w:line="300" w:lineRule="exact"/>
        <w:rPr>
          <w:rFonts w:hint="eastAsia" w:ascii="微软雅黑" w:hAnsi="微软雅黑" w:eastAsia="微软雅黑" w:cs="微软雅黑"/>
          <w:b w:val="0"/>
          <w:bCs w:val="0"/>
          <w:color w:val="auto"/>
          <w:spacing w:val="6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auto"/>
          <w:spacing w:val="6"/>
          <w:lang w:val="en-US" w:eastAsia="zh-CN"/>
        </w:rPr>
        <w:t>科研</w:t>
      </w:r>
      <w:r>
        <w:rPr>
          <w:rFonts w:hint="eastAsia" w:ascii="微软雅黑" w:hAnsi="微软雅黑" w:eastAsia="微软雅黑" w:cs="微软雅黑"/>
          <w:color w:val="auto"/>
          <w:spacing w:val="6"/>
        </w:rPr>
        <w:t>经历</w:t>
      </w:r>
    </w:p>
    <w:p w14:paraId="72244104">
      <w:pPr>
        <w:spacing w:before="72" w:beforeLines="30" w:line="300" w:lineRule="exact"/>
        <w:rPr>
          <w:rFonts w:hint="eastAsia" w:ascii="微软雅黑" w:hAnsi="微软雅黑" w:eastAsia="微软雅黑" w:cs="微软雅黑"/>
          <w:b/>
          <w:bCs/>
          <w:spacing w:val="6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pacing w:val="6"/>
          <w:sz w:val="18"/>
          <w:szCs w:val="18"/>
          <w:lang w:eastAsia="zh-CN"/>
        </w:rPr>
        <w:t xml:space="preserve">《地方政府债务治理与企业避税》 | 《会计研究》         第二作者                                                                                      2025.04  </w:t>
      </w:r>
    </w:p>
    <w:p w14:paraId="73DF29C4"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283" w:hanging="283"/>
        <w:textAlignment w:val="auto"/>
        <w:rPr>
          <w:rFonts w:hint="eastAsia" w:ascii="微软雅黑" w:hAnsi="微软雅黑" w:eastAsia="微软雅黑" w:cs="微软雅黑"/>
          <w:b/>
          <w:bCs/>
          <w:spacing w:val="6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pacing w:val="6"/>
          <w:sz w:val="18"/>
          <w:szCs w:val="18"/>
          <w:lang w:eastAsia="zh-CN"/>
        </w:rPr>
        <w:t>政策效应评估：</w:t>
      </w:r>
      <w:r>
        <w:rPr>
          <w:rFonts w:hint="eastAsia" w:ascii="微软雅黑" w:hAnsi="微软雅黑" w:eastAsia="微软雅黑" w:cs="微软雅黑"/>
          <w:spacing w:val="6"/>
          <w:sz w:val="18"/>
          <w:szCs w:val="18"/>
          <w:lang w:eastAsia="zh-CN"/>
        </w:rPr>
        <w:t>以《预算法》实施为准自然实验，基于企业避税"收益-成本"权衡理论，分析地方政府债务治理对企业避税的影响。</w:t>
      </w:r>
    </w:p>
    <w:p w14:paraId="53523305"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283" w:hanging="283"/>
        <w:textAlignment w:val="auto"/>
        <w:rPr>
          <w:rFonts w:hint="eastAsia" w:ascii="微软雅黑" w:hAnsi="微软雅黑" w:eastAsia="微软雅黑" w:cs="微软雅黑"/>
          <w:b/>
          <w:bCs/>
          <w:spacing w:val="6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pacing w:val="6"/>
          <w:sz w:val="18"/>
          <w:szCs w:val="18"/>
          <w:lang w:eastAsia="zh-CN"/>
        </w:rPr>
        <w:t>创新数据库构建：</w:t>
      </w:r>
      <w:r>
        <w:rPr>
          <w:rFonts w:hint="eastAsia" w:ascii="微软雅黑" w:hAnsi="微软雅黑" w:eastAsia="微软雅黑" w:cs="微软雅黑"/>
          <w:spacing w:val="6"/>
          <w:sz w:val="18"/>
          <w:szCs w:val="18"/>
          <w:lang w:eastAsia="zh-CN"/>
        </w:rPr>
        <w:t>整合Wind/CNRDS平台数据，构建地方融资平台有息债务数据库，覆盖2000+企业样本。</w:t>
      </w:r>
    </w:p>
    <w:p w14:paraId="137C3989"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283" w:hanging="283"/>
        <w:textAlignment w:val="auto"/>
        <w:rPr>
          <w:rFonts w:hint="eastAsia" w:ascii="微软雅黑" w:hAnsi="微软雅黑" w:eastAsia="微软雅黑" w:cs="微软雅黑"/>
          <w:b/>
          <w:bCs/>
          <w:spacing w:val="6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pacing w:val="6"/>
          <w:sz w:val="18"/>
          <w:szCs w:val="18"/>
          <w:lang w:eastAsia="zh-CN"/>
        </w:rPr>
        <w:t>严谨实证检验：</w:t>
      </w:r>
      <w:r>
        <w:rPr>
          <w:rFonts w:hint="eastAsia" w:ascii="微软雅黑" w:hAnsi="微软雅黑" w:eastAsia="微软雅黑" w:cs="微软雅黑"/>
          <w:spacing w:val="6"/>
          <w:sz w:val="18"/>
          <w:szCs w:val="18"/>
          <w:lang w:eastAsia="zh-CN"/>
        </w:rPr>
        <w:t>通过Stata完成基准回归、稳健性检验、异质性检验、机制等数据分析过程，运用模糊匹配技术识别集团避税证据。</w:t>
      </w:r>
    </w:p>
    <w:p w14:paraId="1FB7F3C5">
      <w:pPr>
        <w:pStyle w:val="18"/>
        <w:pBdr>
          <w:bottom w:val="single" w:color="auto" w:sz="4" w:space="0"/>
        </w:pBdr>
        <w:spacing w:after="0" w:line="300" w:lineRule="exact"/>
        <w:rPr>
          <w:rFonts w:hint="eastAsia" w:ascii="微软雅黑" w:hAnsi="微软雅黑" w:eastAsia="微软雅黑" w:cs="微软雅黑"/>
          <w:color w:val="auto"/>
          <w:spacing w:val="6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pacing w:val="6"/>
          <w:lang w:val="en-US" w:eastAsia="zh-CN"/>
        </w:rPr>
        <w:t>专业技能</w:t>
      </w:r>
    </w:p>
    <w:p w14:paraId="6F0F8C7A">
      <w:pPr>
        <w:numPr>
          <w:ilvl w:val="0"/>
          <w:numId w:val="10"/>
        </w:numPr>
        <w:spacing w:before="72" w:beforeLines="30" w:line="300" w:lineRule="exact"/>
        <w:rPr>
          <w:rFonts w:hint="eastAsia" w:ascii="微软雅黑" w:hAnsi="微软雅黑" w:eastAsia="微软雅黑" w:cs="微软雅黑"/>
          <w:spacing w:val="6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pacing w:val="6"/>
          <w:sz w:val="18"/>
          <w:szCs w:val="18"/>
          <w:lang w:eastAsia="zh-CN"/>
        </w:rPr>
        <w:t>语言：</w:t>
      </w:r>
      <w:r>
        <w:rPr>
          <w:rFonts w:hint="eastAsia" w:ascii="微软雅黑" w:hAnsi="微软雅黑" w:eastAsia="微软雅黑" w:cs="微软雅黑"/>
          <w:spacing w:val="6"/>
          <w:sz w:val="18"/>
          <w:szCs w:val="18"/>
          <w:lang w:eastAsia="zh-CN"/>
        </w:rPr>
        <w:t xml:space="preserve">中文母语，英文流利CET-4（555），CET-6（534），可作为工作及科研用语。  </w:t>
      </w:r>
    </w:p>
    <w:p w14:paraId="428D2233">
      <w:pPr>
        <w:numPr>
          <w:ilvl w:val="0"/>
          <w:numId w:val="10"/>
        </w:numPr>
        <w:spacing w:line="300" w:lineRule="exact"/>
        <w:rPr>
          <w:rFonts w:hint="eastAsia" w:ascii="微软雅黑" w:hAnsi="微软雅黑" w:eastAsia="微软雅黑" w:cs="微软雅黑"/>
          <w:spacing w:val="6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pacing w:val="6"/>
          <w:sz w:val="18"/>
          <w:szCs w:val="18"/>
        </w:rPr>
        <w:t>证书：</w:t>
      </w:r>
      <w:r>
        <w:rPr>
          <w:rFonts w:hint="eastAsia" w:ascii="微软雅黑" w:hAnsi="微软雅黑" w:eastAsia="微软雅黑" w:cs="微软雅黑"/>
          <w:spacing w:val="6"/>
          <w:sz w:val="18"/>
          <w:szCs w:val="18"/>
        </w:rPr>
        <w:t xml:space="preserve">初级会计证书  </w:t>
      </w:r>
    </w:p>
    <w:p w14:paraId="3B65DE5C">
      <w:pPr>
        <w:numPr>
          <w:ilvl w:val="0"/>
          <w:numId w:val="10"/>
        </w:numPr>
        <w:spacing w:line="300" w:lineRule="exact"/>
        <w:rPr>
          <w:rFonts w:hint="eastAsia" w:ascii="微软雅黑" w:hAnsi="微软雅黑" w:eastAsia="微软雅黑" w:cs="微软雅黑"/>
          <w:spacing w:val="6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pacing w:val="6"/>
          <w:sz w:val="18"/>
          <w:szCs w:val="18"/>
        </w:rPr>
        <w:t>编程：</w:t>
      </w:r>
      <w:r>
        <w:rPr>
          <w:rFonts w:hint="eastAsia" w:ascii="微软雅黑" w:hAnsi="微软雅黑" w:eastAsia="微软雅黑" w:cs="微软雅黑"/>
          <w:spacing w:val="6"/>
          <w:sz w:val="18"/>
          <w:szCs w:val="18"/>
        </w:rPr>
        <w:t xml:space="preserve">Python（熟练使用pandas数据清洗、sklearn建模、NumPy数值计算）  </w:t>
      </w:r>
    </w:p>
    <w:p w14:paraId="4E105579">
      <w:pPr>
        <w:numPr>
          <w:ilvl w:val="0"/>
          <w:numId w:val="10"/>
        </w:numPr>
        <w:spacing w:line="300" w:lineRule="exact"/>
        <w:rPr>
          <w:rFonts w:hint="eastAsia" w:ascii="微软雅黑" w:hAnsi="微软雅黑" w:eastAsia="微软雅黑" w:cs="微软雅黑"/>
          <w:spacing w:val="6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pacing w:val="6"/>
          <w:sz w:val="18"/>
          <w:szCs w:val="18"/>
          <w:lang w:eastAsia="zh-CN"/>
        </w:rPr>
        <w:t>量化工具：</w:t>
      </w:r>
      <w:r>
        <w:rPr>
          <w:rFonts w:hint="eastAsia" w:ascii="微软雅黑" w:hAnsi="微软雅黑" w:eastAsia="微软雅黑" w:cs="微软雅黑"/>
          <w:spacing w:val="6"/>
          <w:sz w:val="18"/>
          <w:szCs w:val="18"/>
          <w:lang w:eastAsia="zh-CN"/>
        </w:rPr>
        <w:t xml:space="preserve">精通策略回测框架、因子IC分析、参数敏感性测试  </w:t>
      </w:r>
    </w:p>
    <w:sectPr>
      <w:pgSz w:w="11900" w:h="16840"/>
      <w:pgMar w:top="567" w:right="454" w:bottom="567" w:left="454" w:header="216" w:footer="216" w:gutter="0"/>
      <w:pgNumType w:start="1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/>
  </w:endnote>
  <w:endnote w:type="continuationSeparator" w:id="1">
    <w:p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方正品尚黑简体">
    <w:altName w:val="黑体"/>
    <w:panose1 w:val="00000000000000000000"/>
    <w:charset w:val="86"/>
    <w:family w:val="auto"/>
    <w:pitch w:val="default"/>
    <w:sig w:usb0="00000000" w:usb1="00000000" w:usb2="00000012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/>
  </w:footnote>
  <w:footnote w:type="continuationSeparator" w:id="1">
    <w:p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52A6DB2"/>
    <w:multiLevelType w:val="multilevel"/>
    <w:tmpl w:val="252A6DB2"/>
    <w:lvl w:ilvl="0" w:tentative="0">
      <w:start w:val="1"/>
      <w:numFmt w:val="bullet"/>
      <w:lvlText w:val=""/>
      <w:lvlJc w:val="left"/>
      <w:pPr>
        <w:ind w:left="440" w:hanging="44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80" w:hanging="44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320" w:hanging="44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760" w:hanging="44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200" w:hanging="44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640" w:hanging="44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080" w:hanging="44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520" w:hanging="44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960" w:hanging="440"/>
      </w:pPr>
      <w:rPr>
        <w:rFonts w:hint="default" w:ascii="Wingdings" w:hAnsi="Wingdings"/>
      </w:rPr>
    </w:lvl>
  </w:abstractNum>
  <w:abstractNum w:abstractNumId="1">
    <w:nsid w:val="2AD67CF5"/>
    <w:multiLevelType w:val="multilevel"/>
    <w:tmpl w:val="2AD67CF5"/>
    <w:lvl w:ilvl="0" w:tentative="0">
      <w:start w:val="1"/>
      <w:numFmt w:val="bullet"/>
      <w:lvlText w:val=""/>
      <w:lvlJc w:val="left"/>
      <w:pPr>
        <w:ind w:left="440" w:hanging="44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80" w:hanging="44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320" w:hanging="44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760" w:hanging="44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200" w:hanging="44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640" w:hanging="44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080" w:hanging="44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520" w:hanging="44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960" w:hanging="440"/>
      </w:pPr>
      <w:rPr>
        <w:rFonts w:hint="default" w:ascii="Wingdings" w:hAnsi="Wingdings"/>
      </w:rPr>
    </w:lvl>
  </w:abstractNum>
  <w:abstractNum w:abstractNumId="2">
    <w:nsid w:val="2CBB4D0E"/>
    <w:multiLevelType w:val="multilevel"/>
    <w:tmpl w:val="2CBB4D0E"/>
    <w:lvl w:ilvl="0" w:tentative="0">
      <w:start w:val="1"/>
      <w:numFmt w:val="bullet"/>
      <w:lvlText w:val=""/>
      <w:lvlJc w:val="left"/>
      <w:pPr>
        <w:ind w:left="440" w:hanging="44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80" w:hanging="44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320" w:hanging="44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760" w:hanging="44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200" w:hanging="44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640" w:hanging="44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080" w:hanging="44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520" w:hanging="44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960" w:hanging="440"/>
      </w:pPr>
      <w:rPr>
        <w:rFonts w:hint="default" w:ascii="Wingdings" w:hAnsi="Wingdings"/>
      </w:rPr>
    </w:lvl>
  </w:abstractNum>
  <w:abstractNum w:abstractNumId="3">
    <w:nsid w:val="3A8C431A"/>
    <w:multiLevelType w:val="multilevel"/>
    <w:tmpl w:val="3A8C431A"/>
    <w:lvl w:ilvl="0" w:tentative="0">
      <w:start w:val="1"/>
      <w:numFmt w:val="bullet"/>
      <w:lvlText w:val=""/>
      <w:lvlJc w:val="left"/>
      <w:pPr>
        <w:ind w:left="440" w:hanging="44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80" w:hanging="44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320" w:hanging="44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760" w:hanging="44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200" w:hanging="44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640" w:hanging="44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080" w:hanging="44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520" w:hanging="44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960" w:hanging="440"/>
      </w:pPr>
      <w:rPr>
        <w:rFonts w:hint="default" w:ascii="Wingdings" w:hAnsi="Wingdings"/>
      </w:rPr>
    </w:lvl>
  </w:abstractNum>
  <w:abstractNum w:abstractNumId="4">
    <w:nsid w:val="5966F249"/>
    <w:multiLevelType w:val="singleLevel"/>
    <w:tmpl w:val="5966F24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5D1B1182"/>
    <w:multiLevelType w:val="multilevel"/>
    <w:tmpl w:val="5D1B1182"/>
    <w:lvl w:ilvl="0" w:tentative="0">
      <w:start w:val="1"/>
      <w:numFmt w:val="bullet"/>
      <w:lvlText w:val=""/>
      <w:lvlJc w:val="left"/>
      <w:pPr>
        <w:ind w:left="440" w:hanging="44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80" w:hanging="44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320" w:hanging="44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760" w:hanging="44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200" w:hanging="44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640" w:hanging="44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080" w:hanging="44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520" w:hanging="44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960" w:hanging="440"/>
      </w:pPr>
      <w:rPr>
        <w:rFonts w:hint="default" w:ascii="Wingdings" w:hAnsi="Wingdings"/>
      </w:rPr>
    </w:lvl>
  </w:abstractNum>
  <w:abstractNum w:abstractNumId="6">
    <w:nsid w:val="67CB2AEC"/>
    <w:multiLevelType w:val="multilevel"/>
    <w:tmpl w:val="67CB2AEC"/>
    <w:lvl w:ilvl="0" w:tentative="0">
      <w:start w:val="1"/>
      <w:numFmt w:val="bullet"/>
      <w:lvlText w:val=""/>
      <w:lvlJc w:val="left"/>
      <w:pPr>
        <w:ind w:left="440" w:hanging="44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80" w:hanging="44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320" w:hanging="44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760" w:hanging="44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200" w:hanging="44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640" w:hanging="44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080" w:hanging="44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520" w:hanging="44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960" w:hanging="440"/>
      </w:pPr>
      <w:rPr>
        <w:rFonts w:hint="default" w:ascii="Wingdings" w:hAnsi="Wingdings"/>
      </w:rPr>
    </w:lvl>
  </w:abstractNum>
  <w:abstractNum w:abstractNumId="7">
    <w:nsid w:val="6A272E0A"/>
    <w:multiLevelType w:val="multilevel"/>
    <w:tmpl w:val="6A272E0A"/>
    <w:lvl w:ilvl="0" w:tentative="0">
      <w:start w:val="1"/>
      <w:numFmt w:val="bullet"/>
      <w:lvlText w:val=""/>
      <w:lvlJc w:val="left"/>
      <w:pPr>
        <w:ind w:left="440" w:hanging="44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80" w:hanging="44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320" w:hanging="44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760" w:hanging="44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200" w:hanging="44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640" w:hanging="44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080" w:hanging="44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520" w:hanging="44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960" w:hanging="440"/>
      </w:pPr>
      <w:rPr>
        <w:rFonts w:hint="default" w:ascii="Wingdings" w:hAnsi="Wingdings"/>
      </w:rPr>
    </w:lvl>
  </w:abstractNum>
  <w:abstractNum w:abstractNumId="8">
    <w:nsid w:val="791609EE"/>
    <w:multiLevelType w:val="multilevel"/>
    <w:tmpl w:val="791609EE"/>
    <w:lvl w:ilvl="0" w:tentative="0">
      <w:start w:val="1"/>
      <w:numFmt w:val="bullet"/>
      <w:lvlText w:val=""/>
      <w:lvlJc w:val="left"/>
      <w:pPr>
        <w:ind w:left="440" w:hanging="44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80" w:hanging="44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320" w:hanging="44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760" w:hanging="44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200" w:hanging="44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640" w:hanging="44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080" w:hanging="44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520" w:hanging="44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960" w:hanging="440"/>
      </w:pPr>
      <w:rPr>
        <w:rFonts w:hint="default" w:ascii="Wingdings" w:hAnsi="Wingdings"/>
      </w:rPr>
    </w:lvl>
  </w:abstractNum>
  <w:abstractNum w:abstractNumId="9">
    <w:nsid w:val="7C2310A1"/>
    <w:multiLevelType w:val="multilevel"/>
    <w:tmpl w:val="7C2310A1"/>
    <w:lvl w:ilvl="0" w:tentative="0">
      <w:start w:val="1"/>
      <w:numFmt w:val="bullet"/>
      <w:lvlText w:val=""/>
      <w:lvlJc w:val="left"/>
      <w:pPr>
        <w:ind w:left="440" w:hanging="44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80" w:hanging="44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320" w:hanging="44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760" w:hanging="44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200" w:hanging="44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640" w:hanging="44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080" w:hanging="44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520" w:hanging="44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960" w:hanging="440"/>
      </w:pPr>
      <w:rPr>
        <w:rFonts w:hint="default" w:ascii="Wingdings" w:hAnsi="Wingdings"/>
      </w:rPr>
    </w:lvl>
  </w:abstractNum>
  <w:num w:numId="1">
    <w:abstractNumId w:val="8"/>
  </w:num>
  <w:num w:numId="2">
    <w:abstractNumId w:val="7"/>
  </w:num>
  <w:num w:numId="3">
    <w:abstractNumId w:val="3"/>
  </w:num>
  <w:num w:numId="4">
    <w:abstractNumId w:val="6"/>
  </w:num>
  <w:num w:numId="5">
    <w:abstractNumId w:val="0"/>
  </w:num>
  <w:num w:numId="6">
    <w:abstractNumId w:val="1"/>
  </w:num>
  <w:num w:numId="7">
    <w:abstractNumId w:val="5"/>
  </w:num>
  <w:num w:numId="8">
    <w:abstractNumId w:val="2"/>
  </w:num>
  <w:num w:numId="9">
    <w:abstractNumId w:val="9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HorizontalSpacing w:val="181"/>
  <w:drawingGridVerticalSpacing w:val="18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TM3NzQxOGRlNTcxZDcxMzg2YWU5NDA1NmVhZjNlMTQifQ=="/>
  </w:docVars>
  <w:rsids>
    <w:rsidRoot w:val="00636AA9"/>
    <w:rsid w:val="0002052F"/>
    <w:rsid w:val="00086690"/>
    <w:rsid w:val="0009341F"/>
    <w:rsid w:val="000E1946"/>
    <w:rsid w:val="000F38EF"/>
    <w:rsid w:val="00150D4A"/>
    <w:rsid w:val="00215598"/>
    <w:rsid w:val="00217187"/>
    <w:rsid w:val="00260F7B"/>
    <w:rsid w:val="00262CED"/>
    <w:rsid w:val="00264355"/>
    <w:rsid w:val="00437E61"/>
    <w:rsid w:val="00453DF1"/>
    <w:rsid w:val="00477F22"/>
    <w:rsid w:val="004B52B0"/>
    <w:rsid w:val="004C4A76"/>
    <w:rsid w:val="00511847"/>
    <w:rsid w:val="0052087A"/>
    <w:rsid w:val="00536AAF"/>
    <w:rsid w:val="005E5596"/>
    <w:rsid w:val="00636AA9"/>
    <w:rsid w:val="00713DCF"/>
    <w:rsid w:val="007647EC"/>
    <w:rsid w:val="007920DA"/>
    <w:rsid w:val="008A0DC8"/>
    <w:rsid w:val="008C25A4"/>
    <w:rsid w:val="00915398"/>
    <w:rsid w:val="00982E68"/>
    <w:rsid w:val="00991829"/>
    <w:rsid w:val="00A23546"/>
    <w:rsid w:val="00B21747"/>
    <w:rsid w:val="00B97744"/>
    <w:rsid w:val="00C07984"/>
    <w:rsid w:val="00EE1902"/>
    <w:rsid w:val="00EE67A3"/>
    <w:rsid w:val="00EE7FEA"/>
    <w:rsid w:val="00F47D2B"/>
    <w:rsid w:val="00F73027"/>
    <w:rsid w:val="00FB1874"/>
    <w:rsid w:val="024B15E3"/>
    <w:rsid w:val="02DD1A2B"/>
    <w:rsid w:val="03AB0942"/>
    <w:rsid w:val="05507620"/>
    <w:rsid w:val="058613AA"/>
    <w:rsid w:val="06CF08EA"/>
    <w:rsid w:val="071E74B3"/>
    <w:rsid w:val="07A710F1"/>
    <w:rsid w:val="09001155"/>
    <w:rsid w:val="0A2F25AF"/>
    <w:rsid w:val="0A5B1687"/>
    <w:rsid w:val="0AFA7231"/>
    <w:rsid w:val="0B9E4629"/>
    <w:rsid w:val="0C757220"/>
    <w:rsid w:val="0CA060AB"/>
    <w:rsid w:val="0E3601F3"/>
    <w:rsid w:val="0F3B75EA"/>
    <w:rsid w:val="10431D13"/>
    <w:rsid w:val="14524790"/>
    <w:rsid w:val="15895A18"/>
    <w:rsid w:val="163308AB"/>
    <w:rsid w:val="16342EC5"/>
    <w:rsid w:val="17695F0B"/>
    <w:rsid w:val="18152EED"/>
    <w:rsid w:val="18492AAE"/>
    <w:rsid w:val="18D6206B"/>
    <w:rsid w:val="19900AA5"/>
    <w:rsid w:val="1A9776FB"/>
    <w:rsid w:val="1AED56D7"/>
    <w:rsid w:val="1B877542"/>
    <w:rsid w:val="1BD20A7C"/>
    <w:rsid w:val="1D2C71B8"/>
    <w:rsid w:val="1D8F62F3"/>
    <w:rsid w:val="1F097721"/>
    <w:rsid w:val="1F5F05E8"/>
    <w:rsid w:val="1F6D103C"/>
    <w:rsid w:val="2017685A"/>
    <w:rsid w:val="20E00C0C"/>
    <w:rsid w:val="21C2753E"/>
    <w:rsid w:val="21DD6EFA"/>
    <w:rsid w:val="223F7355"/>
    <w:rsid w:val="23E5745B"/>
    <w:rsid w:val="240C0A38"/>
    <w:rsid w:val="24FEA26B"/>
    <w:rsid w:val="2560271E"/>
    <w:rsid w:val="27B36BED"/>
    <w:rsid w:val="29B05718"/>
    <w:rsid w:val="2A217AC4"/>
    <w:rsid w:val="2AAB4446"/>
    <w:rsid w:val="2B7037C7"/>
    <w:rsid w:val="2BA36361"/>
    <w:rsid w:val="2CBF1BAC"/>
    <w:rsid w:val="2D191BB3"/>
    <w:rsid w:val="2D691E3C"/>
    <w:rsid w:val="2D77204C"/>
    <w:rsid w:val="2D7D04FB"/>
    <w:rsid w:val="2E202183"/>
    <w:rsid w:val="2EA36FE1"/>
    <w:rsid w:val="2F4B39AF"/>
    <w:rsid w:val="2F823F28"/>
    <w:rsid w:val="30B113A2"/>
    <w:rsid w:val="313E6D93"/>
    <w:rsid w:val="317713A7"/>
    <w:rsid w:val="324B4193"/>
    <w:rsid w:val="343C1430"/>
    <w:rsid w:val="34696949"/>
    <w:rsid w:val="34C50E05"/>
    <w:rsid w:val="385B3E23"/>
    <w:rsid w:val="396025CB"/>
    <w:rsid w:val="3A3064A2"/>
    <w:rsid w:val="3A4F0F00"/>
    <w:rsid w:val="3A783ADB"/>
    <w:rsid w:val="3AA25344"/>
    <w:rsid w:val="3B7E4CA6"/>
    <w:rsid w:val="3BFB2FBD"/>
    <w:rsid w:val="3C972663"/>
    <w:rsid w:val="3CDE3A95"/>
    <w:rsid w:val="3E1248FB"/>
    <w:rsid w:val="3E1B1E27"/>
    <w:rsid w:val="3E296A6B"/>
    <w:rsid w:val="40FC622F"/>
    <w:rsid w:val="451F3201"/>
    <w:rsid w:val="459551E8"/>
    <w:rsid w:val="460E4764"/>
    <w:rsid w:val="472F98F6"/>
    <w:rsid w:val="48244D33"/>
    <w:rsid w:val="49735167"/>
    <w:rsid w:val="49B80255"/>
    <w:rsid w:val="49DA098B"/>
    <w:rsid w:val="4A791F0B"/>
    <w:rsid w:val="4A8605D3"/>
    <w:rsid w:val="4C98598E"/>
    <w:rsid w:val="4D7F0CE1"/>
    <w:rsid w:val="4E660E50"/>
    <w:rsid w:val="4F3F1455"/>
    <w:rsid w:val="50336C85"/>
    <w:rsid w:val="5127014E"/>
    <w:rsid w:val="52265B4E"/>
    <w:rsid w:val="52B0678D"/>
    <w:rsid w:val="53330CBE"/>
    <w:rsid w:val="55296C67"/>
    <w:rsid w:val="554D470B"/>
    <w:rsid w:val="556A0EF6"/>
    <w:rsid w:val="563873B7"/>
    <w:rsid w:val="5677476A"/>
    <w:rsid w:val="56FBCFE7"/>
    <w:rsid w:val="57344EE1"/>
    <w:rsid w:val="57DE5353"/>
    <w:rsid w:val="581721CE"/>
    <w:rsid w:val="59892805"/>
    <w:rsid w:val="5A52115F"/>
    <w:rsid w:val="5A5928C4"/>
    <w:rsid w:val="5AFCBDAA"/>
    <w:rsid w:val="5B3C07D9"/>
    <w:rsid w:val="5CA00C74"/>
    <w:rsid w:val="5D0B274A"/>
    <w:rsid w:val="5F5C4E94"/>
    <w:rsid w:val="5F6374EA"/>
    <w:rsid w:val="5FF828CF"/>
    <w:rsid w:val="62756482"/>
    <w:rsid w:val="62DA398D"/>
    <w:rsid w:val="63EC71AC"/>
    <w:rsid w:val="64578A42"/>
    <w:rsid w:val="647A73CB"/>
    <w:rsid w:val="650871EF"/>
    <w:rsid w:val="66E446E0"/>
    <w:rsid w:val="69A05DBF"/>
    <w:rsid w:val="6B065463"/>
    <w:rsid w:val="6BDB073C"/>
    <w:rsid w:val="6CEB2A7E"/>
    <w:rsid w:val="6D72417C"/>
    <w:rsid w:val="6E073463"/>
    <w:rsid w:val="6FAC44BC"/>
    <w:rsid w:val="709F7B9A"/>
    <w:rsid w:val="71A61EB9"/>
    <w:rsid w:val="72053ED2"/>
    <w:rsid w:val="737775EF"/>
    <w:rsid w:val="73E97D57"/>
    <w:rsid w:val="748E0359"/>
    <w:rsid w:val="74CB075D"/>
    <w:rsid w:val="76E9529A"/>
    <w:rsid w:val="77A74027"/>
    <w:rsid w:val="77D02DC0"/>
    <w:rsid w:val="793C6888"/>
    <w:rsid w:val="7A0409A9"/>
    <w:rsid w:val="7B5B4E5C"/>
    <w:rsid w:val="7C543E5D"/>
    <w:rsid w:val="7CC0773B"/>
    <w:rsid w:val="7D294931"/>
    <w:rsid w:val="7DEF4048"/>
    <w:rsid w:val="7E65A1BF"/>
    <w:rsid w:val="7E7675F8"/>
    <w:rsid w:val="7F190EEB"/>
    <w:rsid w:val="7F293376"/>
    <w:rsid w:val="7FBF4D32"/>
    <w:rsid w:val="7FD4792D"/>
    <w:rsid w:val="7FE64A6C"/>
    <w:rsid w:val="7FF9519E"/>
    <w:rsid w:val="7FFFDA08"/>
    <w:rsid w:val="8BD331C5"/>
    <w:rsid w:val="B6BDDCFD"/>
    <w:rsid w:val="B7DA3C15"/>
    <w:rsid w:val="BFEF040C"/>
    <w:rsid w:val="DB78D848"/>
    <w:rsid w:val="DDEDDB36"/>
    <w:rsid w:val="DDFFE93C"/>
    <w:rsid w:val="E7FD7D79"/>
    <w:rsid w:val="EF6DAE3F"/>
    <w:rsid w:val="F6DB6F09"/>
    <w:rsid w:val="FEBBFBBB"/>
    <w:rsid w:val="FFF69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iPriority="99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="Times New Roman" w:hAnsi="Times New Roman" w:eastAsia="Times New Roman" w:cs="Times New Roman"/>
      <w:color w:val="000000"/>
      <w:sz w:val="24"/>
      <w:szCs w:val="24"/>
      <w:lang w:val="en-US" w:eastAsia="en-US" w:bidi="en-US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qFormat/>
    <w:uiPriority w:val="0"/>
  </w:style>
  <w:style w:type="paragraph" w:styleId="3">
    <w:name w:val="footer"/>
    <w:basedOn w:val="1"/>
    <w:link w:val="2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4">
    <w:name w:val="header"/>
    <w:basedOn w:val="1"/>
    <w:link w:val="20"/>
    <w:qFormat/>
    <w:uiPriority w:val="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  <w:lang w:eastAsia="zh-CN" w:bidi="ar-SA"/>
    </w:rPr>
  </w:style>
  <w:style w:type="paragraph" w:styleId="6">
    <w:name w:val="Normal (Web)"/>
    <w:basedOn w:val="1"/>
    <w:qFormat/>
    <w:uiPriority w:val="0"/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Hyperlink"/>
    <w:basedOn w:val="9"/>
    <w:qFormat/>
    <w:uiPriority w:val="0"/>
    <w:rPr>
      <w:color w:val="0000FF"/>
      <w:u w:val="single"/>
    </w:rPr>
  </w:style>
  <w:style w:type="character" w:styleId="12">
    <w:name w:val="annotation reference"/>
    <w:basedOn w:val="9"/>
    <w:semiHidden/>
    <w:unhideWhenUsed/>
    <w:qFormat/>
    <w:uiPriority w:val="99"/>
    <w:rPr>
      <w:sz w:val="21"/>
      <w:szCs w:val="21"/>
    </w:rPr>
  </w:style>
  <w:style w:type="character" w:customStyle="1" w:styleId="13">
    <w:name w:val="Body text|3_"/>
    <w:basedOn w:val="9"/>
    <w:link w:val="14"/>
    <w:qFormat/>
    <w:uiPriority w:val="0"/>
    <w:rPr>
      <w:rFonts w:ascii="宋体" w:hAnsi="宋体" w:eastAsia="宋体" w:cs="宋体"/>
      <w:b/>
      <w:bCs/>
      <w:sz w:val="30"/>
      <w:szCs w:val="30"/>
      <w:u w:val="none"/>
      <w:shd w:val="clear" w:color="auto" w:fill="auto"/>
      <w:lang w:val="zh-TW" w:eastAsia="zh-TW" w:bidi="zh-TW"/>
    </w:rPr>
  </w:style>
  <w:style w:type="paragraph" w:customStyle="1" w:styleId="14">
    <w:name w:val="Body text|3"/>
    <w:basedOn w:val="1"/>
    <w:link w:val="13"/>
    <w:qFormat/>
    <w:uiPriority w:val="0"/>
    <w:pPr>
      <w:spacing w:after="40"/>
      <w:jc w:val="center"/>
    </w:pPr>
    <w:rPr>
      <w:rFonts w:ascii="宋体" w:hAnsi="宋体" w:eastAsia="宋体" w:cs="宋体"/>
      <w:b/>
      <w:bCs/>
      <w:sz w:val="30"/>
      <w:szCs w:val="30"/>
      <w:lang w:val="zh-TW" w:eastAsia="zh-TW" w:bidi="zh-TW"/>
    </w:rPr>
  </w:style>
  <w:style w:type="character" w:customStyle="1" w:styleId="15">
    <w:name w:val="Body text|1_"/>
    <w:basedOn w:val="9"/>
    <w:link w:val="16"/>
    <w:qFormat/>
    <w:uiPriority w:val="0"/>
    <w:rPr>
      <w:rFonts w:ascii="宋体" w:hAnsi="宋体" w:eastAsia="宋体" w:cs="宋体"/>
      <w:sz w:val="18"/>
      <w:szCs w:val="18"/>
      <w:u w:val="none"/>
      <w:shd w:val="clear" w:color="auto" w:fill="auto"/>
      <w:lang w:val="zh-TW" w:eastAsia="zh-TW" w:bidi="zh-TW"/>
    </w:rPr>
  </w:style>
  <w:style w:type="paragraph" w:customStyle="1" w:styleId="16">
    <w:name w:val="Body text|1"/>
    <w:basedOn w:val="1"/>
    <w:link w:val="15"/>
    <w:qFormat/>
    <w:uiPriority w:val="0"/>
    <w:pPr>
      <w:spacing w:after="40" w:line="264" w:lineRule="auto"/>
    </w:pPr>
    <w:rPr>
      <w:rFonts w:ascii="宋体" w:hAnsi="宋体" w:eastAsia="宋体" w:cs="宋体"/>
      <w:sz w:val="18"/>
      <w:szCs w:val="18"/>
      <w:lang w:val="zh-TW" w:eastAsia="zh-TW" w:bidi="zh-TW"/>
    </w:rPr>
  </w:style>
  <w:style w:type="character" w:customStyle="1" w:styleId="17">
    <w:name w:val="Body text|2_"/>
    <w:basedOn w:val="9"/>
    <w:link w:val="18"/>
    <w:qFormat/>
    <w:uiPriority w:val="0"/>
    <w:rPr>
      <w:rFonts w:ascii="宋体" w:hAnsi="宋体" w:eastAsia="宋体" w:cs="宋体"/>
      <w:b/>
      <w:bCs/>
      <w:sz w:val="20"/>
      <w:szCs w:val="20"/>
      <w:u w:val="none"/>
      <w:shd w:val="clear" w:color="auto" w:fill="auto"/>
      <w:lang w:val="zh-TW" w:eastAsia="zh-TW" w:bidi="zh-TW"/>
    </w:rPr>
  </w:style>
  <w:style w:type="paragraph" w:customStyle="1" w:styleId="18">
    <w:name w:val="Body text|2"/>
    <w:basedOn w:val="1"/>
    <w:link w:val="17"/>
    <w:qFormat/>
    <w:uiPriority w:val="0"/>
    <w:pPr>
      <w:spacing w:after="140"/>
    </w:pPr>
    <w:rPr>
      <w:rFonts w:ascii="宋体" w:hAnsi="宋体" w:eastAsia="宋体" w:cs="宋体"/>
      <w:b/>
      <w:bCs/>
      <w:sz w:val="20"/>
      <w:szCs w:val="20"/>
      <w:lang w:val="zh-TW" w:eastAsia="zh-TW" w:bidi="zh-TW"/>
    </w:rPr>
  </w:style>
  <w:style w:type="paragraph" w:styleId="19">
    <w:name w:val="List Paragraph"/>
    <w:basedOn w:val="1"/>
    <w:qFormat/>
    <w:uiPriority w:val="34"/>
    <w:pPr>
      <w:ind w:firstLine="420" w:firstLineChars="200"/>
    </w:pPr>
  </w:style>
  <w:style w:type="character" w:customStyle="1" w:styleId="20">
    <w:name w:val="页眉 字符"/>
    <w:basedOn w:val="9"/>
    <w:link w:val="4"/>
    <w:qFormat/>
    <w:uiPriority w:val="0"/>
    <w:rPr>
      <w:rFonts w:eastAsia="Times New Roman"/>
      <w:color w:val="000000"/>
      <w:sz w:val="18"/>
      <w:szCs w:val="18"/>
      <w:lang w:eastAsia="en-US" w:bidi="en-US"/>
    </w:rPr>
  </w:style>
  <w:style w:type="character" w:customStyle="1" w:styleId="21">
    <w:name w:val="页脚 字符"/>
    <w:basedOn w:val="9"/>
    <w:link w:val="3"/>
    <w:qFormat/>
    <w:uiPriority w:val="0"/>
    <w:rPr>
      <w:rFonts w:eastAsia="Times New Roman"/>
      <w:color w:val="000000"/>
      <w:sz w:val="18"/>
      <w:szCs w:val="18"/>
      <w:lang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1793</Words>
  <Characters>2193</Characters>
  <Lines>23</Lines>
  <Paragraphs>6</Paragraphs>
  <TotalTime>1541</TotalTime>
  <ScaleCrop>false</ScaleCrop>
  <LinksUpToDate>false</LinksUpToDate>
  <CharactersWithSpaces>3196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2025-08-02T01:58:00Z</dcterms:created>
  <dc:creator>eve19</dc:creator>
  <cp:lastModifiedBy>在寻叶湘伦</cp:lastModifiedBy>
  <dcterms:modified xsi:type="dcterms:W3CDTF">2025-08-07T05:49:48Z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D5650E73060B9CA8B66C8C68D7729783_43</vt:lpwstr>
  </property>
  <property fmtid="{D5CDD505-2E9C-101B-9397-08002B2CF9AE}" pid="4" name="KSOTemplateDocerSaveRecord">
    <vt:lpwstr>eyJoZGlkIjoiYmExNzRkZDRlMTIxNTVhODM4Yjk1NDRlZjY3OTNkZDciLCJ1c2VySWQiOiI2NTQ4OTMxMTEifQ==</vt:lpwstr>
  </property>
</Properties>
</file>