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526BC5" w14:textId="77777777" w:rsidR="00583ABC" w:rsidRDefault="00000000">
      <w:pPr>
        <w:tabs>
          <w:tab w:val="center" w:pos="5233"/>
          <w:tab w:val="right" w:pos="10466"/>
        </w:tabs>
        <w:autoSpaceDE w:val="0"/>
        <w:autoSpaceDN w:val="0"/>
        <w:adjustRightInd w:val="0"/>
        <w:snapToGrid w:val="0"/>
        <w:spacing w:line="320" w:lineRule="exact"/>
        <w:jc w:val="left"/>
        <w:rPr>
          <w:rStyle w:val="fontstyle21"/>
          <w:rFonts w:asciiTheme="minorEastAsia" w:eastAsiaTheme="minorEastAsia" w:hAnsiTheme="minorEastAsia" w:cs="方正品尚黑简体" w:hint="eastAsia"/>
          <w:b/>
          <w:sz w:val="36"/>
          <w:szCs w:val="21"/>
        </w:rPr>
      </w:pPr>
      <w:r>
        <w:rPr>
          <w:rStyle w:val="af0"/>
          <w:rFonts w:asciiTheme="minorEastAsia" w:eastAsiaTheme="minorEastAsia" w:hAnsiTheme="minorEastAsia" w:cs="方正品尚黑简体" w:hint="eastAsia"/>
          <w:noProof/>
          <w:sz w:val="18"/>
          <w:szCs w:val="18"/>
        </w:rPr>
        <w:drawing>
          <wp:anchor distT="0" distB="0" distL="114300" distR="114300" simplePos="0" relativeHeight="251659264" behindDoc="1" locked="0" layoutInCell="1" allowOverlap="1" wp14:anchorId="17CD0FEA" wp14:editId="30E83443">
            <wp:simplePos x="0" y="0"/>
            <wp:positionH relativeFrom="column">
              <wp:posOffset>5882005</wp:posOffset>
            </wp:positionH>
            <wp:positionV relativeFrom="paragraph">
              <wp:posOffset>-257810</wp:posOffset>
            </wp:positionV>
            <wp:extent cx="630555" cy="831850"/>
            <wp:effectExtent l="0" t="0" r="0" b="6350"/>
            <wp:wrapNone/>
            <wp:docPr id="1" name="图片 1" descr="C:\Users\北极星Emma\Desktop\机密文件\证件照（白底）.jpg证件照（白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北极星Emma\Desktop\机密文件\证件照（白底）.jpg证件照（白底）"/>
                    <pic:cNvPicPr>
                      <a:picLocks noChangeAspect="1"/>
                    </pic:cNvPicPr>
                  </pic:nvPicPr>
                  <pic:blipFill>
                    <a:blip r:embed="rId8"/>
                    <a:srcRect l="10859" t="-1094" r="12422"/>
                    <a:stretch>
                      <a:fillRect/>
                    </a:stretch>
                  </pic:blipFill>
                  <pic:spPr>
                    <a:xfrm>
                      <a:off x="0" y="0"/>
                      <a:ext cx="632176" cy="833988"/>
                    </a:xfrm>
                    <a:prstGeom prst="rect">
                      <a:avLst/>
                    </a:prstGeom>
                  </pic:spPr>
                </pic:pic>
              </a:graphicData>
            </a:graphic>
          </wp:anchor>
        </w:drawing>
      </w:r>
      <w:r>
        <w:rPr>
          <w:rStyle w:val="fontstyle01"/>
          <w:rFonts w:asciiTheme="minorEastAsia" w:eastAsiaTheme="minorEastAsia" w:hAnsiTheme="minorEastAsia" w:cs="方正品尚黑简体" w:hint="default"/>
          <w:b/>
          <w:sz w:val="36"/>
          <w:szCs w:val="21"/>
        </w:rPr>
        <w:tab/>
      </w:r>
      <w:r>
        <w:rPr>
          <w:rStyle w:val="fontstyle01"/>
          <w:rFonts w:asciiTheme="minorEastAsia" w:eastAsiaTheme="minorEastAsia" w:hAnsiTheme="minorEastAsia" w:cs="方正品尚黑简体" w:hint="default"/>
          <w:b/>
          <w:sz w:val="28"/>
          <w:szCs w:val="18"/>
        </w:rPr>
        <w:t>王博</w:t>
      </w:r>
      <w:r>
        <w:rPr>
          <w:rStyle w:val="fontstyle01"/>
          <w:rFonts w:asciiTheme="minorEastAsia" w:eastAsiaTheme="minorEastAsia" w:hAnsiTheme="minorEastAsia" w:cs="方正品尚黑简体" w:hint="default"/>
          <w:b/>
          <w:sz w:val="36"/>
          <w:szCs w:val="21"/>
        </w:rPr>
        <w:tab/>
      </w:r>
    </w:p>
    <w:p w14:paraId="5EFD461F" w14:textId="77777777" w:rsidR="00583ABC" w:rsidRDefault="00000000">
      <w:pPr>
        <w:tabs>
          <w:tab w:val="center" w:pos="5273"/>
          <w:tab w:val="right" w:pos="10546"/>
        </w:tabs>
        <w:autoSpaceDE w:val="0"/>
        <w:autoSpaceDN w:val="0"/>
        <w:adjustRightInd w:val="0"/>
        <w:snapToGrid w:val="0"/>
        <w:spacing w:line="320" w:lineRule="exact"/>
        <w:rPr>
          <w:rStyle w:val="fontstyle21"/>
          <w:rFonts w:asciiTheme="minorEastAsia" w:eastAsiaTheme="minorEastAsia" w:hAnsiTheme="minorEastAsia" w:cs="方正品尚黑简体" w:hint="eastAsia"/>
          <w:sz w:val="20"/>
        </w:rPr>
      </w:pPr>
      <w:r>
        <w:rPr>
          <w:rStyle w:val="fontstyle21"/>
          <w:rFonts w:asciiTheme="minorEastAsia" w:eastAsiaTheme="minorEastAsia" w:hAnsiTheme="minorEastAsia" w:cs="方正品尚黑简体" w:hint="eastAsia"/>
          <w:sz w:val="20"/>
        </w:rPr>
        <w:t xml:space="preserve">                            </w:t>
      </w:r>
      <w:proofErr w:type="gramStart"/>
      <w:r>
        <w:rPr>
          <w:rStyle w:val="fontstyle21"/>
          <w:rFonts w:asciiTheme="minorEastAsia" w:eastAsiaTheme="minorEastAsia" w:hAnsiTheme="minorEastAsia" w:cs="方正品尚黑简体" w:hint="eastAsia"/>
          <w:sz w:val="20"/>
        </w:rPr>
        <w:t>电话:</w:t>
      </w:r>
      <w:proofErr w:type="gramEnd"/>
      <w:r>
        <w:rPr>
          <w:rStyle w:val="fontstyle21"/>
          <w:rFonts w:asciiTheme="minorEastAsia" w:eastAsiaTheme="minorEastAsia" w:hAnsiTheme="minorEastAsia" w:cs="方正品尚黑简体" w:hint="eastAsia"/>
          <w:sz w:val="20"/>
        </w:rPr>
        <w:t xml:space="preserve"> 15955581917   |   邮箱: </w:t>
      </w:r>
      <w:r>
        <w:rPr>
          <w:rFonts w:asciiTheme="minorEastAsia" w:eastAsiaTheme="minorEastAsia" w:hAnsiTheme="minorEastAsia" w:cs="方正品尚黑简体" w:hint="eastAsia"/>
          <w:sz w:val="18"/>
          <w:szCs w:val="18"/>
        </w:rPr>
        <w:t>wangbo24@tju.edu.cn</w:t>
      </w:r>
      <w:r>
        <w:rPr>
          <w:rStyle w:val="fontstyle21"/>
          <w:rFonts w:asciiTheme="minorEastAsia" w:eastAsiaTheme="minorEastAsia" w:hAnsiTheme="minorEastAsia" w:cs="方正品尚黑简体" w:hint="eastAsia"/>
          <w:sz w:val="20"/>
        </w:rPr>
        <w:tab/>
      </w:r>
    </w:p>
    <w:p w14:paraId="35780049" w14:textId="77777777" w:rsidR="00583ABC" w:rsidRDefault="00000000">
      <w:pPr>
        <w:pBdr>
          <w:bottom w:val="single" w:sz="4" w:space="0" w:color="auto"/>
        </w:pBdr>
        <w:autoSpaceDE w:val="0"/>
        <w:autoSpaceDN w:val="0"/>
        <w:adjustRightInd w:val="0"/>
        <w:snapToGrid w:val="0"/>
        <w:spacing w:line="320" w:lineRule="exact"/>
        <w:jc w:val="left"/>
        <w:rPr>
          <w:rFonts w:asciiTheme="minorEastAsia" w:eastAsiaTheme="minorEastAsia" w:hAnsiTheme="minorEastAsia" w:cs="方正品尚黑简体" w:hint="eastAsia"/>
          <w:b/>
          <w:bCs/>
          <w:kern w:val="0"/>
          <w:sz w:val="16"/>
          <w:szCs w:val="18"/>
        </w:rPr>
      </w:pPr>
      <w:r>
        <w:rPr>
          <w:rFonts w:asciiTheme="minorEastAsia" w:eastAsiaTheme="minorEastAsia" w:hAnsiTheme="minorEastAsia" w:cs="方正品尚黑简体" w:hint="eastAsia"/>
          <w:b/>
          <w:bCs/>
          <w:kern w:val="0"/>
          <w:szCs w:val="18"/>
        </w:rPr>
        <w:t>教育背景</w:t>
      </w:r>
      <w:r>
        <w:rPr>
          <w:rFonts w:asciiTheme="minorEastAsia" w:eastAsiaTheme="minorEastAsia" w:hAnsiTheme="minorEastAsia" w:cs="方正品尚黑简体" w:hint="eastAsia"/>
          <w:b/>
          <w:bCs/>
          <w:kern w:val="0"/>
          <w:sz w:val="16"/>
          <w:szCs w:val="18"/>
        </w:rPr>
        <w:t xml:space="preserve">                                                                                        </w:t>
      </w:r>
    </w:p>
    <w:p w14:paraId="57AFAF02" w14:textId="77777777" w:rsidR="00583ABC" w:rsidRDefault="00000000">
      <w:pPr>
        <w:autoSpaceDE w:val="0"/>
        <w:autoSpaceDN w:val="0"/>
        <w:adjustRightInd w:val="0"/>
        <w:snapToGrid w:val="0"/>
        <w:spacing w:line="300" w:lineRule="exact"/>
        <w:jc w:val="left"/>
        <w:rPr>
          <w:rFonts w:asciiTheme="minorEastAsia" w:eastAsiaTheme="minorEastAsia" w:hAnsiTheme="minorEastAsia" w:cs="方正品尚黑简体" w:hint="eastAsia"/>
          <w:b/>
          <w:bCs/>
          <w:kern w:val="0"/>
          <w:sz w:val="18"/>
          <w:szCs w:val="18"/>
          <w:lang w:val="zh-CN"/>
        </w:rPr>
      </w:pPr>
      <w:r>
        <w:rPr>
          <w:rFonts w:asciiTheme="minorEastAsia" w:eastAsiaTheme="minorEastAsia" w:hAnsiTheme="minorEastAsia" w:cs="方正品尚黑简体" w:hint="eastAsia"/>
          <w:b/>
          <w:bCs/>
          <w:kern w:val="0"/>
          <w:sz w:val="18"/>
          <w:szCs w:val="18"/>
        </w:rPr>
        <w:t xml:space="preserve">2019.09 - </w:t>
      </w:r>
      <w:proofErr w:type="gramStart"/>
      <w:r>
        <w:rPr>
          <w:rFonts w:asciiTheme="minorEastAsia" w:eastAsiaTheme="minorEastAsia" w:hAnsiTheme="minorEastAsia" w:cs="方正品尚黑简体" w:hint="eastAsia"/>
          <w:b/>
          <w:bCs/>
          <w:kern w:val="0"/>
          <w:sz w:val="18"/>
          <w:szCs w:val="18"/>
        </w:rPr>
        <w:t>2023.06  吉林大学</w:t>
      </w:r>
      <w:proofErr w:type="gramEnd"/>
      <w:r>
        <w:rPr>
          <w:rFonts w:asciiTheme="minorEastAsia" w:eastAsiaTheme="minorEastAsia" w:hAnsiTheme="minorEastAsia" w:cs="方正品尚黑简体" w:hint="eastAsia"/>
          <w:b/>
          <w:bCs/>
          <w:kern w:val="0"/>
          <w:sz w:val="18"/>
          <w:szCs w:val="18"/>
        </w:rPr>
        <w:t>（985</w:t>
      </w:r>
      <w:proofErr w:type="gramStart"/>
      <w:r>
        <w:rPr>
          <w:rFonts w:asciiTheme="minorEastAsia" w:eastAsiaTheme="minorEastAsia" w:hAnsiTheme="minorEastAsia" w:cs="方正品尚黑简体" w:hint="eastAsia"/>
          <w:b/>
          <w:bCs/>
          <w:kern w:val="0"/>
          <w:sz w:val="18"/>
          <w:szCs w:val="18"/>
        </w:rPr>
        <w:t>）  财务与会计</w:t>
      </w:r>
      <w:proofErr w:type="gramEnd"/>
      <w:r>
        <w:rPr>
          <w:rFonts w:asciiTheme="minorEastAsia" w:eastAsiaTheme="minorEastAsia" w:hAnsiTheme="minorEastAsia" w:cs="方正品尚黑简体" w:hint="eastAsia"/>
          <w:b/>
          <w:bCs/>
          <w:kern w:val="0"/>
          <w:sz w:val="18"/>
          <w:szCs w:val="18"/>
        </w:rPr>
        <w:t xml:space="preserve">                            </w:t>
      </w:r>
      <w:r>
        <w:rPr>
          <w:rFonts w:asciiTheme="minorEastAsia" w:eastAsiaTheme="minorEastAsia" w:hAnsiTheme="minorEastAsia" w:cs="方正品尚黑简体" w:hint="eastAsia"/>
          <w:bCs/>
          <w:kern w:val="0"/>
          <w:sz w:val="18"/>
          <w:szCs w:val="18"/>
        </w:rPr>
        <w:t xml:space="preserve">  </w:t>
      </w:r>
      <w:r>
        <w:rPr>
          <w:rFonts w:asciiTheme="minorEastAsia" w:eastAsiaTheme="minorEastAsia" w:hAnsiTheme="minorEastAsia" w:cs="方正品尚黑简体" w:hint="eastAsia"/>
          <w:b/>
          <w:bCs/>
          <w:kern w:val="0"/>
          <w:sz w:val="18"/>
          <w:szCs w:val="18"/>
        </w:rPr>
        <w:t xml:space="preserve">  </w:t>
      </w:r>
      <w:r>
        <w:rPr>
          <w:rFonts w:asciiTheme="minorEastAsia" w:eastAsiaTheme="minorEastAsia" w:hAnsiTheme="minorEastAsia" w:cs="方正品尚黑简体" w:hint="eastAsia"/>
          <w:bCs/>
          <w:kern w:val="0"/>
          <w:sz w:val="18"/>
          <w:szCs w:val="18"/>
          <w:lang w:val="zh-CN"/>
        </w:rPr>
        <w:t xml:space="preserve"> </w:t>
      </w:r>
      <w:r>
        <w:rPr>
          <w:rFonts w:asciiTheme="minorEastAsia" w:eastAsiaTheme="minorEastAsia" w:hAnsiTheme="minorEastAsia" w:cs="方正品尚黑简体" w:hint="eastAsia"/>
          <w:b/>
          <w:bCs/>
          <w:kern w:val="0"/>
          <w:sz w:val="18"/>
          <w:szCs w:val="18"/>
          <w:lang w:val="zh-CN"/>
        </w:rPr>
        <w:t xml:space="preserve">                   本科</w:t>
      </w:r>
    </w:p>
    <w:p w14:paraId="09D9CC4D" w14:textId="77777777" w:rsidR="00583ABC" w:rsidRDefault="00000000">
      <w:pPr>
        <w:numPr>
          <w:ilvl w:val="0"/>
          <w:numId w:val="1"/>
        </w:numPr>
        <w:autoSpaceDE w:val="0"/>
        <w:autoSpaceDN w:val="0"/>
        <w:adjustRightInd w:val="0"/>
        <w:snapToGrid w:val="0"/>
        <w:spacing w:line="300" w:lineRule="exact"/>
        <w:ind w:left="142" w:hanging="142"/>
        <w:rPr>
          <w:rFonts w:asciiTheme="minorEastAsia" w:eastAsiaTheme="minorEastAsia" w:hAnsiTheme="minorEastAsia" w:cs="方正品尚黑简体" w:hint="eastAsia"/>
          <w:kern w:val="0"/>
          <w:sz w:val="18"/>
          <w:szCs w:val="18"/>
        </w:rPr>
      </w:pPr>
      <w:r>
        <w:rPr>
          <w:rFonts w:asciiTheme="minorEastAsia" w:eastAsiaTheme="minorEastAsia" w:hAnsiTheme="minorEastAsia" w:cs="方正品尚黑简体" w:hint="eastAsia"/>
          <w:b/>
          <w:kern w:val="0"/>
          <w:sz w:val="18"/>
          <w:szCs w:val="18"/>
        </w:rPr>
        <w:t>成绩：</w:t>
      </w:r>
      <w:r>
        <w:rPr>
          <w:rFonts w:asciiTheme="minorEastAsia" w:eastAsiaTheme="minorEastAsia" w:hAnsiTheme="minorEastAsia" w:cs="方正品尚黑简体" w:hint="eastAsia"/>
          <w:kern w:val="0"/>
          <w:sz w:val="18"/>
          <w:szCs w:val="18"/>
        </w:rPr>
        <w:t>3.7/4.</w:t>
      </w:r>
      <w:proofErr w:type="gramStart"/>
      <w:r>
        <w:rPr>
          <w:rFonts w:asciiTheme="minorEastAsia" w:eastAsiaTheme="minorEastAsia" w:hAnsiTheme="minorEastAsia" w:cs="方正品尚黑简体" w:hint="eastAsia"/>
          <w:kern w:val="0"/>
          <w:sz w:val="18"/>
          <w:szCs w:val="18"/>
        </w:rPr>
        <w:t xml:space="preserve">0  </w:t>
      </w:r>
      <w:r>
        <w:rPr>
          <w:rFonts w:asciiTheme="minorEastAsia" w:eastAsiaTheme="minorEastAsia" w:hAnsiTheme="minorEastAsia" w:cs="方正品尚黑简体" w:hint="eastAsia"/>
          <w:b/>
          <w:kern w:val="0"/>
          <w:sz w:val="18"/>
          <w:szCs w:val="18"/>
        </w:rPr>
        <w:t>专业排名</w:t>
      </w:r>
      <w:proofErr w:type="gramEnd"/>
      <w:r>
        <w:rPr>
          <w:rFonts w:asciiTheme="minorEastAsia" w:eastAsiaTheme="minorEastAsia" w:hAnsiTheme="minorEastAsia" w:cs="方正品尚黑简体" w:hint="eastAsia"/>
          <w:b/>
          <w:kern w:val="0"/>
          <w:sz w:val="18"/>
          <w:szCs w:val="18"/>
        </w:rPr>
        <w:t>：</w:t>
      </w:r>
      <w:proofErr w:type="gramStart"/>
      <w:r>
        <w:rPr>
          <w:rFonts w:asciiTheme="minorEastAsia" w:eastAsiaTheme="minorEastAsia" w:hAnsiTheme="minorEastAsia" w:cs="方正品尚黑简体" w:hint="eastAsia"/>
          <w:kern w:val="0"/>
          <w:sz w:val="18"/>
          <w:szCs w:val="18"/>
        </w:rPr>
        <w:t xml:space="preserve">3  </w:t>
      </w:r>
      <w:r>
        <w:rPr>
          <w:rFonts w:asciiTheme="minorEastAsia" w:eastAsiaTheme="minorEastAsia" w:hAnsiTheme="minorEastAsia" w:cs="方正品尚黑简体" w:hint="eastAsia"/>
          <w:b/>
          <w:kern w:val="0"/>
          <w:sz w:val="18"/>
          <w:szCs w:val="18"/>
        </w:rPr>
        <w:t>荣誉奖项</w:t>
      </w:r>
      <w:proofErr w:type="gramEnd"/>
      <w:r>
        <w:rPr>
          <w:rFonts w:asciiTheme="minorEastAsia" w:eastAsiaTheme="minorEastAsia" w:hAnsiTheme="minorEastAsia" w:cs="方正品尚黑简体" w:hint="eastAsia"/>
          <w:b/>
          <w:kern w:val="0"/>
          <w:sz w:val="18"/>
          <w:szCs w:val="18"/>
        </w:rPr>
        <w:t>：</w:t>
      </w:r>
      <w:r>
        <w:rPr>
          <w:rFonts w:asciiTheme="minorEastAsia" w:eastAsiaTheme="minorEastAsia" w:hAnsiTheme="minorEastAsia" w:cs="方正品尚黑简体" w:hint="eastAsia"/>
          <w:kern w:val="0"/>
          <w:sz w:val="18"/>
          <w:szCs w:val="18"/>
        </w:rPr>
        <w:t>一等奖学金（前5%）、二等奖学金（前10%）、校优秀学生（前5%）、院优秀学生（前10%）</w:t>
      </w:r>
    </w:p>
    <w:p w14:paraId="037F6105" w14:textId="77777777" w:rsidR="00583ABC" w:rsidRDefault="00000000">
      <w:pPr>
        <w:numPr>
          <w:ilvl w:val="0"/>
          <w:numId w:val="1"/>
        </w:numPr>
        <w:autoSpaceDE w:val="0"/>
        <w:autoSpaceDN w:val="0"/>
        <w:adjustRightInd w:val="0"/>
        <w:snapToGrid w:val="0"/>
        <w:spacing w:line="300" w:lineRule="exact"/>
        <w:ind w:left="142" w:hanging="142"/>
        <w:rPr>
          <w:rFonts w:asciiTheme="minorEastAsia" w:eastAsiaTheme="minorEastAsia" w:hAnsiTheme="minorEastAsia" w:cs="方正品尚黑简体" w:hint="eastAsia"/>
          <w:kern w:val="0"/>
          <w:szCs w:val="18"/>
        </w:rPr>
      </w:pPr>
      <w:r>
        <w:rPr>
          <w:rFonts w:asciiTheme="minorEastAsia" w:eastAsiaTheme="minorEastAsia" w:hAnsiTheme="minorEastAsia" w:cs="方正品尚黑简体" w:hint="eastAsia"/>
          <w:b/>
          <w:kern w:val="0"/>
          <w:sz w:val="18"/>
          <w:szCs w:val="18"/>
        </w:rPr>
        <w:t>核心课程：</w:t>
      </w:r>
      <w:r>
        <w:rPr>
          <w:rStyle w:val="af0"/>
          <w:rFonts w:asciiTheme="minorEastAsia" w:eastAsiaTheme="minorEastAsia" w:hAnsiTheme="minorEastAsia" w:cs="方正品尚黑简体" w:hint="eastAsia"/>
          <w:sz w:val="18"/>
          <w:szCs w:val="18"/>
        </w:rPr>
        <w:t>微积分</w:t>
      </w:r>
      <w:proofErr w:type="gramStart"/>
      <w:r>
        <w:rPr>
          <w:rStyle w:val="af0"/>
          <w:rFonts w:asciiTheme="minorEastAsia" w:eastAsiaTheme="minorEastAsia" w:hAnsiTheme="minorEastAsia" w:cs="方正品尚黑简体" w:hint="eastAsia"/>
          <w:sz w:val="18"/>
          <w:szCs w:val="18"/>
        </w:rPr>
        <w:t>(94)</w:t>
      </w:r>
      <w:proofErr w:type="gramEnd"/>
      <w:r>
        <w:rPr>
          <w:rStyle w:val="af0"/>
          <w:rFonts w:asciiTheme="minorEastAsia" w:eastAsiaTheme="minorEastAsia" w:hAnsiTheme="minorEastAsia" w:cs="方正品尚黑简体" w:hint="eastAsia"/>
          <w:sz w:val="18"/>
          <w:szCs w:val="18"/>
        </w:rPr>
        <w:t>、</w:t>
      </w:r>
      <w:r>
        <w:rPr>
          <w:rFonts w:asciiTheme="minorEastAsia" w:eastAsiaTheme="minorEastAsia" w:hAnsiTheme="minorEastAsia" w:cs="方正品尚黑简体" w:hint="eastAsia"/>
          <w:kern w:val="0"/>
          <w:sz w:val="18"/>
          <w:szCs w:val="18"/>
        </w:rPr>
        <w:t>线性代数</w:t>
      </w:r>
      <w:proofErr w:type="gramStart"/>
      <w:r>
        <w:rPr>
          <w:rFonts w:asciiTheme="minorEastAsia" w:eastAsiaTheme="minorEastAsia" w:hAnsiTheme="minorEastAsia" w:cs="方正品尚黑简体" w:hint="eastAsia"/>
          <w:kern w:val="0"/>
          <w:sz w:val="18"/>
          <w:szCs w:val="18"/>
        </w:rPr>
        <w:t>(98)</w:t>
      </w:r>
      <w:proofErr w:type="gramEnd"/>
      <w:r>
        <w:rPr>
          <w:rFonts w:asciiTheme="minorEastAsia" w:eastAsiaTheme="minorEastAsia" w:hAnsiTheme="minorEastAsia" w:cs="方正品尚黑简体" w:hint="eastAsia"/>
          <w:kern w:val="0"/>
          <w:sz w:val="18"/>
          <w:szCs w:val="18"/>
        </w:rPr>
        <w:t>、概率论</w:t>
      </w:r>
      <w:proofErr w:type="gramStart"/>
      <w:r>
        <w:rPr>
          <w:rFonts w:asciiTheme="minorEastAsia" w:eastAsiaTheme="minorEastAsia" w:hAnsiTheme="minorEastAsia" w:cs="方正品尚黑简体" w:hint="eastAsia"/>
          <w:kern w:val="0"/>
          <w:sz w:val="18"/>
          <w:szCs w:val="18"/>
        </w:rPr>
        <w:t>(99)</w:t>
      </w:r>
      <w:proofErr w:type="gramEnd"/>
      <w:r>
        <w:rPr>
          <w:rFonts w:asciiTheme="minorEastAsia" w:eastAsiaTheme="minorEastAsia" w:hAnsiTheme="minorEastAsia" w:cs="方正品尚黑简体" w:hint="eastAsia"/>
          <w:kern w:val="0"/>
          <w:sz w:val="18"/>
          <w:szCs w:val="18"/>
        </w:rPr>
        <w:t>、C语言</w:t>
      </w:r>
      <w:proofErr w:type="gramStart"/>
      <w:r>
        <w:rPr>
          <w:rFonts w:asciiTheme="minorEastAsia" w:eastAsiaTheme="minorEastAsia" w:hAnsiTheme="minorEastAsia" w:cs="方正品尚黑简体" w:hint="eastAsia"/>
          <w:kern w:val="0"/>
          <w:sz w:val="18"/>
          <w:szCs w:val="18"/>
        </w:rPr>
        <w:t>(91)</w:t>
      </w:r>
      <w:proofErr w:type="gramEnd"/>
      <w:r>
        <w:rPr>
          <w:rFonts w:asciiTheme="minorEastAsia" w:eastAsiaTheme="minorEastAsia" w:hAnsiTheme="minorEastAsia" w:cs="方正品尚黑简体" w:hint="eastAsia"/>
          <w:kern w:val="0"/>
          <w:sz w:val="18"/>
          <w:szCs w:val="18"/>
        </w:rPr>
        <w:t>、管理会计</w:t>
      </w:r>
      <w:proofErr w:type="gramStart"/>
      <w:r>
        <w:rPr>
          <w:rFonts w:asciiTheme="minorEastAsia" w:eastAsiaTheme="minorEastAsia" w:hAnsiTheme="minorEastAsia" w:cs="方正品尚黑简体" w:hint="eastAsia"/>
          <w:kern w:val="0"/>
          <w:sz w:val="18"/>
          <w:szCs w:val="18"/>
        </w:rPr>
        <w:t>(91)</w:t>
      </w:r>
      <w:proofErr w:type="gramEnd"/>
      <w:r>
        <w:rPr>
          <w:rFonts w:asciiTheme="minorEastAsia" w:eastAsiaTheme="minorEastAsia" w:hAnsiTheme="minorEastAsia" w:cs="方正品尚黑简体" w:hint="eastAsia"/>
          <w:kern w:val="0"/>
          <w:sz w:val="18"/>
          <w:szCs w:val="18"/>
        </w:rPr>
        <w:t>、微观经济学</w:t>
      </w:r>
      <w:proofErr w:type="gramStart"/>
      <w:r>
        <w:rPr>
          <w:rFonts w:asciiTheme="minorEastAsia" w:eastAsiaTheme="minorEastAsia" w:hAnsiTheme="minorEastAsia" w:cs="方正品尚黑简体" w:hint="eastAsia"/>
          <w:kern w:val="0"/>
          <w:sz w:val="18"/>
          <w:szCs w:val="18"/>
        </w:rPr>
        <w:t>(94)</w:t>
      </w:r>
      <w:proofErr w:type="gramEnd"/>
      <w:r>
        <w:rPr>
          <w:rFonts w:asciiTheme="minorEastAsia" w:eastAsiaTheme="minorEastAsia" w:hAnsiTheme="minorEastAsia" w:cs="方正品尚黑简体" w:hint="eastAsia"/>
          <w:kern w:val="0"/>
          <w:sz w:val="18"/>
          <w:szCs w:val="18"/>
        </w:rPr>
        <w:t>、宏观经济学</w:t>
      </w:r>
      <w:proofErr w:type="gramStart"/>
      <w:r>
        <w:rPr>
          <w:rFonts w:asciiTheme="minorEastAsia" w:eastAsiaTheme="minorEastAsia" w:hAnsiTheme="minorEastAsia" w:cs="方正品尚黑简体" w:hint="eastAsia"/>
          <w:kern w:val="0"/>
          <w:sz w:val="18"/>
          <w:szCs w:val="18"/>
        </w:rPr>
        <w:t>(93)</w:t>
      </w:r>
      <w:proofErr w:type="gramEnd"/>
    </w:p>
    <w:p w14:paraId="48B9B563" w14:textId="77777777" w:rsidR="00583ABC" w:rsidRDefault="00000000">
      <w:pPr>
        <w:autoSpaceDE w:val="0"/>
        <w:autoSpaceDN w:val="0"/>
        <w:adjustRightInd w:val="0"/>
        <w:snapToGrid w:val="0"/>
        <w:spacing w:beforeLines="20" w:before="62" w:line="300" w:lineRule="exact"/>
        <w:jc w:val="left"/>
        <w:rPr>
          <w:rFonts w:asciiTheme="minorEastAsia" w:eastAsiaTheme="minorEastAsia" w:hAnsiTheme="minorEastAsia" w:cs="方正品尚黑简体" w:hint="eastAsia"/>
          <w:b/>
          <w:bCs/>
          <w:kern w:val="0"/>
          <w:sz w:val="18"/>
          <w:szCs w:val="18"/>
          <w:u w:val="single"/>
        </w:rPr>
      </w:pPr>
      <w:r>
        <w:rPr>
          <w:rFonts w:asciiTheme="minorEastAsia" w:eastAsiaTheme="minorEastAsia" w:hAnsiTheme="minorEastAsia" w:cs="方正品尚黑简体" w:hint="eastAsia"/>
          <w:b/>
          <w:bCs/>
          <w:kern w:val="0"/>
          <w:sz w:val="18"/>
          <w:szCs w:val="18"/>
        </w:rPr>
        <w:t xml:space="preserve">2023.09 - </w:t>
      </w:r>
      <w:proofErr w:type="gramStart"/>
      <w:r>
        <w:rPr>
          <w:rFonts w:asciiTheme="minorEastAsia" w:eastAsiaTheme="minorEastAsia" w:hAnsiTheme="minorEastAsia" w:cs="方正品尚黑简体" w:hint="eastAsia"/>
          <w:b/>
          <w:bCs/>
          <w:kern w:val="0"/>
          <w:sz w:val="18"/>
          <w:szCs w:val="18"/>
        </w:rPr>
        <w:t>2026.01  天津大学</w:t>
      </w:r>
      <w:proofErr w:type="gramEnd"/>
      <w:r>
        <w:rPr>
          <w:rFonts w:asciiTheme="minorEastAsia" w:eastAsiaTheme="minorEastAsia" w:hAnsiTheme="minorEastAsia" w:cs="方正品尚黑简体" w:hint="eastAsia"/>
          <w:b/>
          <w:bCs/>
          <w:kern w:val="0"/>
          <w:sz w:val="18"/>
          <w:szCs w:val="18"/>
        </w:rPr>
        <w:t>（985，保送</w:t>
      </w:r>
      <w:proofErr w:type="gramStart"/>
      <w:r>
        <w:rPr>
          <w:rFonts w:asciiTheme="minorEastAsia" w:eastAsiaTheme="minorEastAsia" w:hAnsiTheme="minorEastAsia" w:cs="方正品尚黑简体" w:hint="eastAsia"/>
          <w:b/>
          <w:bCs/>
          <w:kern w:val="0"/>
          <w:sz w:val="18"/>
          <w:szCs w:val="18"/>
        </w:rPr>
        <w:t>）  金融</w:t>
      </w:r>
      <w:proofErr w:type="gramEnd"/>
      <w:r>
        <w:rPr>
          <w:rFonts w:asciiTheme="minorEastAsia" w:eastAsiaTheme="minorEastAsia" w:hAnsiTheme="minorEastAsia" w:cs="方正品尚黑简体" w:hint="eastAsia"/>
          <w:b/>
          <w:bCs/>
          <w:kern w:val="0"/>
          <w:sz w:val="18"/>
          <w:szCs w:val="18"/>
        </w:rPr>
        <w:t xml:space="preserve">                                                    硕士</w:t>
      </w:r>
    </w:p>
    <w:p w14:paraId="17707620" w14:textId="77777777" w:rsidR="00583ABC" w:rsidRDefault="00000000">
      <w:pPr>
        <w:numPr>
          <w:ilvl w:val="0"/>
          <w:numId w:val="1"/>
        </w:numPr>
        <w:autoSpaceDE w:val="0"/>
        <w:autoSpaceDN w:val="0"/>
        <w:adjustRightInd w:val="0"/>
        <w:snapToGrid w:val="0"/>
        <w:spacing w:line="300" w:lineRule="exact"/>
        <w:ind w:left="142" w:hanging="142"/>
        <w:rPr>
          <w:rFonts w:asciiTheme="minorEastAsia" w:eastAsiaTheme="minorEastAsia" w:hAnsiTheme="minorEastAsia" w:cs="方正品尚黑简体" w:hint="eastAsia"/>
          <w:kern w:val="0"/>
          <w:szCs w:val="18"/>
        </w:rPr>
      </w:pPr>
      <w:r>
        <w:rPr>
          <w:rFonts w:asciiTheme="minorEastAsia" w:eastAsiaTheme="minorEastAsia" w:hAnsiTheme="minorEastAsia" w:cs="方正品尚黑简体" w:hint="eastAsia"/>
          <w:b/>
          <w:kern w:val="0"/>
          <w:sz w:val="18"/>
          <w:szCs w:val="18"/>
        </w:rPr>
        <w:t>荣誉奖项：</w:t>
      </w:r>
      <w:r>
        <w:rPr>
          <w:rFonts w:asciiTheme="minorEastAsia" w:eastAsiaTheme="minorEastAsia" w:hAnsiTheme="minorEastAsia" w:cs="方正品尚黑简体" w:hint="eastAsia"/>
          <w:kern w:val="0"/>
          <w:sz w:val="18"/>
          <w:szCs w:val="18"/>
        </w:rPr>
        <w:t xml:space="preserve">二等奖学金（前15%） </w:t>
      </w:r>
      <w:r>
        <w:rPr>
          <w:rFonts w:asciiTheme="minorEastAsia" w:eastAsiaTheme="minorEastAsia" w:hAnsiTheme="minorEastAsia" w:cs="方正品尚黑简体" w:hint="eastAsia"/>
          <w:b/>
          <w:kern w:val="0"/>
          <w:sz w:val="18"/>
          <w:szCs w:val="18"/>
        </w:rPr>
        <w:t>核心课程：</w:t>
      </w:r>
      <w:r>
        <w:rPr>
          <w:rFonts w:asciiTheme="minorEastAsia" w:eastAsiaTheme="minorEastAsia" w:hAnsiTheme="minorEastAsia" w:cs="方正品尚黑简体" w:hint="eastAsia"/>
          <w:bCs/>
          <w:kern w:val="0"/>
          <w:sz w:val="18"/>
          <w:szCs w:val="18"/>
        </w:rPr>
        <w:t>Corporate</w:t>
      </w:r>
      <w:r>
        <w:rPr>
          <w:rStyle w:val="af0"/>
          <w:rFonts w:asciiTheme="minorEastAsia" w:eastAsiaTheme="minorEastAsia" w:hAnsiTheme="minorEastAsia" w:cs="方正品尚黑简体" w:hint="eastAsia"/>
          <w:sz w:val="18"/>
          <w:szCs w:val="18"/>
        </w:rPr>
        <w:t xml:space="preserve"> Finance（92）、</w:t>
      </w:r>
      <w:r>
        <w:rPr>
          <w:rFonts w:asciiTheme="minorEastAsia" w:eastAsiaTheme="minorEastAsia" w:hAnsiTheme="minorEastAsia" w:cs="方正品尚黑简体" w:hint="eastAsia"/>
          <w:kern w:val="0"/>
          <w:sz w:val="18"/>
          <w:szCs w:val="18"/>
        </w:rPr>
        <w:t>投资学（88）、金融计量经济学（86）</w:t>
      </w:r>
    </w:p>
    <w:p w14:paraId="50707753" w14:textId="77777777" w:rsidR="00583ABC" w:rsidRDefault="00000000">
      <w:pPr>
        <w:pBdr>
          <w:bottom w:val="single" w:sz="4" w:space="0" w:color="auto"/>
        </w:pBdr>
        <w:autoSpaceDE w:val="0"/>
        <w:autoSpaceDN w:val="0"/>
        <w:adjustRightInd w:val="0"/>
        <w:snapToGrid w:val="0"/>
        <w:spacing w:beforeLines="20" w:before="62" w:line="320" w:lineRule="exact"/>
        <w:rPr>
          <w:rFonts w:asciiTheme="minorEastAsia" w:eastAsiaTheme="minorEastAsia" w:hAnsiTheme="minorEastAsia" w:cs="方正品尚黑简体" w:hint="eastAsia"/>
          <w:b/>
          <w:bCs/>
          <w:kern w:val="0"/>
          <w:szCs w:val="18"/>
        </w:rPr>
      </w:pPr>
      <w:bookmarkStart w:id="0" w:name="_Hlk195035852"/>
      <w:r>
        <w:rPr>
          <w:rFonts w:asciiTheme="minorEastAsia" w:eastAsiaTheme="minorEastAsia" w:hAnsiTheme="minorEastAsia" w:cs="方正品尚黑简体" w:hint="eastAsia"/>
          <w:b/>
          <w:bCs/>
          <w:kern w:val="0"/>
          <w:szCs w:val="18"/>
        </w:rPr>
        <w:t>实习经历</w:t>
      </w:r>
    </w:p>
    <w:bookmarkEnd w:id="0"/>
    <w:p w14:paraId="059E92DB" w14:textId="77777777" w:rsidR="00583ABC" w:rsidRDefault="00000000">
      <w:pPr>
        <w:autoSpaceDE w:val="0"/>
        <w:autoSpaceDN w:val="0"/>
        <w:adjustRightInd w:val="0"/>
        <w:snapToGrid w:val="0"/>
        <w:spacing w:line="320" w:lineRule="exact"/>
        <w:rPr>
          <w:rFonts w:asciiTheme="minorEastAsia" w:eastAsiaTheme="minorEastAsia" w:hAnsiTheme="minorEastAsia" w:cs="方正品尚黑简体" w:hint="eastAsia"/>
          <w:bCs/>
          <w:kern w:val="0"/>
          <w:sz w:val="20"/>
          <w:szCs w:val="18"/>
        </w:rPr>
      </w:pPr>
      <w:r>
        <w:rPr>
          <w:rFonts w:asciiTheme="minorEastAsia" w:eastAsiaTheme="minorEastAsia" w:hAnsiTheme="minorEastAsia" w:cs="方正品尚黑简体" w:hint="eastAsia"/>
          <w:b/>
          <w:kern w:val="0"/>
          <w:sz w:val="18"/>
          <w:szCs w:val="18"/>
        </w:rPr>
        <w:t xml:space="preserve">2025.05 - </w:t>
      </w:r>
      <w:proofErr w:type="gramStart"/>
      <w:r>
        <w:rPr>
          <w:rFonts w:asciiTheme="minorEastAsia" w:eastAsiaTheme="minorEastAsia" w:hAnsiTheme="minorEastAsia" w:cs="方正品尚黑简体" w:hint="eastAsia"/>
          <w:b/>
          <w:kern w:val="0"/>
          <w:sz w:val="18"/>
          <w:szCs w:val="18"/>
        </w:rPr>
        <w:t>2025.07  上海量魁私募</w:t>
      </w:r>
      <w:proofErr w:type="gramEnd"/>
      <w:r>
        <w:rPr>
          <w:rFonts w:asciiTheme="minorEastAsia" w:eastAsiaTheme="minorEastAsia" w:hAnsiTheme="minorEastAsia" w:cs="方正品尚黑简体" w:hint="eastAsia"/>
          <w:b/>
          <w:kern w:val="0"/>
          <w:sz w:val="18"/>
          <w:szCs w:val="18"/>
        </w:rPr>
        <w:t xml:space="preserve">  </w:t>
      </w:r>
      <w:proofErr w:type="gramStart"/>
      <w:r>
        <w:rPr>
          <w:rFonts w:asciiTheme="minorEastAsia" w:eastAsiaTheme="minorEastAsia" w:hAnsiTheme="minorEastAsia" w:cs="方正品尚黑简体" w:hint="eastAsia"/>
          <w:b/>
          <w:kern w:val="0"/>
          <w:sz w:val="18"/>
          <w:szCs w:val="18"/>
        </w:rPr>
        <w:t>|  投研部门</w:t>
      </w:r>
      <w:proofErr w:type="gramEnd"/>
      <w:r>
        <w:rPr>
          <w:rFonts w:asciiTheme="minorEastAsia" w:eastAsiaTheme="minorEastAsia" w:hAnsiTheme="minorEastAsia" w:cs="方正品尚黑简体" w:hint="eastAsia"/>
          <w:b/>
          <w:kern w:val="0"/>
          <w:sz w:val="18"/>
          <w:szCs w:val="18"/>
        </w:rPr>
        <w:t xml:space="preserve">  </w:t>
      </w:r>
      <w:proofErr w:type="gramStart"/>
      <w:r>
        <w:rPr>
          <w:rFonts w:asciiTheme="minorEastAsia" w:eastAsiaTheme="minorEastAsia" w:hAnsiTheme="minorEastAsia" w:cs="方正品尚黑简体" w:hint="eastAsia"/>
          <w:b/>
          <w:kern w:val="0"/>
          <w:sz w:val="18"/>
          <w:szCs w:val="18"/>
        </w:rPr>
        <w:t>|  量化研究员</w:t>
      </w:r>
      <w:proofErr w:type="gramEnd"/>
      <w:r>
        <w:rPr>
          <w:rFonts w:asciiTheme="minorEastAsia" w:eastAsiaTheme="minorEastAsia" w:hAnsiTheme="minorEastAsia" w:cs="方正品尚黑简体" w:hint="eastAsia"/>
          <w:b/>
          <w:kern w:val="0"/>
          <w:sz w:val="18"/>
          <w:szCs w:val="18"/>
        </w:rPr>
        <w:t xml:space="preserve">                                       </w:t>
      </w:r>
      <w:r>
        <w:rPr>
          <w:rFonts w:asciiTheme="minorEastAsia" w:eastAsiaTheme="minorEastAsia" w:hAnsiTheme="minorEastAsia" w:cs="方正品尚黑简体" w:hint="eastAsia"/>
          <w:b/>
          <w:bCs/>
          <w:kern w:val="0"/>
          <w:sz w:val="16"/>
          <w:szCs w:val="18"/>
          <w:lang w:val="zh-CN"/>
        </w:rPr>
        <w:t xml:space="preserve">   </w:t>
      </w:r>
      <w:r>
        <w:rPr>
          <w:rFonts w:asciiTheme="minorEastAsia" w:eastAsiaTheme="minorEastAsia" w:hAnsiTheme="minorEastAsia" w:cs="方正品尚黑简体" w:hint="eastAsia"/>
          <w:bCs/>
          <w:kern w:val="0"/>
          <w:sz w:val="18"/>
          <w:szCs w:val="18"/>
        </w:rPr>
        <w:t xml:space="preserve">              </w:t>
      </w:r>
    </w:p>
    <w:p w14:paraId="2F749E05"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sz w:val="18"/>
          <w:szCs w:val="18"/>
        </w:rPr>
      </w:pPr>
      <w:r>
        <w:rPr>
          <w:rFonts w:asciiTheme="minorEastAsia" w:eastAsiaTheme="minorEastAsia" w:hAnsiTheme="minorEastAsia" w:cs="方正品尚黑简体" w:hint="eastAsia"/>
          <w:sz w:val="18"/>
          <w:szCs w:val="18"/>
        </w:rPr>
        <w:t>针对ST股票建立业绩预告、业绩报告、风险警示撤销、涨停等8种公告事件数据库并统计各类事件的时间分布以及发布前后的累计超额收益；对于在发布后存在明显收益的事件使用公告日后第一个可交易日构建</w:t>
      </w:r>
      <w:r>
        <w:rPr>
          <w:rFonts w:asciiTheme="minorEastAsia" w:eastAsiaTheme="minorEastAsia" w:hAnsiTheme="minorEastAsia" w:cs="方正品尚黑简体" w:hint="eastAsia"/>
          <w:b/>
          <w:bCs/>
          <w:sz w:val="18"/>
          <w:szCs w:val="18"/>
        </w:rPr>
        <w:t>事件驱动型策略</w:t>
      </w:r>
      <w:r>
        <w:rPr>
          <w:rFonts w:asciiTheme="minorEastAsia" w:eastAsiaTheme="minorEastAsia" w:hAnsiTheme="minorEastAsia" w:cs="方正品尚黑简体" w:hint="eastAsia"/>
          <w:sz w:val="18"/>
          <w:szCs w:val="18"/>
        </w:rPr>
        <w:t>进行回测；对于仅在发生前存在超额收益的事件，以</w:t>
      </w:r>
      <w:r>
        <w:rPr>
          <w:rFonts w:asciiTheme="minorEastAsia" w:eastAsiaTheme="minorEastAsia" w:hAnsiTheme="minorEastAsia" w:cs="方正品尚黑简体" w:hint="eastAsia"/>
          <w:b/>
          <w:bCs/>
          <w:sz w:val="18"/>
          <w:szCs w:val="18"/>
        </w:rPr>
        <w:t>日内失衡因子</w:t>
      </w:r>
      <w:r>
        <w:rPr>
          <w:rFonts w:asciiTheme="minorEastAsia" w:eastAsiaTheme="minorEastAsia" w:hAnsiTheme="minorEastAsia" w:cs="方正品尚黑简体" w:hint="eastAsia"/>
          <w:sz w:val="18"/>
          <w:szCs w:val="18"/>
        </w:rPr>
        <w:t>衡量事件前的知情交易观察窗口期的变动及对短期收益的预测能力，并以</w:t>
      </w:r>
      <w:r>
        <w:rPr>
          <w:rFonts w:asciiTheme="minorEastAsia" w:eastAsiaTheme="minorEastAsia" w:hAnsiTheme="minorEastAsia" w:cs="方正品尚黑简体" w:hint="eastAsia"/>
          <w:b/>
          <w:bCs/>
          <w:sz w:val="18"/>
          <w:szCs w:val="18"/>
        </w:rPr>
        <w:t>超预期因子</w:t>
      </w:r>
      <w:r>
        <w:rPr>
          <w:rFonts w:asciiTheme="minorEastAsia" w:eastAsiaTheme="minorEastAsia" w:hAnsiTheme="minorEastAsia" w:cs="方正品尚黑简体" w:hint="eastAsia"/>
          <w:sz w:val="18"/>
          <w:szCs w:val="18"/>
        </w:rPr>
        <w:t>观察不同分组在发布后是否存在股价漂移</w:t>
      </w:r>
    </w:p>
    <w:p w14:paraId="27DF0414"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sz w:val="18"/>
          <w:szCs w:val="18"/>
        </w:rPr>
      </w:pPr>
      <w:r>
        <w:rPr>
          <w:rFonts w:asciiTheme="minorEastAsia" w:eastAsiaTheme="minorEastAsia" w:hAnsiTheme="minorEastAsia" w:cs="方正品尚黑简体" w:hint="eastAsia"/>
          <w:sz w:val="18"/>
          <w:szCs w:val="18"/>
        </w:rPr>
        <w:t>鉴于最终摘帽的企业在此之前的事件窗口期表现更高的收益，因此通过企业盈利能力、成长潜力、治理情况等基本面特征以及基础量价构造</w:t>
      </w:r>
      <w:r>
        <w:rPr>
          <w:rFonts w:asciiTheme="minorEastAsia" w:eastAsiaTheme="minorEastAsia" w:hAnsiTheme="minorEastAsia" w:cs="方正品尚黑简体" w:hint="eastAsia"/>
          <w:b/>
          <w:bCs/>
          <w:sz w:val="18"/>
          <w:szCs w:val="18"/>
        </w:rPr>
        <w:t>多因子体系</w:t>
      </w:r>
      <w:r>
        <w:rPr>
          <w:rFonts w:asciiTheme="minorEastAsia" w:eastAsiaTheme="minorEastAsia" w:hAnsiTheme="minorEastAsia" w:cs="方正品尚黑简体" w:hint="eastAsia"/>
          <w:sz w:val="18"/>
          <w:szCs w:val="18"/>
        </w:rPr>
        <w:t>，使用</w:t>
      </w:r>
      <w:r>
        <w:rPr>
          <w:rFonts w:asciiTheme="minorEastAsia" w:eastAsiaTheme="minorEastAsia" w:hAnsiTheme="minorEastAsia" w:cs="方正品尚黑简体"/>
          <w:sz w:val="18"/>
          <w:szCs w:val="18"/>
        </w:rPr>
        <w:t>Random Forest</w:t>
      </w:r>
      <w:r>
        <w:rPr>
          <w:rFonts w:asciiTheme="minorEastAsia" w:eastAsiaTheme="minorEastAsia" w:hAnsiTheme="minorEastAsia" w:cs="方正品尚黑简体" w:hint="eastAsia"/>
          <w:sz w:val="18"/>
          <w:szCs w:val="18"/>
        </w:rPr>
        <w:t>、</w:t>
      </w:r>
      <w:proofErr w:type="spellStart"/>
      <w:r>
        <w:rPr>
          <w:rFonts w:asciiTheme="minorEastAsia" w:eastAsiaTheme="minorEastAsia" w:hAnsiTheme="minorEastAsia" w:cs="方正品尚黑简体" w:hint="eastAsia"/>
          <w:sz w:val="18"/>
          <w:szCs w:val="18"/>
        </w:rPr>
        <w:t>XGBoost</w:t>
      </w:r>
      <w:proofErr w:type="spellEnd"/>
      <w:r>
        <w:rPr>
          <w:rFonts w:asciiTheme="minorEastAsia" w:eastAsiaTheme="minorEastAsia" w:hAnsiTheme="minorEastAsia" w:cs="方正品尚黑简体" w:hint="eastAsia"/>
          <w:sz w:val="18"/>
          <w:szCs w:val="18"/>
        </w:rPr>
        <w:t>等二元分类机器学习模型滚动预测次月摘帽可能性，样本外预测准确度为77.6%；以概率较高的ST企业作为股票池并每月调整，以涨停事件为买入信号持有至20日和跌停熟早日，获得69.2%年均收益、1.9的夏普比率和16.3%的最大回撤</w:t>
      </w:r>
    </w:p>
    <w:p w14:paraId="31AC3A13" w14:textId="77777777" w:rsidR="00583ABC" w:rsidRDefault="00000000">
      <w:pPr>
        <w:autoSpaceDE w:val="0"/>
        <w:autoSpaceDN w:val="0"/>
        <w:adjustRightInd w:val="0"/>
        <w:snapToGrid w:val="0"/>
        <w:spacing w:line="320" w:lineRule="exact"/>
        <w:rPr>
          <w:rFonts w:asciiTheme="minorEastAsia" w:eastAsiaTheme="minorEastAsia" w:hAnsiTheme="minorEastAsia" w:cs="方正品尚黑简体" w:hint="eastAsia"/>
          <w:bCs/>
          <w:kern w:val="0"/>
          <w:sz w:val="20"/>
          <w:szCs w:val="18"/>
        </w:rPr>
      </w:pPr>
      <w:r>
        <w:rPr>
          <w:rFonts w:asciiTheme="minorEastAsia" w:eastAsiaTheme="minorEastAsia" w:hAnsiTheme="minorEastAsia" w:cs="方正品尚黑简体" w:hint="eastAsia"/>
          <w:b/>
          <w:kern w:val="0"/>
          <w:sz w:val="18"/>
          <w:szCs w:val="18"/>
        </w:rPr>
        <w:t xml:space="preserve">2025.01 - </w:t>
      </w:r>
      <w:proofErr w:type="gramStart"/>
      <w:r>
        <w:rPr>
          <w:rFonts w:asciiTheme="minorEastAsia" w:eastAsiaTheme="minorEastAsia" w:hAnsiTheme="minorEastAsia" w:cs="方正品尚黑简体" w:hint="eastAsia"/>
          <w:b/>
          <w:kern w:val="0"/>
          <w:sz w:val="18"/>
          <w:szCs w:val="18"/>
        </w:rPr>
        <w:t>2025.05  渤海证券</w:t>
      </w:r>
      <w:proofErr w:type="gramEnd"/>
      <w:r>
        <w:rPr>
          <w:rFonts w:asciiTheme="minorEastAsia" w:eastAsiaTheme="minorEastAsia" w:hAnsiTheme="minorEastAsia" w:cs="方正品尚黑简体" w:hint="eastAsia"/>
          <w:b/>
          <w:kern w:val="0"/>
          <w:sz w:val="18"/>
          <w:szCs w:val="18"/>
        </w:rPr>
        <w:t xml:space="preserve">  </w:t>
      </w:r>
      <w:proofErr w:type="gramStart"/>
      <w:r>
        <w:rPr>
          <w:rFonts w:asciiTheme="minorEastAsia" w:eastAsiaTheme="minorEastAsia" w:hAnsiTheme="minorEastAsia" w:cs="方正品尚黑简体" w:hint="eastAsia"/>
          <w:b/>
          <w:kern w:val="0"/>
          <w:sz w:val="18"/>
          <w:szCs w:val="18"/>
        </w:rPr>
        <w:t>|  对冲量化交易部门</w:t>
      </w:r>
      <w:proofErr w:type="gramEnd"/>
      <w:r>
        <w:rPr>
          <w:rFonts w:asciiTheme="minorEastAsia" w:eastAsiaTheme="minorEastAsia" w:hAnsiTheme="minorEastAsia" w:cs="方正品尚黑简体" w:hint="eastAsia"/>
          <w:b/>
          <w:kern w:val="0"/>
          <w:sz w:val="18"/>
          <w:szCs w:val="18"/>
        </w:rPr>
        <w:t xml:space="preserve">  </w:t>
      </w:r>
      <w:proofErr w:type="gramStart"/>
      <w:r>
        <w:rPr>
          <w:rFonts w:asciiTheme="minorEastAsia" w:eastAsiaTheme="minorEastAsia" w:hAnsiTheme="minorEastAsia" w:cs="方正品尚黑简体" w:hint="eastAsia"/>
          <w:b/>
          <w:kern w:val="0"/>
          <w:sz w:val="18"/>
          <w:szCs w:val="18"/>
        </w:rPr>
        <w:t>|  量化研究员</w:t>
      </w:r>
      <w:proofErr w:type="gramEnd"/>
      <w:r>
        <w:rPr>
          <w:rFonts w:asciiTheme="minorEastAsia" w:eastAsiaTheme="minorEastAsia" w:hAnsiTheme="minorEastAsia" w:cs="方正品尚黑简体" w:hint="eastAsia"/>
          <w:b/>
          <w:kern w:val="0"/>
          <w:sz w:val="18"/>
          <w:szCs w:val="18"/>
        </w:rPr>
        <w:t xml:space="preserve">                                      </w:t>
      </w:r>
      <w:r>
        <w:rPr>
          <w:rFonts w:asciiTheme="minorEastAsia" w:eastAsiaTheme="minorEastAsia" w:hAnsiTheme="minorEastAsia" w:cs="方正品尚黑简体" w:hint="eastAsia"/>
          <w:b/>
          <w:bCs/>
          <w:kern w:val="0"/>
          <w:sz w:val="16"/>
          <w:szCs w:val="18"/>
          <w:lang w:val="zh-CN"/>
        </w:rPr>
        <w:t xml:space="preserve">   </w:t>
      </w:r>
      <w:r>
        <w:rPr>
          <w:rFonts w:asciiTheme="minorEastAsia" w:eastAsiaTheme="minorEastAsia" w:hAnsiTheme="minorEastAsia" w:cs="方正品尚黑简体" w:hint="eastAsia"/>
          <w:bCs/>
          <w:kern w:val="0"/>
          <w:sz w:val="18"/>
          <w:szCs w:val="18"/>
        </w:rPr>
        <w:t xml:space="preserve">              </w:t>
      </w:r>
    </w:p>
    <w:p w14:paraId="373CB754"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sz w:val="18"/>
          <w:szCs w:val="18"/>
        </w:rPr>
      </w:pPr>
      <w:r>
        <w:rPr>
          <w:rFonts w:asciiTheme="minorEastAsia" w:eastAsiaTheme="minorEastAsia" w:hAnsiTheme="minorEastAsia" w:cs="方正品尚黑简体" w:hint="eastAsia"/>
          <w:sz w:val="18"/>
          <w:szCs w:val="18"/>
        </w:rPr>
        <w:t>基于股票逐笔成交数据挖掘每日</w:t>
      </w:r>
      <w:r>
        <w:rPr>
          <w:rFonts w:asciiTheme="minorEastAsia" w:eastAsiaTheme="minorEastAsia" w:hAnsiTheme="minorEastAsia" w:cs="方正品尚黑简体" w:hint="eastAsia"/>
          <w:b/>
          <w:bCs/>
          <w:sz w:val="18"/>
          <w:szCs w:val="18"/>
        </w:rPr>
        <w:t>成交不平衡因子</w:t>
      </w:r>
      <w:r>
        <w:rPr>
          <w:rFonts w:asciiTheme="minorEastAsia" w:eastAsiaTheme="minorEastAsia" w:hAnsiTheme="minorEastAsia" w:cs="方正品尚黑简体" w:hint="eastAsia"/>
          <w:sz w:val="18"/>
          <w:szCs w:val="18"/>
        </w:rPr>
        <w:t>并在月底回看20日转换为月度频率；剔除ST、停牌样本并对因子做横截面市值中性化和当月涨跌幅正交化处理；在2016-2024期间因子月度IC均值达0.041、</w:t>
      </w:r>
      <w:r>
        <w:rPr>
          <w:rFonts w:asciiTheme="minorEastAsia" w:eastAsiaTheme="minorEastAsia" w:hAnsiTheme="minorEastAsia" w:cs="方正品尚黑简体" w:hint="eastAsia"/>
          <w:b/>
          <w:bCs/>
          <w:sz w:val="18"/>
          <w:szCs w:val="18"/>
        </w:rPr>
        <w:t>年化ICIR</w:t>
      </w:r>
      <w:r>
        <w:rPr>
          <w:rFonts w:asciiTheme="minorEastAsia" w:eastAsiaTheme="minorEastAsia" w:hAnsiTheme="minorEastAsia" w:cs="方正品尚黑简体" w:hint="eastAsia"/>
          <w:sz w:val="18"/>
          <w:szCs w:val="18"/>
        </w:rPr>
        <w:t>为2.52，多空对冲年化超额收益为25.51%、信息比率为1.96</w:t>
      </w:r>
    </w:p>
    <w:p w14:paraId="2F51F5D9"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sz w:val="18"/>
          <w:szCs w:val="18"/>
        </w:rPr>
      </w:pPr>
      <w:r>
        <w:rPr>
          <w:rFonts w:asciiTheme="minorEastAsia" w:eastAsiaTheme="minorEastAsia" w:hAnsiTheme="minorEastAsia" w:cs="方正品尚黑简体" w:hint="eastAsia"/>
          <w:sz w:val="18"/>
          <w:szCs w:val="18"/>
        </w:rPr>
        <w:t>针对大宗商品期货的主力合约开发和优化Aberration、Boll、DMA、MA、MACD等</w:t>
      </w:r>
      <w:r>
        <w:rPr>
          <w:rFonts w:asciiTheme="minorEastAsia" w:eastAsiaTheme="minorEastAsia" w:hAnsiTheme="minorEastAsia" w:cs="方正品尚黑简体" w:hint="eastAsia"/>
          <w:b/>
          <w:bCs/>
          <w:sz w:val="18"/>
          <w:szCs w:val="18"/>
        </w:rPr>
        <w:t>均线型策略</w:t>
      </w:r>
      <w:r>
        <w:rPr>
          <w:rFonts w:asciiTheme="minorEastAsia" w:eastAsiaTheme="minorEastAsia" w:hAnsiTheme="minorEastAsia" w:cs="方正品尚黑简体" w:hint="eastAsia"/>
          <w:sz w:val="18"/>
          <w:szCs w:val="18"/>
        </w:rPr>
        <w:t>；根据</w:t>
      </w:r>
      <w:r>
        <w:rPr>
          <w:rFonts w:asciiTheme="minorEastAsia" w:eastAsiaTheme="minorEastAsia" w:hAnsiTheme="minorEastAsia" w:cs="方正品尚黑简体" w:hint="eastAsia"/>
          <w:b/>
          <w:bCs/>
          <w:sz w:val="18"/>
          <w:szCs w:val="18"/>
        </w:rPr>
        <w:t>流动性变动因子</w:t>
      </w:r>
      <w:r>
        <w:rPr>
          <w:rFonts w:asciiTheme="minorEastAsia" w:eastAsiaTheme="minorEastAsia" w:hAnsiTheme="minorEastAsia" w:cs="方正品尚黑简体" w:hint="eastAsia"/>
          <w:sz w:val="18"/>
          <w:szCs w:val="18"/>
        </w:rPr>
        <w:t>构建多头组合并每3月调仓，同时对每种期货选择5种均线去年表现夏普比率最高者为择时策略；2021-2025.04期间回测结果中年均收益达12.2%、最大回撤为11.6%</w:t>
      </w:r>
    </w:p>
    <w:p w14:paraId="7651419F" w14:textId="77777777" w:rsidR="00583ABC" w:rsidRDefault="00000000">
      <w:pPr>
        <w:autoSpaceDE w:val="0"/>
        <w:autoSpaceDN w:val="0"/>
        <w:adjustRightInd w:val="0"/>
        <w:snapToGrid w:val="0"/>
        <w:spacing w:line="320" w:lineRule="exact"/>
        <w:rPr>
          <w:rFonts w:asciiTheme="minorEastAsia" w:eastAsiaTheme="minorEastAsia" w:hAnsiTheme="minorEastAsia" w:cs="方正品尚黑简体" w:hint="eastAsia"/>
          <w:bCs/>
          <w:kern w:val="0"/>
          <w:sz w:val="20"/>
          <w:szCs w:val="18"/>
        </w:rPr>
      </w:pPr>
      <w:bookmarkStart w:id="1" w:name="_Hlk194483669"/>
      <w:r>
        <w:rPr>
          <w:rFonts w:asciiTheme="minorEastAsia" w:eastAsiaTheme="minorEastAsia" w:hAnsiTheme="minorEastAsia" w:cs="方正品尚黑简体" w:hint="eastAsia"/>
          <w:b/>
          <w:kern w:val="0"/>
          <w:sz w:val="18"/>
          <w:szCs w:val="18"/>
        </w:rPr>
        <w:t xml:space="preserve">2022.09 - </w:t>
      </w:r>
      <w:proofErr w:type="gramStart"/>
      <w:r>
        <w:rPr>
          <w:rFonts w:asciiTheme="minorEastAsia" w:eastAsiaTheme="minorEastAsia" w:hAnsiTheme="minorEastAsia" w:cs="方正品尚黑简体" w:hint="eastAsia"/>
          <w:b/>
          <w:kern w:val="0"/>
          <w:sz w:val="18"/>
          <w:szCs w:val="18"/>
        </w:rPr>
        <w:t>2022.11  申万宏源证券</w:t>
      </w:r>
      <w:proofErr w:type="gramEnd"/>
      <w:r>
        <w:rPr>
          <w:rFonts w:asciiTheme="minorEastAsia" w:eastAsiaTheme="minorEastAsia" w:hAnsiTheme="minorEastAsia" w:cs="方正品尚黑简体" w:hint="eastAsia"/>
          <w:b/>
          <w:kern w:val="0"/>
          <w:sz w:val="18"/>
          <w:szCs w:val="18"/>
        </w:rPr>
        <w:t xml:space="preserve">  </w:t>
      </w:r>
      <w:proofErr w:type="gramStart"/>
      <w:r>
        <w:rPr>
          <w:rFonts w:asciiTheme="minorEastAsia" w:eastAsiaTheme="minorEastAsia" w:hAnsiTheme="minorEastAsia" w:cs="方正品尚黑简体" w:hint="eastAsia"/>
          <w:b/>
          <w:kern w:val="0"/>
          <w:sz w:val="18"/>
          <w:szCs w:val="18"/>
        </w:rPr>
        <w:t>|  投资银行部门</w:t>
      </w:r>
      <w:proofErr w:type="gramEnd"/>
      <w:r>
        <w:rPr>
          <w:rFonts w:asciiTheme="minorEastAsia" w:eastAsiaTheme="minorEastAsia" w:hAnsiTheme="minorEastAsia" w:cs="方正品尚黑简体" w:hint="eastAsia"/>
          <w:b/>
          <w:kern w:val="0"/>
          <w:sz w:val="18"/>
          <w:szCs w:val="18"/>
        </w:rPr>
        <w:t xml:space="preserve">  </w:t>
      </w:r>
      <w:proofErr w:type="gramStart"/>
      <w:r>
        <w:rPr>
          <w:rFonts w:asciiTheme="minorEastAsia" w:eastAsiaTheme="minorEastAsia" w:hAnsiTheme="minorEastAsia" w:cs="方正品尚黑简体" w:hint="eastAsia"/>
          <w:b/>
          <w:kern w:val="0"/>
          <w:sz w:val="18"/>
          <w:szCs w:val="18"/>
        </w:rPr>
        <w:t>|  投资助理</w:t>
      </w:r>
      <w:proofErr w:type="gramEnd"/>
      <w:r>
        <w:rPr>
          <w:rFonts w:asciiTheme="minorEastAsia" w:eastAsiaTheme="minorEastAsia" w:hAnsiTheme="minorEastAsia" w:cs="方正品尚黑简体" w:hint="eastAsia"/>
          <w:b/>
          <w:kern w:val="0"/>
          <w:sz w:val="18"/>
          <w:szCs w:val="18"/>
        </w:rPr>
        <w:t xml:space="preserve">                                       </w:t>
      </w:r>
      <w:r>
        <w:rPr>
          <w:rFonts w:asciiTheme="minorEastAsia" w:eastAsiaTheme="minorEastAsia" w:hAnsiTheme="minorEastAsia" w:cs="方正品尚黑简体" w:hint="eastAsia"/>
          <w:b/>
          <w:bCs/>
          <w:kern w:val="0"/>
          <w:sz w:val="16"/>
          <w:szCs w:val="18"/>
          <w:lang w:val="zh-CN"/>
        </w:rPr>
        <w:t xml:space="preserve">   </w:t>
      </w:r>
      <w:r>
        <w:rPr>
          <w:rFonts w:asciiTheme="minorEastAsia" w:eastAsiaTheme="minorEastAsia" w:hAnsiTheme="minorEastAsia" w:cs="方正品尚黑简体" w:hint="eastAsia"/>
          <w:bCs/>
          <w:kern w:val="0"/>
          <w:sz w:val="18"/>
          <w:szCs w:val="18"/>
        </w:rPr>
        <w:t xml:space="preserve">             </w:t>
      </w:r>
    </w:p>
    <w:p w14:paraId="264F6F05"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sz w:val="18"/>
          <w:szCs w:val="18"/>
        </w:rPr>
      </w:pPr>
      <w:r>
        <w:rPr>
          <w:rFonts w:asciiTheme="minorEastAsia" w:eastAsiaTheme="minorEastAsia" w:hAnsiTheme="minorEastAsia" w:cs="方正品尚黑简体" w:hint="eastAsia"/>
          <w:sz w:val="18"/>
          <w:szCs w:val="18"/>
        </w:rPr>
        <w:t>协助进行尽职调查、按照质控部门要求补充招股说明书财务信息底稿；具体负责拟上市企业采购、销售数据的公允性调查以及与同行业企业的对比分析；核查内部控制环节的可靠性并对具体的业务流程施行穿行测试</w:t>
      </w:r>
    </w:p>
    <w:p w14:paraId="5062C8D7"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color w:val="4F81BD" w:themeColor="accent1"/>
          <w:kern w:val="0"/>
          <w:sz w:val="18"/>
          <w:szCs w:val="18"/>
        </w:rPr>
      </w:pPr>
      <w:r>
        <w:rPr>
          <w:rFonts w:asciiTheme="minorEastAsia" w:eastAsiaTheme="minorEastAsia" w:hAnsiTheme="minorEastAsia" w:cs="方正品尚黑简体" w:hint="eastAsia"/>
          <w:sz w:val="18"/>
          <w:szCs w:val="18"/>
        </w:rPr>
        <w:t>协助项目组核查会计事务所提供的企业财务状况分析；完善拟上市企业的供应商、经销商等关联企业的信息，核实拟上市企业销售、借贷等业务活动的真实性</w:t>
      </w:r>
      <w:bookmarkEnd w:id="1"/>
    </w:p>
    <w:p w14:paraId="78BFB885" w14:textId="77777777" w:rsidR="00583ABC" w:rsidRDefault="00000000">
      <w:pPr>
        <w:pBdr>
          <w:bottom w:val="single" w:sz="4" w:space="0" w:color="auto"/>
        </w:pBdr>
        <w:autoSpaceDE w:val="0"/>
        <w:autoSpaceDN w:val="0"/>
        <w:adjustRightInd w:val="0"/>
        <w:snapToGrid w:val="0"/>
        <w:spacing w:beforeLines="20" w:before="62" w:line="320" w:lineRule="exact"/>
        <w:rPr>
          <w:rFonts w:asciiTheme="minorEastAsia" w:eastAsiaTheme="minorEastAsia" w:hAnsiTheme="minorEastAsia" w:cs="方正品尚黑简体" w:hint="eastAsia"/>
          <w:b/>
          <w:bCs/>
          <w:kern w:val="0"/>
          <w:szCs w:val="18"/>
        </w:rPr>
      </w:pPr>
      <w:r>
        <w:rPr>
          <w:rFonts w:asciiTheme="minorEastAsia" w:eastAsiaTheme="minorEastAsia" w:hAnsiTheme="minorEastAsia" w:cs="方正品尚黑简体" w:hint="eastAsia"/>
          <w:b/>
          <w:bCs/>
          <w:kern w:val="0"/>
          <w:szCs w:val="18"/>
        </w:rPr>
        <w:t>项目经历</w:t>
      </w:r>
    </w:p>
    <w:p w14:paraId="6E16AD0A" w14:textId="77777777" w:rsidR="00583ABC" w:rsidRDefault="00000000">
      <w:pPr>
        <w:autoSpaceDE w:val="0"/>
        <w:autoSpaceDN w:val="0"/>
        <w:adjustRightInd w:val="0"/>
        <w:snapToGrid w:val="0"/>
        <w:spacing w:line="320" w:lineRule="exact"/>
        <w:rPr>
          <w:rFonts w:asciiTheme="minorEastAsia" w:eastAsiaTheme="minorEastAsia" w:hAnsiTheme="minorEastAsia" w:cs="方正品尚黑简体" w:hint="eastAsia"/>
          <w:b/>
          <w:bCs/>
          <w:kern w:val="0"/>
          <w:sz w:val="18"/>
          <w:szCs w:val="18"/>
        </w:rPr>
      </w:pPr>
      <w:r>
        <w:rPr>
          <w:rFonts w:asciiTheme="minorEastAsia" w:eastAsiaTheme="minorEastAsia" w:hAnsiTheme="minorEastAsia" w:cs="方正品尚黑简体" w:hint="eastAsia"/>
          <w:b/>
          <w:bCs/>
          <w:kern w:val="0"/>
          <w:sz w:val="18"/>
          <w:szCs w:val="18"/>
        </w:rPr>
        <w:t>2025.05-2025.</w:t>
      </w:r>
      <w:proofErr w:type="gramStart"/>
      <w:r>
        <w:rPr>
          <w:rFonts w:asciiTheme="minorEastAsia" w:eastAsiaTheme="minorEastAsia" w:hAnsiTheme="minorEastAsia" w:cs="方正品尚黑简体" w:hint="eastAsia"/>
          <w:b/>
          <w:bCs/>
          <w:kern w:val="0"/>
          <w:sz w:val="18"/>
          <w:szCs w:val="18"/>
        </w:rPr>
        <w:t>07  ST</w:t>
      </w:r>
      <w:proofErr w:type="gramEnd"/>
      <w:r>
        <w:rPr>
          <w:rFonts w:asciiTheme="minorEastAsia" w:eastAsiaTheme="minorEastAsia" w:hAnsiTheme="minorEastAsia" w:cs="方正品尚黑简体" w:hint="eastAsia"/>
          <w:b/>
          <w:bCs/>
          <w:kern w:val="0"/>
          <w:sz w:val="18"/>
          <w:szCs w:val="18"/>
        </w:rPr>
        <w:t>股票的事件驱动型策略—量魁私募</w:t>
      </w:r>
    </w:p>
    <w:p w14:paraId="76F95A08"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color w:val="4F81BD" w:themeColor="accent1"/>
          <w:kern w:val="0"/>
          <w:sz w:val="18"/>
          <w:szCs w:val="18"/>
        </w:rPr>
      </w:pPr>
      <w:r>
        <w:rPr>
          <w:rFonts w:asciiTheme="minorEastAsia" w:eastAsiaTheme="minorEastAsia" w:hAnsiTheme="minorEastAsia" w:cs="方正品尚黑简体" w:hint="eastAsia"/>
          <w:sz w:val="18"/>
          <w:szCs w:val="20"/>
        </w:rPr>
        <w:t>ST股票多由于基本面困境被风险警示，常规的风格因子也常常排除ST股票的干扰。而ST股票投资的价值在于市场对基本面反转的预期并反映在某些事件公告中。研究发现在ST股票发布扭亏类型的业绩预告对未来股价有短期的预测能力，40天持有累积超额收益达到7%</w:t>
      </w:r>
    </w:p>
    <w:p w14:paraId="56FFD96B"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color w:val="4F81BD" w:themeColor="accent1"/>
          <w:kern w:val="0"/>
          <w:sz w:val="18"/>
          <w:szCs w:val="18"/>
        </w:rPr>
      </w:pPr>
      <w:r>
        <w:rPr>
          <w:rFonts w:asciiTheme="minorEastAsia" w:eastAsiaTheme="minorEastAsia" w:hAnsiTheme="minorEastAsia" w:cs="方正品尚黑简体" w:hint="eastAsia"/>
          <w:sz w:val="18"/>
          <w:szCs w:val="20"/>
        </w:rPr>
        <w:t>但ST股票在财务报告、摘帽当日均是仅在公告前才有股价上涨趋势，说明知情交易的存在或公告的确定性较高。对此使用公告前逐笔成交数据构造知情交易的代理变量或基于盈余公告计算超预期程度。同时，本研究还通过企业财务指标、公司治理情况、量价因子等构造特征，使用Logistic回归、Random Forest、</w:t>
      </w:r>
      <w:proofErr w:type="spellStart"/>
      <w:r>
        <w:rPr>
          <w:rFonts w:asciiTheme="minorEastAsia" w:eastAsiaTheme="minorEastAsia" w:hAnsiTheme="minorEastAsia" w:cs="方正品尚黑简体" w:hint="eastAsia"/>
          <w:sz w:val="18"/>
          <w:szCs w:val="20"/>
        </w:rPr>
        <w:t>XGBoost</w:t>
      </w:r>
      <w:proofErr w:type="spellEnd"/>
      <w:r>
        <w:rPr>
          <w:rFonts w:asciiTheme="minorEastAsia" w:eastAsiaTheme="minorEastAsia" w:hAnsiTheme="minorEastAsia" w:cs="方正品尚黑简体" w:hint="eastAsia"/>
          <w:sz w:val="18"/>
          <w:szCs w:val="20"/>
        </w:rPr>
        <w:t>等二元分类机器学习模型预测在未来一年内的ST股票摘帽的概率</w:t>
      </w:r>
    </w:p>
    <w:p w14:paraId="3044C918" w14:textId="77777777" w:rsidR="00583ABC" w:rsidRDefault="00000000">
      <w:pPr>
        <w:autoSpaceDE w:val="0"/>
        <w:autoSpaceDN w:val="0"/>
        <w:adjustRightInd w:val="0"/>
        <w:snapToGrid w:val="0"/>
        <w:spacing w:line="320" w:lineRule="exact"/>
        <w:rPr>
          <w:rFonts w:asciiTheme="minorEastAsia" w:eastAsiaTheme="minorEastAsia" w:hAnsiTheme="minorEastAsia" w:cs="方正品尚黑简体" w:hint="eastAsia"/>
          <w:b/>
          <w:bCs/>
          <w:kern w:val="0"/>
          <w:sz w:val="18"/>
          <w:szCs w:val="18"/>
        </w:rPr>
      </w:pPr>
      <w:r>
        <w:rPr>
          <w:rFonts w:asciiTheme="minorEastAsia" w:eastAsiaTheme="minorEastAsia" w:hAnsiTheme="minorEastAsia" w:cs="方正品尚黑简体" w:hint="eastAsia"/>
          <w:b/>
          <w:bCs/>
          <w:kern w:val="0"/>
          <w:sz w:val="18"/>
          <w:szCs w:val="18"/>
        </w:rPr>
        <w:t>2025.03-2025.</w:t>
      </w:r>
      <w:proofErr w:type="gramStart"/>
      <w:r>
        <w:rPr>
          <w:rFonts w:asciiTheme="minorEastAsia" w:eastAsiaTheme="minorEastAsia" w:hAnsiTheme="minorEastAsia" w:cs="方正品尚黑简体" w:hint="eastAsia"/>
          <w:b/>
          <w:bCs/>
          <w:kern w:val="0"/>
          <w:sz w:val="18"/>
          <w:szCs w:val="18"/>
        </w:rPr>
        <w:t>04  CTA</w:t>
      </w:r>
      <w:proofErr w:type="gramEnd"/>
      <w:r>
        <w:rPr>
          <w:rFonts w:asciiTheme="minorEastAsia" w:eastAsiaTheme="minorEastAsia" w:hAnsiTheme="minorEastAsia" w:cs="方正品尚黑简体" w:hint="eastAsia"/>
          <w:b/>
          <w:bCs/>
          <w:kern w:val="0"/>
          <w:sz w:val="18"/>
          <w:szCs w:val="18"/>
        </w:rPr>
        <w:t>大宗商品期货策略设计—渤海证券</w:t>
      </w:r>
    </w:p>
    <w:p w14:paraId="59E374C9"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color w:val="4F81BD" w:themeColor="accent1"/>
          <w:kern w:val="0"/>
          <w:sz w:val="18"/>
          <w:szCs w:val="18"/>
        </w:rPr>
      </w:pPr>
      <w:r>
        <w:rPr>
          <w:rFonts w:asciiTheme="minorEastAsia" w:eastAsiaTheme="minorEastAsia" w:hAnsiTheme="minorEastAsia" w:cs="方正品尚黑简体" w:hint="eastAsia"/>
          <w:sz w:val="18"/>
          <w:szCs w:val="20"/>
        </w:rPr>
        <w:t>传统期货策略在2020年之后失效；本项目以持仓量提取期货主力合约作为期货资产样本范围，根据交易量或结合持仓量与交易量进行标的选取，每3个月调整一次交易品类；同时每年匹配的择时策略选取为过去一年Aberration、Boll、DMA、MA、MACD中表现出最高夏普比率的策略。最终项目中CTA组合在近三年的年收益表现保持在7%左右</w:t>
      </w:r>
    </w:p>
    <w:p w14:paraId="06041F69" w14:textId="77777777" w:rsidR="00583ABC" w:rsidRDefault="00000000">
      <w:pPr>
        <w:autoSpaceDE w:val="0"/>
        <w:autoSpaceDN w:val="0"/>
        <w:adjustRightInd w:val="0"/>
        <w:snapToGrid w:val="0"/>
        <w:spacing w:line="320" w:lineRule="exact"/>
        <w:rPr>
          <w:rFonts w:asciiTheme="minorEastAsia" w:eastAsiaTheme="minorEastAsia" w:hAnsiTheme="minorEastAsia" w:cs="方正品尚黑简体" w:hint="eastAsia"/>
          <w:b/>
          <w:bCs/>
          <w:kern w:val="0"/>
          <w:sz w:val="18"/>
          <w:szCs w:val="18"/>
        </w:rPr>
      </w:pPr>
      <w:r>
        <w:rPr>
          <w:rFonts w:asciiTheme="minorEastAsia" w:eastAsiaTheme="minorEastAsia" w:hAnsiTheme="minorEastAsia" w:cs="方正品尚黑简体"/>
          <w:b/>
          <w:bCs/>
          <w:kern w:val="0"/>
          <w:sz w:val="18"/>
          <w:szCs w:val="18"/>
        </w:rPr>
        <w:t>2025.0</w:t>
      </w:r>
      <w:r>
        <w:rPr>
          <w:rFonts w:asciiTheme="minorEastAsia" w:eastAsiaTheme="minorEastAsia" w:hAnsiTheme="minorEastAsia" w:cs="方正品尚黑简体" w:hint="eastAsia"/>
          <w:b/>
          <w:bCs/>
          <w:kern w:val="0"/>
          <w:sz w:val="18"/>
          <w:szCs w:val="18"/>
        </w:rPr>
        <w:t>1</w:t>
      </w:r>
      <w:r>
        <w:rPr>
          <w:rFonts w:asciiTheme="minorEastAsia" w:eastAsiaTheme="minorEastAsia" w:hAnsiTheme="minorEastAsia" w:cs="方正品尚黑简体"/>
          <w:b/>
          <w:bCs/>
          <w:kern w:val="0"/>
          <w:sz w:val="18"/>
          <w:szCs w:val="18"/>
        </w:rPr>
        <w:t>-2025.</w:t>
      </w:r>
      <w:proofErr w:type="gramStart"/>
      <w:r>
        <w:rPr>
          <w:rFonts w:asciiTheme="minorEastAsia" w:eastAsiaTheme="minorEastAsia" w:hAnsiTheme="minorEastAsia" w:cs="方正品尚黑简体"/>
          <w:b/>
          <w:bCs/>
          <w:kern w:val="0"/>
          <w:sz w:val="18"/>
          <w:szCs w:val="18"/>
        </w:rPr>
        <w:t>0</w:t>
      </w:r>
      <w:r>
        <w:rPr>
          <w:rFonts w:asciiTheme="minorEastAsia" w:eastAsiaTheme="minorEastAsia" w:hAnsiTheme="minorEastAsia" w:cs="方正品尚黑简体" w:hint="eastAsia"/>
          <w:b/>
          <w:bCs/>
          <w:kern w:val="0"/>
          <w:sz w:val="18"/>
          <w:szCs w:val="18"/>
        </w:rPr>
        <w:t>2  股票逐笔成交类因子开发</w:t>
      </w:r>
      <w:proofErr w:type="gramEnd"/>
      <w:r>
        <w:rPr>
          <w:rFonts w:asciiTheme="minorEastAsia" w:eastAsiaTheme="minorEastAsia" w:hAnsiTheme="minorEastAsia" w:cs="方正品尚黑简体" w:hint="eastAsia"/>
          <w:b/>
          <w:bCs/>
          <w:kern w:val="0"/>
          <w:sz w:val="18"/>
          <w:szCs w:val="18"/>
        </w:rPr>
        <w:t>—渤海证券</w:t>
      </w:r>
    </w:p>
    <w:p w14:paraId="6735B132" w14:textId="77777777" w:rsidR="00583ABC" w:rsidRDefault="00000000">
      <w:pPr>
        <w:numPr>
          <w:ilvl w:val="0"/>
          <w:numId w:val="1"/>
        </w:numPr>
        <w:autoSpaceDE w:val="0"/>
        <w:autoSpaceDN w:val="0"/>
        <w:adjustRightInd w:val="0"/>
        <w:snapToGrid w:val="0"/>
        <w:spacing w:line="320" w:lineRule="exact"/>
        <w:ind w:left="142" w:hanging="142"/>
        <w:rPr>
          <w:rFonts w:asciiTheme="minorEastAsia" w:eastAsiaTheme="minorEastAsia" w:hAnsiTheme="minorEastAsia" w:cs="方正品尚黑简体" w:hint="eastAsia"/>
          <w:color w:val="4F81BD" w:themeColor="accent1"/>
          <w:kern w:val="0"/>
          <w:sz w:val="18"/>
          <w:szCs w:val="18"/>
        </w:rPr>
      </w:pPr>
      <w:bookmarkStart w:id="2" w:name="_Hlk195125566"/>
      <w:r>
        <w:rPr>
          <w:rFonts w:asciiTheme="minorEastAsia" w:eastAsiaTheme="minorEastAsia" w:hAnsiTheme="minorEastAsia" w:cs="方正品尚黑简体" w:hint="eastAsia"/>
          <w:sz w:val="18"/>
          <w:szCs w:val="20"/>
        </w:rPr>
        <w:t>基于逐笔成交数据中净买单强度构建的成交不平衡因子在2021年之后预测效果不佳，可能源于净买单引起的当期涨跌幅变化与未来收益负相关</w:t>
      </w:r>
      <w:r>
        <w:rPr>
          <w:rFonts w:asciiTheme="minorEastAsia" w:eastAsiaTheme="minorEastAsia" w:hAnsiTheme="minorEastAsia" w:cs="方正品尚黑简体" w:hint="eastAsia"/>
          <w:kern w:val="0"/>
          <w:sz w:val="18"/>
          <w:szCs w:val="18"/>
        </w:rPr>
        <w:t>；</w:t>
      </w:r>
      <w:r>
        <w:rPr>
          <w:rFonts w:asciiTheme="minorEastAsia" w:eastAsiaTheme="minorEastAsia" w:hAnsiTheme="minorEastAsia" w:cs="方正品尚黑简体" w:hint="eastAsia"/>
          <w:sz w:val="18"/>
          <w:szCs w:val="20"/>
        </w:rPr>
        <w:t>本项目在构建成交单不平衡因子的基础上使用累积涨跌幅（反转因子）进行正交化处理，分理出集中成交或大额成交的买卖单重新构造因子进一步提升因子的预测能力。剔除常用的市场风格因子影响之后，因子年化ICIR及多空组合的信息比率进一步提升</w:t>
      </w:r>
    </w:p>
    <w:bookmarkEnd w:id="2"/>
    <w:p w14:paraId="11DBB1E5" w14:textId="77777777" w:rsidR="00583ABC" w:rsidRDefault="00000000">
      <w:pPr>
        <w:pBdr>
          <w:bottom w:val="single" w:sz="4" w:space="0" w:color="auto"/>
        </w:pBdr>
        <w:autoSpaceDE w:val="0"/>
        <w:autoSpaceDN w:val="0"/>
        <w:adjustRightInd w:val="0"/>
        <w:snapToGrid w:val="0"/>
        <w:spacing w:beforeLines="20" w:before="62" w:line="320" w:lineRule="exact"/>
        <w:rPr>
          <w:rFonts w:asciiTheme="minorEastAsia" w:eastAsiaTheme="minorEastAsia" w:hAnsiTheme="minorEastAsia" w:cs="方正品尚黑简体" w:hint="eastAsia"/>
          <w:b/>
          <w:bCs/>
          <w:kern w:val="0"/>
          <w:szCs w:val="18"/>
        </w:rPr>
      </w:pPr>
      <w:r>
        <w:rPr>
          <w:rFonts w:asciiTheme="minorEastAsia" w:eastAsiaTheme="minorEastAsia" w:hAnsiTheme="minorEastAsia" w:cs="方正品尚黑简体" w:hint="eastAsia"/>
          <w:b/>
          <w:bCs/>
          <w:kern w:val="0"/>
          <w:szCs w:val="18"/>
        </w:rPr>
        <w:t>科研经历</w:t>
      </w:r>
    </w:p>
    <w:p w14:paraId="344452CB" w14:textId="77777777" w:rsidR="00583ABC" w:rsidRDefault="00000000">
      <w:pPr>
        <w:autoSpaceDE w:val="0"/>
        <w:autoSpaceDN w:val="0"/>
        <w:adjustRightInd w:val="0"/>
        <w:snapToGrid w:val="0"/>
        <w:spacing w:line="320" w:lineRule="exact"/>
        <w:jc w:val="left"/>
        <w:rPr>
          <w:rFonts w:asciiTheme="minorEastAsia" w:eastAsiaTheme="minorEastAsia" w:hAnsiTheme="minorEastAsia" w:cs="方正品尚黑简体" w:hint="eastAsia"/>
          <w:b/>
          <w:bCs/>
          <w:kern w:val="0"/>
          <w:sz w:val="18"/>
          <w:szCs w:val="18"/>
        </w:rPr>
      </w:pPr>
      <w:r>
        <w:rPr>
          <w:rFonts w:asciiTheme="minorEastAsia" w:eastAsiaTheme="minorEastAsia" w:hAnsiTheme="minorEastAsia" w:cs="方正品尚黑简体" w:hint="eastAsia"/>
          <w:b/>
          <w:bCs/>
          <w:kern w:val="0"/>
          <w:sz w:val="18"/>
          <w:szCs w:val="18"/>
        </w:rPr>
        <w:t xml:space="preserve">2024.06 - </w:t>
      </w:r>
      <w:proofErr w:type="gramStart"/>
      <w:r>
        <w:rPr>
          <w:rFonts w:asciiTheme="minorEastAsia" w:eastAsiaTheme="minorEastAsia" w:hAnsiTheme="minorEastAsia" w:cs="方正品尚黑简体" w:hint="eastAsia"/>
          <w:b/>
          <w:bCs/>
          <w:kern w:val="0"/>
          <w:sz w:val="18"/>
          <w:szCs w:val="18"/>
        </w:rPr>
        <w:t>2025.04  《</w:t>
      </w:r>
      <w:proofErr w:type="gramEnd"/>
      <w:r>
        <w:rPr>
          <w:rFonts w:asciiTheme="minorEastAsia" w:eastAsiaTheme="minorEastAsia" w:hAnsiTheme="minorEastAsia" w:cs="方正品尚黑简体" w:hint="eastAsia"/>
          <w:b/>
          <w:bCs/>
          <w:kern w:val="0"/>
          <w:sz w:val="18"/>
          <w:szCs w:val="18"/>
        </w:rPr>
        <w:t xml:space="preserve">地方政府债务治理与企业避税》 | 第2作者《会计研究》                              </w:t>
      </w:r>
    </w:p>
    <w:p w14:paraId="3C28FCDB" w14:textId="77777777" w:rsidR="00583ABC" w:rsidRDefault="00000000">
      <w:pPr>
        <w:numPr>
          <w:ilvl w:val="0"/>
          <w:numId w:val="1"/>
        </w:numPr>
        <w:autoSpaceDE w:val="0"/>
        <w:autoSpaceDN w:val="0"/>
        <w:adjustRightInd w:val="0"/>
        <w:snapToGrid w:val="0"/>
        <w:spacing w:line="320" w:lineRule="exact"/>
        <w:ind w:left="142" w:hanging="142"/>
        <w:rPr>
          <w:rStyle w:val="af0"/>
          <w:rFonts w:asciiTheme="minorEastAsia" w:eastAsiaTheme="minorEastAsia" w:hAnsiTheme="minorEastAsia" w:cs="方正品尚黑简体" w:hint="eastAsia"/>
          <w:kern w:val="0"/>
          <w:sz w:val="18"/>
          <w:szCs w:val="18"/>
        </w:rPr>
      </w:pPr>
      <w:r>
        <w:rPr>
          <w:rStyle w:val="af0"/>
          <w:rFonts w:asciiTheme="minorEastAsia" w:eastAsiaTheme="minorEastAsia" w:hAnsiTheme="minorEastAsia" w:cs="方正品尚黑简体" w:hint="eastAsia"/>
          <w:kern w:val="0"/>
          <w:sz w:val="18"/>
          <w:szCs w:val="18"/>
        </w:rPr>
        <w:t>论文以2015年新《预算法》的实施作为一项准自然实验，基于企业避税的“收益—成本”权衡，系统考察了地方政府债务治理对于企业避税行为的影响；通过分析百余篇国内外顶级期刊完成本文中“收益—成本”理论的书写，为宏观政策如何影响企业行为提供了严密的逻辑框架</w:t>
      </w:r>
    </w:p>
    <w:p w14:paraId="0B791F80" w14:textId="77777777" w:rsidR="00583ABC" w:rsidRDefault="00000000">
      <w:pPr>
        <w:numPr>
          <w:ilvl w:val="0"/>
          <w:numId w:val="1"/>
        </w:numPr>
        <w:autoSpaceDE w:val="0"/>
        <w:autoSpaceDN w:val="0"/>
        <w:adjustRightInd w:val="0"/>
        <w:snapToGrid w:val="0"/>
        <w:spacing w:line="320" w:lineRule="exact"/>
        <w:ind w:left="142" w:hanging="142"/>
        <w:rPr>
          <w:rStyle w:val="af0"/>
          <w:rFonts w:asciiTheme="minorEastAsia" w:eastAsiaTheme="minorEastAsia" w:hAnsiTheme="minorEastAsia" w:cs="方正品尚黑简体" w:hint="eastAsia"/>
          <w:kern w:val="0"/>
          <w:sz w:val="18"/>
          <w:szCs w:val="18"/>
        </w:rPr>
      </w:pPr>
      <w:r>
        <w:rPr>
          <w:rStyle w:val="af0"/>
          <w:rFonts w:asciiTheme="minorEastAsia" w:eastAsiaTheme="minorEastAsia" w:hAnsiTheme="minorEastAsia" w:cs="方正品尚黑简体" w:hint="eastAsia"/>
          <w:kern w:val="0"/>
          <w:sz w:val="18"/>
          <w:szCs w:val="18"/>
        </w:rPr>
        <w:t>以Wind数据库和CNRDS数据库构建地方融资平台新名单及地区融资平台有息债务的独特数据；通过Stata完成基准回归、稳健性检验、异质性检验、机制等数据分析过程；运用模糊匹配从CSMAR数据与税调数据获取集团避税的证据</w:t>
      </w:r>
    </w:p>
    <w:p w14:paraId="40BA1EFB" w14:textId="77777777" w:rsidR="00583ABC" w:rsidRDefault="00000000">
      <w:pPr>
        <w:autoSpaceDE w:val="0"/>
        <w:autoSpaceDN w:val="0"/>
        <w:adjustRightInd w:val="0"/>
        <w:snapToGrid w:val="0"/>
        <w:spacing w:line="320" w:lineRule="exact"/>
        <w:rPr>
          <w:rFonts w:asciiTheme="minorEastAsia" w:eastAsiaTheme="minorEastAsia" w:hAnsiTheme="minorEastAsia" w:cs="方正品尚黑简体" w:hint="eastAsia"/>
          <w:b/>
          <w:bCs/>
          <w:kern w:val="0"/>
          <w:sz w:val="16"/>
          <w:szCs w:val="18"/>
          <w:u w:val="single"/>
        </w:rPr>
      </w:pPr>
      <w:r>
        <w:rPr>
          <w:rFonts w:asciiTheme="minorEastAsia" w:eastAsiaTheme="minorEastAsia" w:hAnsiTheme="minorEastAsia" w:cs="方正品尚黑简体" w:hint="eastAsia"/>
          <w:b/>
          <w:bCs/>
          <w:kern w:val="0"/>
          <w:szCs w:val="18"/>
          <w:u w:val="single"/>
        </w:rPr>
        <w:t xml:space="preserve">职业技能     </w:t>
      </w:r>
      <w:r>
        <w:rPr>
          <w:rFonts w:asciiTheme="minorEastAsia" w:eastAsiaTheme="minorEastAsia" w:hAnsiTheme="minorEastAsia" w:cs="方正品尚黑简体" w:hint="eastAsia"/>
          <w:b/>
          <w:bCs/>
          <w:kern w:val="0"/>
          <w:sz w:val="16"/>
          <w:szCs w:val="18"/>
          <w:u w:val="single"/>
        </w:rPr>
        <w:t xml:space="preserve">                                                                                            </w:t>
      </w:r>
      <w:r>
        <w:rPr>
          <w:rFonts w:asciiTheme="minorEastAsia" w:eastAsiaTheme="minorEastAsia" w:hAnsiTheme="minorEastAsia" w:cs="方正品尚黑简体" w:hint="eastAsia"/>
          <w:b/>
          <w:bCs/>
          <w:kern w:val="0"/>
          <w:sz w:val="18"/>
          <w:szCs w:val="18"/>
        </w:rPr>
        <w:t xml:space="preserve">                              </w:t>
      </w:r>
    </w:p>
    <w:p w14:paraId="3F4366D7" w14:textId="77777777" w:rsidR="00583ABC" w:rsidRDefault="00000000">
      <w:pPr>
        <w:pStyle w:val="ResumeAlignRight"/>
        <w:tabs>
          <w:tab w:val="clear" w:pos="10080"/>
          <w:tab w:val="right" w:pos="240"/>
        </w:tabs>
        <w:adjustRightInd w:val="0"/>
        <w:snapToGrid w:val="0"/>
        <w:spacing w:line="320" w:lineRule="exact"/>
        <w:rPr>
          <w:rFonts w:asciiTheme="minorEastAsia" w:hAnsiTheme="minorEastAsia" w:cs="方正品尚黑简体" w:hint="eastAsia"/>
          <w:sz w:val="18"/>
          <w:szCs w:val="18"/>
        </w:rPr>
      </w:pPr>
      <w:r>
        <w:rPr>
          <w:rFonts w:asciiTheme="minorEastAsia" w:hAnsiTheme="minorEastAsia" w:cs="方正品尚黑简体" w:hint="eastAsia"/>
          <w:sz w:val="18"/>
          <w:szCs w:val="18"/>
        </w:rPr>
        <w:t>CET-4（555）、CET-6（534）、初级会计证书、熟练使用</w:t>
      </w:r>
      <w:r>
        <w:rPr>
          <w:rFonts w:asciiTheme="minorEastAsia" w:hAnsiTheme="minorEastAsia" w:cs="方正品尚黑简体"/>
          <w:bCs/>
          <w:sz w:val="18"/>
          <w:szCs w:val="18"/>
        </w:rPr>
        <w:t>Python</w:t>
      </w:r>
      <w:r>
        <w:rPr>
          <w:rFonts w:asciiTheme="minorEastAsia" w:hAnsiTheme="minorEastAsia" w:cs="方正品尚黑简体" w:hint="eastAsia"/>
          <w:bCs/>
          <w:sz w:val="18"/>
          <w:szCs w:val="18"/>
        </w:rPr>
        <w:t>中pandas、</w:t>
      </w:r>
      <w:proofErr w:type="spellStart"/>
      <w:r>
        <w:rPr>
          <w:rFonts w:asciiTheme="minorEastAsia" w:hAnsiTheme="minorEastAsia" w:cs="方正品尚黑简体" w:hint="eastAsia"/>
          <w:bCs/>
          <w:sz w:val="18"/>
          <w:szCs w:val="18"/>
        </w:rPr>
        <w:t>numpy</w:t>
      </w:r>
      <w:proofErr w:type="spellEnd"/>
      <w:r>
        <w:rPr>
          <w:rFonts w:asciiTheme="minorEastAsia" w:hAnsiTheme="minorEastAsia" w:cs="方正品尚黑简体" w:hint="eastAsia"/>
          <w:bCs/>
          <w:sz w:val="18"/>
          <w:szCs w:val="18"/>
        </w:rPr>
        <w:t>、Pool、</w:t>
      </w:r>
      <w:proofErr w:type="spellStart"/>
      <w:r>
        <w:rPr>
          <w:rFonts w:asciiTheme="minorEastAsia" w:hAnsiTheme="minorEastAsia" w:cs="方正品尚黑简体" w:hint="eastAsia"/>
          <w:bCs/>
          <w:sz w:val="18"/>
          <w:szCs w:val="18"/>
        </w:rPr>
        <w:t>sklearn</w:t>
      </w:r>
      <w:proofErr w:type="spellEnd"/>
    </w:p>
    <w:sectPr w:rsidR="00583ABC">
      <w:pgSz w:w="12472" w:h="16838"/>
      <w:pgMar w:top="454" w:right="680" w:bottom="454" w:left="680" w:header="0" w:footer="0"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0914F1" w14:textId="77777777" w:rsidR="00A27348" w:rsidRDefault="00A27348">
      <w:pPr>
        <w:spacing w:line="240" w:lineRule="auto"/>
      </w:pPr>
      <w:r>
        <w:separator/>
      </w:r>
    </w:p>
  </w:endnote>
  <w:endnote w:type="continuationSeparator" w:id="0">
    <w:p w14:paraId="490CC1A8" w14:textId="77777777" w:rsidR="00A27348" w:rsidRDefault="00A273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 w:fontKey="{09A0F6E9-4B00-4003-9988-35095B2408B4}"/>
    <w:embedBold r:id="rId2" w:fontKey="{61CFAEB6-8564-4C8F-97FD-1FF089ED344A}"/>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embedRegular r:id="rId3" w:fontKey="{3F9090A4-B027-4085-B090-8A80916E902E}"/>
    <w:embedBold r:id="rId4" w:fontKey="{3DD6FD1A-20F9-43FC-864A-80360C2F1702}"/>
  </w:font>
  <w:font w:name="方正品尚黑简体">
    <w:altName w:val="汉仪中黑KW"/>
    <w:charset w:val="86"/>
    <w:family w:val="auto"/>
    <w:pitch w:val="default"/>
    <w:sig w:usb0="00000000" w:usb1="00000000" w:usb2="00000012"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0E8C0" w14:textId="77777777" w:rsidR="00A27348" w:rsidRDefault="00A27348">
      <w:r>
        <w:separator/>
      </w:r>
    </w:p>
  </w:footnote>
  <w:footnote w:type="continuationSeparator" w:id="0">
    <w:p w14:paraId="507DA312" w14:textId="77777777" w:rsidR="00A27348" w:rsidRDefault="00A27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B5150C"/>
    <w:multiLevelType w:val="multilevel"/>
    <w:tmpl w:val="39B5150C"/>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2136" w:hanging="420"/>
      </w:pPr>
      <w:rPr>
        <w:rFonts w:ascii="Wingdings" w:hAnsi="Wingdings" w:hint="default"/>
      </w:rPr>
    </w:lvl>
    <w:lvl w:ilvl="2">
      <w:start w:val="1"/>
      <w:numFmt w:val="bullet"/>
      <w:lvlText w:val=""/>
      <w:lvlJc w:val="left"/>
      <w:pPr>
        <w:ind w:left="-1716" w:hanging="420"/>
      </w:pPr>
      <w:rPr>
        <w:rFonts w:ascii="Wingdings" w:hAnsi="Wingdings" w:hint="default"/>
      </w:rPr>
    </w:lvl>
    <w:lvl w:ilvl="3">
      <w:start w:val="1"/>
      <w:numFmt w:val="bullet"/>
      <w:lvlText w:val=""/>
      <w:lvlJc w:val="left"/>
      <w:pPr>
        <w:ind w:left="-1296" w:hanging="420"/>
      </w:pPr>
      <w:rPr>
        <w:rFonts w:ascii="Wingdings" w:hAnsi="Wingdings" w:hint="default"/>
      </w:rPr>
    </w:lvl>
    <w:lvl w:ilvl="4">
      <w:start w:val="1"/>
      <w:numFmt w:val="bullet"/>
      <w:lvlText w:val=""/>
      <w:lvlJc w:val="left"/>
      <w:pPr>
        <w:ind w:left="-876" w:hanging="420"/>
      </w:pPr>
      <w:rPr>
        <w:rFonts w:ascii="Wingdings" w:hAnsi="Wingdings" w:hint="default"/>
      </w:rPr>
    </w:lvl>
    <w:lvl w:ilvl="5">
      <w:start w:val="1"/>
      <w:numFmt w:val="bullet"/>
      <w:lvlText w:val=""/>
      <w:lvlJc w:val="left"/>
      <w:pPr>
        <w:ind w:left="-456" w:hanging="420"/>
      </w:pPr>
      <w:rPr>
        <w:rFonts w:ascii="Wingdings" w:hAnsi="Wingdings" w:hint="default"/>
      </w:rPr>
    </w:lvl>
    <w:lvl w:ilvl="6">
      <w:start w:val="1"/>
      <w:numFmt w:val="bullet"/>
      <w:lvlText w:val=""/>
      <w:lvlJc w:val="left"/>
      <w:pPr>
        <w:ind w:left="-36" w:hanging="420"/>
      </w:pPr>
      <w:rPr>
        <w:rFonts w:ascii="Wingdings" w:hAnsi="Wingdings" w:hint="default"/>
      </w:rPr>
    </w:lvl>
    <w:lvl w:ilvl="7">
      <w:start w:val="1"/>
      <w:numFmt w:val="bullet"/>
      <w:lvlText w:val=""/>
      <w:lvlJc w:val="left"/>
      <w:pPr>
        <w:ind w:left="384" w:hanging="420"/>
      </w:pPr>
      <w:rPr>
        <w:rFonts w:ascii="Wingdings" w:hAnsi="Wingdings" w:hint="default"/>
      </w:rPr>
    </w:lvl>
    <w:lvl w:ilvl="8">
      <w:start w:val="1"/>
      <w:numFmt w:val="bullet"/>
      <w:lvlText w:val=""/>
      <w:lvlJc w:val="left"/>
      <w:pPr>
        <w:ind w:left="804" w:hanging="420"/>
      </w:pPr>
      <w:rPr>
        <w:rFonts w:ascii="Wingdings" w:hAnsi="Wingdings" w:hint="default"/>
      </w:rPr>
    </w:lvl>
  </w:abstractNum>
  <w:num w:numId="1" w16cid:durableId="519050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hiMzA3ZjM1MzM5Y2FjMjU2YWM3NDQ3OTcwODg3ZmUifQ=="/>
  </w:docVars>
  <w:rsids>
    <w:rsidRoot w:val="001354D1"/>
    <w:rsid w:val="000051BF"/>
    <w:rsid w:val="00011733"/>
    <w:rsid w:val="000174B6"/>
    <w:rsid w:val="0003053C"/>
    <w:rsid w:val="000332E4"/>
    <w:rsid w:val="000350EC"/>
    <w:rsid w:val="00036D64"/>
    <w:rsid w:val="00040C23"/>
    <w:rsid w:val="000455F8"/>
    <w:rsid w:val="00052D17"/>
    <w:rsid w:val="000578ED"/>
    <w:rsid w:val="00066610"/>
    <w:rsid w:val="000742EF"/>
    <w:rsid w:val="00075EF3"/>
    <w:rsid w:val="00091DA2"/>
    <w:rsid w:val="00093261"/>
    <w:rsid w:val="0009441E"/>
    <w:rsid w:val="0009664B"/>
    <w:rsid w:val="0009666E"/>
    <w:rsid w:val="000A7818"/>
    <w:rsid w:val="000B140C"/>
    <w:rsid w:val="000C665E"/>
    <w:rsid w:val="000C7BC0"/>
    <w:rsid w:val="000D5A1F"/>
    <w:rsid w:val="000D5B17"/>
    <w:rsid w:val="000D7F74"/>
    <w:rsid w:val="000E0363"/>
    <w:rsid w:val="000E1946"/>
    <w:rsid w:val="000F2B44"/>
    <w:rsid w:val="000F52BC"/>
    <w:rsid w:val="0010061D"/>
    <w:rsid w:val="00100911"/>
    <w:rsid w:val="00101271"/>
    <w:rsid w:val="00106669"/>
    <w:rsid w:val="00110D71"/>
    <w:rsid w:val="0012216E"/>
    <w:rsid w:val="001226B8"/>
    <w:rsid w:val="001307AB"/>
    <w:rsid w:val="00132CF6"/>
    <w:rsid w:val="00134944"/>
    <w:rsid w:val="001354D1"/>
    <w:rsid w:val="00135871"/>
    <w:rsid w:val="001409F1"/>
    <w:rsid w:val="00144679"/>
    <w:rsid w:val="00146945"/>
    <w:rsid w:val="00146F75"/>
    <w:rsid w:val="00152F12"/>
    <w:rsid w:val="00155598"/>
    <w:rsid w:val="00156BC6"/>
    <w:rsid w:val="00164FD5"/>
    <w:rsid w:val="00172536"/>
    <w:rsid w:val="001747AC"/>
    <w:rsid w:val="00176BF4"/>
    <w:rsid w:val="0018734A"/>
    <w:rsid w:val="001A3D73"/>
    <w:rsid w:val="001B7927"/>
    <w:rsid w:val="001C00AF"/>
    <w:rsid w:val="001D3106"/>
    <w:rsid w:val="001D6FBD"/>
    <w:rsid w:val="001E037A"/>
    <w:rsid w:val="001E1699"/>
    <w:rsid w:val="0020409A"/>
    <w:rsid w:val="00204211"/>
    <w:rsid w:val="0020425E"/>
    <w:rsid w:val="002070D3"/>
    <w:rsid w:val="00210760"/>
    <w:rsid w:val="002171C2"/>
    <w:rsid w:val="002207A6"/>
    <w:rsid w:val="00221AAF"/>
    <w:rsid w:val="002429A2"/>
    <w:rsid w:val="002609C1"/>
    <w:rsid w:val="00264FE7"/>
    <w:rsid w:val="00272A13"/>
    <w:rsid w:val="002801CC"/>
    <w:rsid w:val="002863EC"/>
    <w:rsid w:val="00290990"/>
    <w:rsid w:val="002A0223"/>
    <w:rsid w:val="002A15E7"/>
    <w:rsid w:val="002A1F11"/>
    <w:rsid w:val="002A2E0F"/>
    <w:rsid w:val="002B02CE"/>
    <w:rsid w:val="002B4ABC"/>
    <w:rsid w:val="002C19E2"/>
    <w:rsid w:val="002C69EE"/>
    <w:rsid w:val="002D2796"/>
    <w:rsid w:val="002D3367"/>
    <w:rsid w:val="002F3B0A"/>
    <w:rsid w:val="002F528B"/>
    <w:rsid w:val="002F5EFF"/>
    <w:rsid w:val="00322373"/>
    <w:rsid w:val="0032672F"/>
    <w:rsid w:val="00326F24"/>
    <w:rsid w:val="00332CF9"/>
    <w:rsid w:val="00354141"/>
    <w:rsid w:val="003572A1"/>
    <w:rsid w:val="00363B3F"/>
    <w:rsid w:val="003728DE"/>
    <w:rsid w:val="0037324E"/>
    <w:rsid w:val="0039357F"/>
    <w:rsid w:val="00396E50"/>
    <w:rsid w:val="003A1C06"/>
    <w:rsid w:val="003A6CD0"/>
    <w:rsid w:val="003B1F78"/>
    <w:rsid w:val="003B2FB0"/>
    <w:rsid w:val="003B4141"/>
    <w:rsid w:val="003B5D3A"/>
    <w:rsid w:val="003C344D"/>
    <w:rsid w:val="003D0483"/>
    <w:rsid w:val="003E1682"/>
    <w:rsid w:val="003F1C80"/>
    <w:rsid w:val="0040282D"/>
    <w:rsid w:val="00407F27"/>
    <w:rsid w:val="00422B38"/>
    <w:rsid w:val="004257C0"/>
    <w:rsid w:val="004319FD"/>
    <w:rsid w:val="00432A11"/>
    <w:rsid w:val="00432DE9"/>
    <w:rsid w:val="00441895"/>
    <w:rsid w:val="00454251"/>
    <w:rsid w:val="0047172E"/>
    <w:rsid w:val="00473F8D"/>
    <w:rsid w:val="004805C9"/>
    <w:rsid w:val="00483392"/>
    <w:rsid w:val="00483EB3"/>
    <w:rsid w:val="00496F0F"/>
    <w:rsid w:val="004A0153"/>
    <w:rsid w:val="004A368A"/>
    <w:rsid w:val="004B1BEB"/>
    <w:rsid w:val="004B3526"/>
    <w:rsid w:val="004B7126"/>
    <w:rsid w:val="004D01DC"/>
    <w:rsid w:val="004E3913"/>
    <w:rsid w:val="004F0807"/>
    <w:rsid w:val="00501056"/>
    <w:rsid w:val="00501A4C"/>
    <w:rsid w:val="00502CB3"/>
    <w:rsid w:val="00513FBF"/>
    <w:rsid w:val="005148AF"/>
    <w:rsid w:val="0051593C"/>
    <w:rsid w:val="0051604D"/>
    <w:rsid w:val="005234AB"/>
    <w:rsid w:val="00524563"/>
    <w:rsid w:val="00525697"/>
    <w:rsid w:val="0052648D"/>
    <w:rsid w:val="005311F0"/>
    <w:rsid w:val="0054089D"/>
    <w:rsid w:val="005429C0"/>
    <w:rsid w:val="00547983"/>
    <w:rsid w:val="005571B5"/>
    <w:rsid w:val="00557855"/>
    <w:rsid w:val="00575E05"/>
    <w:rsid w:val="00583ABC"/>
    <w:rsid w:val="005A6D47"/>
    <w:rsid w:val="005A7070"/>
    <w:rsid w:val="005B091E"/>
    <w:rsid w:val="005B46F0"/>
    <w:rsid w:val="005C49B5"/>
    <w:rsid w:val="005D0CFE"/>
    <w:rsid w:val="005D1944"/>
    <w:rsid w:val="005D5107"/>
    <w:rsid w:val="005D5E47"/>
    <w:rsid w:val="005D65DC"/>
    <w:rsid w:val="005D7079"/>
    <w:rsid w:val="005E25BC"/>
    <w:rsid w:val="005F1719"/>
    <w:rsid w:val="005F3C2F"/>
    <w:rsid w:val="00602678"/>
    <w:rsid w:val="0060516C"/>
    <w:rsid w:val="00611ECA"/>
    <w:rsid w:val="0061541F"/>
    <w:rsid w:val="00616838"/>
    <w:rsid w:val="0062404E"/>
    <w:rsid w:val="00626543"/>
    <w:rsid w:val="00627765"/>
    <w:rsid w:val="0063243C"/>
    <w:rsid w:val="00633273"/>
    <w:rsid w:val="00640511"/>
    <w:rsid w:val="00641E6F"/>
    <w:rsid w:val="006445C6"/>
    <w:rsid w:val="00644C9E"/>
    <w:rsid w:val="006453F2"/>
    <w:rsid w:val="0066755B"/>
    <w:rsid w:val="006717C0"/>
    <w:rsid w:val="00675549"/>
    <w:rsid w:val="00687724"/>
    <w:rsid w:val="0069017E"/>
    <w:rsid w:val="00690672"/>
    <w:rsid w:val="00692E3B"/>
    <w:rsid w:val="0069458F"/>
    <w:rsid w:val="006953E6"/>
    <w:rsid w:val="00697A34"/>
    <w:rsid w:val="006A4AF1"/>
    <w:rsid w:val="006C3029"/>
    <w:rsid w:val="006C3A41"/>
    <w:rsid w:val="006C4430"/>
    <w:rsid w:val="006E0B6B"/>
    <w:rsid w:val="006E3BFE"/>
    <w:rsid w:val="006E481C"/>
    <w:rsid w:val="006E7540"/>
    <w:rsid w:val="006E7ECE"/>
    <w:rsid w:val="006F2E1D"/>
    <w:rsid w:val="006F58F5"/>
    <w:rsid w:val="0070133D"/>
    <w:rsid w:val="00710319"/>
    <w:rsid w:val="00712B26"/>
    <w:rsid w:val="0071776F"/>
    <w:rsid w:val="0074574F"/>
    <w:rsid w:val="00754AF1"/>
    <w:rsid w:val="00765714"/>
    <w:rsid w:val="00772B2D"/>
    <w:rsid w:val="0077519A"/>
    <w:rsid w:val="0078000F"/>
    <w:rsid w:val="007805C8"/>
    <w:rsid w:val="0078418A"/>
    <w:rsid w:val="00784FDC"/>
    <w:rsid w:val="00790AF4"/>
    <w:rsid w:val="00796B78"/>
    <w:rsid w:val="007A3F4A"/>
    <w:rsid w:val="007B2F28"/>
    <w:rsid w:val="007C4979"/>
    <w:rsid w:val="007C666A"/>
    <w:rsid w:val="007D0E4A"/>
    <w:rsid w:val="007E5311"/>
    <w:rsid w:val="007E6AD3"/>
    <w:rsid w:val="007E7194"/>
    <w:rsid w:val="007F2D96"/>
    <w:rsid w:val="008045BD"/>
    <w:rsid w:val="00807D07"/>
    <w:rsid w:val="00807DBC"/>
    <w:rsid w:val="00816241"/>
    <w:rsid w:val="00822CCD"/>
    <w:rsid w:val="00824E9B"/>
    <w:rsid w:val="008279B3"/>
    <w:rsid w:val="0083033C"/>
    <w:rsid w:val="00842084"/>
    <w:rsid w:val="00847423"/>
    <w:rsid w:val="00851D2F"/>
    <w:rsid w:val="00853195"/>
    <w:rsid w:val="008549AD"/>
    <w:rsid w:val="00854FB8"/>
    <w:rsid w:val="00864CD2"/>
    <w:rsid w:val="00865994"/>
    <w:rsid w:val="00872D46"/>
    <w:rsid w:val="00877EB4"/>
    <w:rsid w:val="0088316B"/>
    <w:rsid w:val="00885D79"/>
    <w:rsid w:val="00887500"/>
    <w:rsid w:val="0089163C"/>
    <w:rsid w:val="008961C1"/>
    <w:rsid w:val="008A14FF"/>
    <w:rsid w:val="008B72FE"/>
    <w:rsid w:val="008C35E7"/>
    <w:rsid w:val="008D5805"/>
    <w:rsid w:val="008E12F9"/>
    <w:rsid w:val="009027E0"/>
    <w:rsid w:val="00921A55"/>
    <w:rsid w:val="00921D97"/>
    <w:rsid w:val="00922870"/>
    <w:rsid w:val="0092383A"/>
    <w:rsid w:val="00931CA2"/>
    <w:rsid w:val="00933E97"/>
    <w:rsid w:val="0093411D"/>
    <w:rsid w:val="00936E9C"/>
    <w:rsid w:val="00943B4E"/>
    <w:rsid w:val="00945977"/>
    <w:rsid w:val="009461A0"/>
    <w:rsid w:val="00953A3C"/>
    <w:rsid w:val="00962515"/>
    <w:rsid w:val="0096475F"/>
    <w:rsid w:val="00972118"/>
    <w:rsid w:val="00975A32"/>
    <w:rsid w:val="009838AA"/>
    <w:rsid w:val="00990ABF"/>
    <w:rsid w:val="009A6DA4"/>
    <w:rsid w:val="009A6FD1"/>
    <w:rsid w:val="009A75C4"/>
    <w:rsid w:val="009A7DAC"/>
    <w:rsid w:val="009B6C04"/>
    <w:rsid w:val="009C1628"/>
    <w:rsid w:val="009C2E61"/>
    <w:rsid w:val="009C347F"/>
    <w:rsid w:val="009C4332"/>
    <w:rsid w:val="009C4EB6"/>
    <w:rsid w:val="009D2309"/>
    <w:rsid w:val="009D3676"/>
    <w:rsid w:val="009D7BC8"/>
    <w:rsid w:val="009D7ECA"/>
    <w:rsid w:val="009E2E42"/>
    <w:rsid w:val="009F5583"/>
    <w:rsid w:val="009F584E"/>
    <w:rsid w:val="009F5BD5"/>
    <w:rsid w:val="009F60C7"/>
    <w:rsid w:val="009F7851"/>
    <w:rsid w:val="00A066BC"/>
    <w:rsid w:val="00A14539"/>
    <w:rsid w:val="00A146E0"/>
    <w:rsid w:val="00A23F65"/>
    <w:rsid w:val="00A26DC2"/>
    <w:rsid w:val="00A27348"/>
    <w:rsid w:val="00A41B52"/>
    <w:rsid w:val="00A46DF1"/>
    <w:rsid w:val="00A62484"/>
    <w:rsid w:val="00A65105"/>
    <w:rsid w:val="00A73D7A"/>
    <w:rsid w:val="00A82DE5"/>
    <w:rsid w:val="00A85708"/>
    <w:rsid w:val="00A87567"/>
    <w:rsid w:val="00A9748D"/>
    <w:rsid w:val="00AA4ADB"/>
    <w:rsid w:val="00AB0A41"/>
    <w:rsid w:val="00AC147B"/>
    <w:rsid w:val="00AC2DC4"/>
    <w:rsid w:val="00AD4DC6"/>
    <w:rsid w:val="00AD67D0"/>
    <w:rsid w:val="00AE52C2"/>
    <w:rsid w:val="00AE6056"/>
    <w:rsid w:val="00AF27B9"/>
    <w:rsid w:val="00AF3675"/>
    <w:rsid w:val="00AF3767"/>
    <w:rsid w:val="00AF5CC9"/>
    <w:rsid w:val="00B23166"/>
    <w:rsid w:val="00B2563F"/>
    <w:rsid w:val="00B2568F"/>
    <w:rsid w:val="00B314F6"/>
    <w:rsid w:val="00B449C7"/>
    <w:rsid w:val="00B45CF2"/>
    <w:rsid w:val="00B4691D"/>
    <w:rsid w:val="00B46B7F"/>
    <w:rsid w:val="00B5354B"/>
    <w:rsid w:val="00B54573"/>
    <w:rsid w:val="00B550A8"/>
    <w:rsid w:val="00B5645B"/>
    <w:rsid w:val="00B74D3A"/>
    <w:rsid w:val="00B85ED7"/>
    <w:rsid w:val="00BA1CD6"/>
    <w:rsid w:val="00BA7EE4"/>
    <w:rsid w:val="00BB1583"/>
    <w:rsid w:val="00BB4F76"/>
    <w:rsid w:val="00BC50E1"/>
    <w:rsid w:val="00BC604D"/>
    <w:rsid w:val="00BC782F"/>
    <w:rsid w:val="00BD7AB9"/>
    <w:rsid w:val="00BE1E12"/>
    <w:rsid w:val="00BE4F2C"/>
    <w:rsid w:val="00BE59F0"/>
    <w:rsid w:val="00C01BD7"/>
    <w:rsid w:val="00C0210A"/>
    <w:rsid w:val="00C0250F"/>
    <w:rsid w:val="00C03D4B"/>
    <w:rsid w:val="00C2010A"/>
    <w:rsid w:val="00C3390E"/>
    <w:rsid w:val="00C36E35"/>
    <w:rsid w:val="00C55599"/>
    <w:rsid w:val="00C6161F"/>
    <w:rsid w:val="00C65FBD"/>
    <w:rsid w:val="00C73BF1"/>
    <w:rsid w:val="00CA3134"/>
    <w:rsid w:val="00CB1B64"/>
    <w:rsid w:val="00CB7E04"/>
    <w:rsid w:val="00CC126F"/>
    <w:rsid w:val="00CC1799"/>
    <w:rsid w:val="00CC35F7"/>
    <w:rsid w:val="00CD13A3"/>
    <w:rsid w:val="00CD583A"/>
    <w:rsid w:val="00CE1A88"/>
    <w:rsid w:val="00CE5D54"/>
    <w:rsid w:val="00CF2505"/>
    <w:rsid w:val="00CF7B46"/>
    <w:rsid w:val="00D140C9"/>
    <w:rsid w:val="00D15028"/>
    <w:rsid w:val="00D15D25"/>
    <w:rsid w:val="00D167DF"/>
    <w:rsid w:val="00D37539"/>
    <w:rsid w:val="00D379A7"/>
    <w:rsid w:val="00D44DC5"/>
    <w:rsid w:val="00D45EA0"/>
    <w:rsid w:val="00D53065"/>
    <w:rsid w:val="00D63159"/>
    <w:rsid w:val="00D63E3D"/>
    <w:rsid w:val="00D710BB"/>
    <w:rsid w:val="00D73DA2"/>
    <w:rsid w:val="00D76460"/>
    <w:rsid w:val="00D812A1"/>
    <w:rsid w:val="00D872F8"/>
    <w:rsid w:val="00D962CA"/>
    <w:rsid w:val="00D97A48"/>
    <w:rsid w:val="00DB0403"/>
    <w:rsid w:val="00DB37BB"/>
    <w:rsid w:val="00DB6308"/>
    <w:rsid w:val="00DB6AF4"/>
    <w:rsid w:val="00DB6E8D"/>
    <w:rsid w:val="00DD0C3E"/>
    <w:rsid w:val="00DE2274"/>
    <w:rsid w:val="00DE4767"/>
    <w:rsid w:val="00DF4B5F"/>
    <w:rsid w:val="00E2036D"/>
    <w:rsid w:val="00E2169F"/>
    <w:rsid w:val="00E30185"/>
    <w:rsid w:val="00E306C9"/>
    <w:rsid w:val="00E434AB"/>
    <w:rsid w:val="00E505E5"/>
    <w:rsid w:val="00E51CB3"/>
    <w:rsid w:val="00E53D84"/>
    <w:rsid w:val="00E5579A"/>
    <w:rsid w:val="00E559A7"/>
    <w:rsid w:val="00E568C9"/>
    <w:rsid w:val="00E61E31"/>
    <w:rsid w:val="00E62BD0"/>
    <w:rsid w:val="00E7373F"/>
    <w:rsid w:val="00E76FBA"/>
    <w:rsid w:val="00E868A0"/>
    <w:rsid w:val="00E92026"/>
    <w:rsid w:val="00EA3FA7"/>
    <w:rsid w:val="00EA44ED"/>
    <w:rsid w:val="00EA4DC2"/>
    <w:rsid w:val="00EA5050"/>
    <w:rsid w:val="00EB2D37"/>
    <w:rsid w:val="00EC52E8"/>
    <w:rsid w:val="00EC65BD"/>
    <w:rsid w:val="00ED6562"/>
    <w:rsid w:val="00EE6FBC"/>
    <w:rsid w:val="00EE73D6"/>
    <w:rsid w:val="00EF5530"/>
    <w:rsid w:val="00F01638"/>
    <w:rsid w:val="00F04218"/>
    <w:rsid w:val="00F1650F"/>
    <w:rsid w:val="00F17417"/>
    <w:rsid w:val="00F3376B"/>
    <w:rsid w:val="00F45563"/>
    <w:rsid w:val="00F470B5"/>
    <w:rsid w:val="00F52C45"/>
    <w:rsid w:val="00F56485"/>
    <w:rsid w:val="00F56D1C"/>
    <w:rsid w:val="00F80EEC"/>
    <w:rsid w:val="00FB60E4"/>
    <w:rsid w:val="00FB669D"/>
    <w:rsid w:val="00FB725B"/>
    <w:rsid w:val="00FC4909"/>
    <w:rsid w:val="00FD14E3"/>
    <w:rsid w:val="00FD447A"/>
    <w:rsid w:val="00FD662A"/>
    <w:rsid w:val="00FE3149"/>
    <w:rsid w:val="00FE4417"/>
    <w:rsid w:val="00FE726F"/>
    <w:rsid w:val="00FF07AE"/>
    <w:rsid w:val="00FF16C9"/>
    <w:rsid w:val="00FF2058"/>
    <w:rsid w:val="00FF3575"/>
    <w:rsid w:val="012F6A29"/>
    <w:rsid w:val="03127926"/>
    <w:rsid w:val="03F82FC0"/>
    <w:rsid w:val="064837CE"/>
    <w:rsid w:val="0B865355"/>
    <w:rsid w:val="0C34090D"/>
    <w:rsid w:val="0C430B50"/>
    <w:rsid w:val="0D746F7E"/>
    <w:rsid w:val="0D7A67F4"/>
    <w:rsid w:val="0F0E18EA"/>
    <w:rsid w:val="0FBF4992"/>
    <w:rsid w:val="101B5DA6"/>
    <w:rsid w:val="114333A1"/>
    <w:rsid w:val="12CD386A"/>
    <w:rsid w:val="137A64D7"/>
    <w:rsid w:val="14264FE0"/>
    <w:rsid w:val="156C2EC6"/>
    <w:rsid w:val="16862929"/>
    <w:rsid w:val="170552D2"/>
    <w:rsid w:val="1791130A"/>
    <w:rsid w:val="17A75B29"/>
    <w:rsid w:val="1B252495"/>
    <w:rsid w:val="1C4E77C9"/>
    <w:rsid w:val="1D94745E"/>
    <w:rsid w:val="1DFB203A"/>
    <w:rsid w:val="1F886F39"/>
    <w:rsid w:val="20855784"/>
    <w:rsid w:val="20F67D06"/>
    <w:rsid w:val="230B6414"/>
    <w:rsid w:val="231E31D9"/>
    <w:rsid w:val="232B7EAD"/>
    <w:rsid w:val="25E147DD"/>
    <w:rsid w:val="26263565"/>
    <w:rsid w:val="26A45FA2"/>
    <w:rsid w:val="26D45E0A"/>
    <w:rsid w:val="27541A0C"/>
    <w:rsid w:val="28C8445F"/>
    <w:rsid w:val="2B0F05EF"/>
    <w:rsid w:val="2D993765"/>
    <w:rsid w:val="2DB0534A"/>
    <w:rsid w:val="2E056B97"/>
    <w:rsid w:val="2E7D7A9A"/>
    <w:rsid w:val="32B151B4"/>
    <w:rsid w:val="32B75C71"/>
    <w:rsid w:val="32B8406E"/>
    <w:rsid w:val="354E6733"/>
    <w:rsid w:val="38A95BFB"/>
    <w:rsid w:val="39E62997"/>
    <w:rsid w:val="3BC5150D"/>
    <w:rsid w:val="3BE70C49"/>
    <w:rsid w:val="3DBF59D9"/>
    <w:rsid w:val="3E4E4FAF"/>
    <w:rsid w:val="3ECA46BF"/>
    <w:rsid w:val="3F281CA4"/>
    <w:rsid w:val="3F593C0C"/>
    <w:rsid w:val="40662A84"/>
    <w:rsid w:val="412264C9"/>
    <w:rsid w:val="41567DB4"/>
    <w:rsid w:val="43140575"/>
    <w:rsid w:val="43B81849"/>
    <w:rsid w:val="4567264F"/>
    <w:rsid w:val="458A4B1F"/>
    <w:rsid w:val="479559FD"/>
    <w:rsid w:val="496F4E7B"/>
    <w:rsid w:val="49B91E77"/>
    <w:rsid w:val="4B201A81"/>
    <w:rsid w:val="4B904E59"/>
    <w:rsid w:val="4D090A1F"/>
    <w:rsid w:val="4D6F123C"/>
    <w:rsid w:val="4EB27F29"/>
    <w:rsid w:val="544D65A2"/>
    <w:rsid w:val="54692F0C"/>
    <w:rsid w:val="555B1D1E"/>
    <w:rsid w:val="56471BB6"/>
    <w:rsid w:val="58405511"/>
    <w:rsid w:val="59214FB8"/>
    <w:rsid w:val="5947124D"/>
    <w:rsid w:val="59FE7432"/>
    <w:rsid w:val="5A9F7231"/>
    <w:rsid w:val="5CBB785C"/>
    <w:rsid w:val="5E40626B"/>
    <w:rsid w:val="5F1A64FC"/>
    <w:rsid w:val="5FF563F4"/>
    <w:rsid w:val="60FD48E7"/>
    <w:rsid w:val="61693D2A"/>
    <w:rsid w:val="61D94A0C"/>
    <w:rsid w:val="64207E8E"/>
    <w:rsid w:val="64DE2339"/>
    <w:rsid w:val="6603474E"/>
    <w:rsid w:val="66C537B1"/>
    <w:rsid w:val="67E61027"/>
    <w:rsid w:val="68FE2A9A"/>
    <w:rsid w:val="6CA83959"/>
    <w:rsid w:val="6E0F17B6"/>
    <w:rsid w:val="6E121639"/>
    <w:rsid w:val="6E7004A6"/>
    <w:rsid w:val="701A4EEB"/>
    <w:rsid w:val="71ED1E0E"/>
    <w:rsid w:val="7210549A"/>
    <w:rsid w:val="736B4D6C"/>
    <w:rsid w:val="73D9089C"/>
    <w:rsid w:val="75CB350C"/>
    <w:rsid w:val="768C42EB"/>
    <w:rsid w:val="77C6273F"/>
    <w:rsid w:val="78520C1D"/>
    <w:rsid w:val="78B76D4D"/>
    <w:rsid w:val="79E46056"/>
    <w:rsid w:val="7B782C5E"/>
    <w:rsid w:val="7EAA7EA4"/>
    <w:rsid w:val="7F8C7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7D361FD"/>
  <w15:docId w15:val="{BFDFD5F1-F31F-40BF-AD91-1964EDCD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jc w:val="both"/>
    </w:pPr>
    <w:rPr>
      <w:rFonts w:ascii="Calibri" w:hAnsi="Calibri"/>
      <w:kern w:val="2"/>
      <w:sz w:val="21"/>
      <w:szCs w:val="22"/>
    </w:rPr>
  </w:style>
  <w:style w:type="paragraph" w:styleId="1">
    <w:name w:val="heading 1"/>
    <w:basedOn w:val="a"/>
    <w:next w:val="a"/>
    <w:link w:val="10"/>
    <w:uiPriority w:val="9"/>
    <w:qFormat/>
    <w:pPr>
      <w:keepNext/>
      <w:keepLines/>
      <w:spacing w:before="120" w:after="120" w:line="578" w:lineRule="auto"/>
      <w:outlineLvl w:val="0"/>
    </w:pPr>
    <w:rPr>
      <w:rFonts w:eastAsia="楷体_GB2312"/>
      <w:b/>
      <w:bCs/>
      <w:kern w:val="44"/>
      <w:sz w:val="36"/>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uiPriority w:val="9"/>
    <w:semiHidden/>
    <w:unhideWhenUsed/>
    <w:qFormat/>
    <w:pPr>
      <w:spacing w:beforeAutospacing="1"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semiHidden/>
    <w:unhideWhenUsed/>
    <w:qFormat/>
    <w:pPr>
      <w:widowControl/>
      <w:spacing w:before="100" w:beforeAutospacing="1" w:after="100" w:afterAutospacing="1" w:line="240" w:lineRule="auto"/>
      <w:jc w:val="left"/>
    </w:pPr>
    <w:rPr>
      <w:rFonts w:ascii="宋体" w:hAnsi="宋体" w:cs="宋体"/>
      <w:kern w:val="0"/>
      <w:sz w:val="24"/>
      <w:szCs w:val="24"/>
    </w:rPr>
  </w:style>
  <w:style w:type="paragraph" w:styleId="ac">
    <w:name w:val="annotation subject"/>
    <w:basedOn w:val="a3"/>
    <w:next w:val="a3"/>
    <w:link w:val="ad"/>
    <w:uiPriority w:val="99"/>
    <w:semiHidden/>
    <w:unhideWhenUsed/>
    <w:qFormat/>
    <w:rPr>
      <w:b/>
      <w:bCs/>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qFormat/>
    <w:rPr>
      <w:color w:val="0000FF" w:themeColor="hyperlink"/>
      <w:u w:val="single"/>
    </w:rPr>
  </w:style>
  <w:style w:type="character" w:styleId="af0">
    <w:name w:val="annotation reference"/>
    <w:basedOn w:val="a0"/>
    <w:uiPriority w:val="99"/>
    <w:semiHidden/>
    <w:unhideWhenUsed/>
    <w:qFormat/>
    <w:rPr>
      <w:sz w:val="21"/>
      <w:szCs w:val="21"/>
    </w:rPr>
  </w:style>
  <w:style w:type="character" w:customStyle="1" w:styleId="10">
    <w:name w:val="标题 1 字符"/>
    <w:basedOn w:val="a0"/>
    <w:link w:val="1"/>
    <w:uiPriority w:val="9"/>
    <w:qFormat/>
    <w:rPr>
      <w:rFonts w:eastAsia="楷体_GB2312"/>
      <w:b/>
      <w:bCs/>
      <w:kern w:val="44"/>
      <w:sz w:val="36"/>
      <w:szCs w:val="44"/>
    </w:rPr>
  </w:style>
  <w:style w:type="character" w:customStyle="1" w:styleId="20">
    <w:name w:val="标题 2 字符"/>
    <w:basedOn w:val="a0"/>
    <w:link w:val="2"/>
    <w:uiPriority w:val="9"/>
    <w:qFormat/>
    <w:rPr>
      <w:rFonts w:asciiTheme="majorHAnsi" w:eastAsiaTheme="majorEastAsia" w:hAnsiTheme="majorHAnsi" w:cstheme="majorBidi"/>
      <w:b/>
      <w:bCs/>
      <w:sz w:val="24"/>
      <w:szCs w:val="32"/>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fontstyle01">
    <w:name w:val="fontstyle01"/>
    <w:qFormat/>
    <w:rPr>
      <w:rFonts w:ascii="宋体" w:eastAsia="宋体" w:hAnsi="宋体" w:hint="eastAsia"/>
      <w:color w:val="000000"/>
      <w:sz w:val="24"/>
      <w:szCs w:val="24"/>
    </w:rPr>
  </w:style>
  <w:style w:type="character" w:customStyle="1" w:styleId="fontstyle21">
    <w:name w:val="fontstyle21"/>
    <w:qFormat/>
    <w:rPr>
      <w:rFonts w:ascii="Times New Roman" w:hAnsi="Times New Roman" w:cs="Times New Roman" w:hint="default"/>
      <w:color w:val="000000"/>
      <w:sz w:val="18"/>
      <w:szCs w:val="18"/>
    </w:rPr>
  </w:style>
  <w:style w:type="paragraph" w:styleId="af1">
    <w:name w:val="List Paragraph"/>
    <w:basedOn w:val="a"/>
    <w:uiPriority w:val="34"/>
    <w:qFormat/>
    <w:pPr>
      <w:ind w:firstLineChars="200" w:firstLine="420"/>
    </w:pPr>
  </w:style>
  <w:style w:type="character" w:customStyle="1" w:styleId="a6">
    <w:name w:val="批注框文本 字符"/>
    <w:basedOn w:val="a0"/>
    <w:link w:val="a5"/>
    <w:uiPriority w:val="99"/>
    <w:semiHidden/>
    <w:qFormat/>
    <w:rPr>
      <w:rFonts w:ascii="Calibri" w:eastAsia="宋体" w:hAnsi="Calibri" w:cs="Times New Roman"/>
      <w:sz w:val="18"/>
      <w:szCs w:val="18"/>
    </w:rPr>
  </w:style>
  <w:style w:type="character" w:customStyle="1" w:styleId="a4">
    <w:name w:val="批注文字 字符"/>
    <w:basedOn w:val="a0"/>
    <w:link w:val="a3"/>
    <w:uiPriority w:val="99"/>
    <w:semiHidden/>
    <w:qFormat/>
    <w:rPr>
      <w:rFonts w:ascii="Calibri" w:eastAsia="宋体" w:hAnsi="Calibri" w:cs="Times New Roman"/>
    </w:rPr>
  </w:style>
  <w:style w:type="character" w:customStyle="1" w:styleId="ad">
    <w:name w:val="批注主题 字符"/>
    <w:basedOn w:val="a4"/>
    <w:link w:val="ac"/>
    <w:uiPriority w:val="99"/>
    <w:semiHidden/>
    <w:qFormat/>
    <w:rPr>
      <w:rFonts w:ascii="Calibri" w:eastAsia="宋体" w:hAnsi="Calibri" w:cs="Times New Roman"/>
      <w:b/>
      <w:bCs/>
    </w:rPr>
  </w:style>
  <w:style w:type="paragraph" w:customStyle="1" w:styleId="ResumeAlignRight">
    <w:name w:val="Resume Align Right"/>
    <w:basedOn w:val="a"/>
    <w:qFormat/>
    <w:pPr>
      <w:widowControl/>
      <w:tabs>
        <w:tab w:val="right" w:pos="10080"/>
      </w:tabs>
      <w:spacing w:line="240" w:lineRule="auto"/>
      <w:jc w:val="left"/>
    </w:pPr>
    <w:rPr>
      <w:rFonts w:ascii="Times New Roman" w:eastAsiaTheme="minorEastAsia"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96118-6712-4651-9513-5B0C3A055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445</Words>
  <Characters>2537</Characters>
  <Application>Microsoft Office Word</Application>
  <DocSecurity>0</DocSecurity>
  <Lines>21</Lines>
  <Paragraphs>5</Paragraphs>
  <ScaleCrop>false</ScaleCrop>
  <Company>Microsoft</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两只复交Finance民工</dc:creator>
  <cp:lastModifiedBy>Author</cp:lastModifiedBy>
  <cp:revision>2</cp:revision>
  <cp:lastPrinted>2025-07-13T07:57:00Z</cp:lastPrinted>
  <dcterms:created xsi:type="dcterms:W3CDTF">2025-08-04T12:47:00Z</dcterms:created>
  <dcterms:modified xsi:type="dcterms:W3CDTF">2025-08-04T12:47:00Z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5EFC7BCCFC1B4979AA78F7B451692D15_13</vt:lpwstr>
  </property>
  <property fmtid="{D5CDD505-2E9C-101B-9397-08002B2CF9AE}" pid="4" name="KSOTemplateDocerSaveRecord">
    <vt:lpwstr>eyJoZGlkIjoiYmExNzRkZDRlMTIxNTVhODM4Yjk1NDRlZjY3OTNkZDciLCJ1c2VySWQiOiI2NTQ4OTMxMTEifQ==</vt:lpwstr>
  </property>
</Properties>
</file>