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NGÂN HÀNG</w:t>
      </w:r>
    </w:p>
    <w:p>
      <w:pPr>
        <w:jc w:val="center"/>
      </w:pPr>
      <w:r>
        <w:rPr>
          <w:b/>
          <w:sz w:val="28"/>
        </w:rPr>
        <w:t>KHOA HỆ THỐNG THÔNG TIN QUẢN LÝ</w:t>
      </w:r>
    </w:p>
    <w:p>
      <w:pPr>
        <w:jc w:val="center"/>
      </w:pPr>
      <w:r>
        <w:rPr>
          <w:b/>
        </w:rPr>
        <w:t>----------***----------</w:t>
      </w:r>
    </w:p>
    <w:p/>
    <w:p/>
    <w:p/>
    <w:p/>
    <w:p/>
    <w:p/>
    <w:p>
      <w:pPr>
        <w:jc w:val="center"/>
      </w:pPr>
      <w:r>
        <w:rPr>
          <w:b/>
          <w:color w:val="1F4E79"/>
          <w:sz w:val="40"/>
        </w:rPr>
        <w:t>BÁO CÁO THỰC NGHIỆM</w:t>
      </w:r>
    </w:p>
    <w:p>
      <w:pPr>
        <w:jc w:val="center"/>
      </w:pPr>
      <w:r>
        <w:rPr>
          <w:b/>
          <w:sz w:val="32"/>
        </w:rPr>
        <w:t>HỆ THỐNG ĐIỂM DANH SINH VIÊN DỰA TRÊN NHẬN DIỆN KHUÔN MẶT</w:t>
      </w:r>
    </w:p>
    <w:p>
      <w:pPr>
        <w:jc w:val="center"/>
      </w:pPr>
      <w:r>
        <w:rPr>
          <w:i/>
          <w:sz w:val="26"/>
        </w:rPr>
        <w:t>Đối chiếu 5 kịch bản: fine-tune, pretrained, synthetic scale, unknown rejection và gallery enrichment</w:t>
      </w:r>
    </w:p>
    <w:p/>
    <w:p/>
    <w:p/>
    <w:p/>
    <w:p/>
    <w:p/>
    <w:p/>
    <w:p/>
    <w:p>
      <w:pPr>
        <w:ind w:left="2551"/>
        <w:jc w:val="left"/>
      </w:pPr>
      <w:r>
        <w:rPr>
          <w:sz w:val="24"/>
        </w:rPr>
        <w:t>Dự án: AI Event Face Attendance</w:t>
        <w:br/>
      </w:r>
      <w:r>
        <w:rPr>
          <w:sz w:val="24"/>
        </w:rPr>
        <w:t>Backbone chính: InsightFace ArcFace buffalo_l</w:t>
        <w:br/>
      </w:r>
      <w:r>
        <w:rPr>
          <w:sz w:val="24"/>
        </w:rPr>
        <w:t>Bộ dữ liệu thật: 39 sinh viên</w:t>
        <w:br/>
      </w:r>
      <w:r>
        <w:rPr>
          <w:sz w:val="24"/>
        </w:rPr>
        <w:t>Ngày xuất báo cáo: 09/06/2026 23:46</w:t>
        <w:br/>
      </w:r>
    </w:p>
    <w:p>
      <w:r>
        <w:br w:type="page"/>
      </w:r>
    </w:p>
    <w:p>
      <w:pPr>
        <w:pStyle w:val="Heading1"/>
      </w:pPr>
      <w:r>
        <w:t>1. Tổng quan dự án</w:t>
      </w:r>
    </w:p>
    <w:p>
      <w:pPr>
        <w:spacing w:after="120" w:line="276" w:lineRule="auto"/>
      </w:pPr>
      <w:r>
        <w:t>Báo cáo này tổng hợp kết quả thực nghiệm theo kịch bản 5 case cho hệ thống điểm danh sinh viên dựa trên nhận diện khuôn mặt. Mục tiêu là đánh giá backbone, classifier head, khả năng mở rộng, phát hiện người lạ và cơ chế tự làm giàu gallery sau mỗi sự kiện.</w:t>
      </w:r>
    </w:p>
    <w:p>
      <w:pPr>
        <w:pStyle w:val="ListBullet"/>
        <w:spacing w:after="60"/>
      </w:pPr>
      <w:r>
        <w:t>Backend: FastAPI, WebSocket live, InsightFace/ArcFace pipeline, FAISS index, SVM classifier.</w:t>
      </w:r>
    </w:p>
    <w:p>
      <w:pPr>
        <w:pStyle w:val="ListBullet"/>
        <w:spacing w:after="60"/>
      </w:pPr>
      <w:r>
        <w:t>Frontend: React + Vite cho dashboard, đăng ký khuôn mặt, live camera, lịch sử và sự kiện.</w:t>
      </w:r>
    </w:p>
    <w:p>
      <w:pPr>
        <w:pStyle w:val="ListBullet"/>
        <w:spacing w:after="60"/>
      </w:pPr>
      <w:r>
        <w:t>Database: PostgreSQL schema cho users, events, face_embeddings và attendance_logs.</w:t>
      </w:r>
    </w:p>
    <w:p>
      <w:pPr>
        <w:pStyle w:val="ListBullet"/>
        <w:spacing w:after="60"/>
      </w:pPr>
      <w:r>
        <w:t>Dữ liệu thật: 39 ảnh enroll, 39 sinh viên real, 189 file real.</w:t>
      </w:r>
    </w:p>
    <w:p>
      <w:pPr>
        <w:pStyle w:val="ListBullet"/>
        <w:spacing w:after="60"/>
      </w:pPr>
      <w:r>
        <w:t>Dữ liệu synthetic: 16000 sinh viên, dùng benchmark khả năng mở rộng.</w:t>
      </w:r>
    </w:p>
    <w:p>
      <w:pPr>
        <w:pStyle w:val="Heading1"/>
      </w:pPr>
      <w:r>
        <w:t>2. Trạng thái hoàn thành theo kịch bản</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680"/>
            <w:shd w:fill="1F4E79"/>
            <w:tcMar>
              <w:top w:w="80" w:type="dxa"/>
              <w:bottom w:w="80" w:type="dxa"/>
              <w:left w:w="100" w:type="dxa"/>
              <w:right w:w="100" w:type="dxa"/>
            </w:tcMar>
            <w:vAlign w:val="center"/>
          </w:tcPr>
          <w:p>
            <w:pPr>
              <w:jc w:val="center"/>
            </w:pPr>
            <w:r>
              <w:rPr>
                <w:b/>
                <w:color w:val="FFFFFF"/>
                <w:sz w:val="20"/>
              </w:rPr>
              <w:t>Case</w:t>
            </w:r>
          </w:p>
        </w:tc>
        <w:tc>
          <w:tcPr>
            <w:tcW w:type="dxa" w:w="2835"/>
            <w:shd w:fill="1F4E79"/>
            <w:tcMar>
              <w:top w:w="80" w:type="dxa"/>
              <w:bottom w:w="80" w:type="dxa"/>
              <w:left w:w="100" w:type="dxa"/>
              <w:right w:w="100" w:type="dxa"/>
            </w:tcMar>
            <w:vAlign w:val="center"/>
          </w:tcPr>
          <w:p>
            <w:pPr>
              <w:jc w:val="center"/>
            </w:pPr>
            <w:r>
              <w:rPr>
                <w:b/>
                <w:color w:val="FFFFFF"/>
                <w:sz w:val="20"/>
              </w:rPr>
              <w:t>Nội dung</w:t>
            </w:r>
          </w:p>
        </w:tc>
        <w:tc>
          <w:tcPr>
            <w:tcW w:type="dxa" w:w="2268"/>
            <w:shd w:fill="1F4E79"/>
            <w:tcMar>
              <w:top w:w="80" w:type="dxa"/>
              <w:bottom w:w="80" w:type="dxa"/>
              <w:left w:w="100" w:type="dxa"/>
              <w:right w:w="100" w:type="dxa"/>
            </w:tcMar>
            <w:vAlign w:val="center"/>
          </w:tcPr>
          <w:p>
            <w:pPr>
              <w:jc w:val="center"/>
            </w:pPr>
            <w:r>
              <w:rPr>
                <w:b/>
                <w:color w:val="FFFFFF"/>
                <w:sz w:val="20"/>
              </w:rPr>
              <w:t>Trạng thái</w:t>
            </w:r>
          </w:p>
        </w:tc>
        <w:tc>
          <w:tcPr>
            <w:tcW w:type="dxa" w:w="3969"/>
            <w:shd w:fill="1F4E79"/>
            <w:tcMar>
              <w:top w:w="80" w:type="dxa"/>
              <w:bottom w:w="80" w:type="dxa"/>
              <w:left w:w="100" w:type="dxa"/>
              <w:right w:w="100" w:type="dxa"/>
            </w:tcMar>
            <w:vAlign w:val="center"/>
          </w:tcPr>
          <w:p>
            <w:pPr>
              <w:jc w:val="center"/>
            </w:pPr>
            <w:r>
              <w:rPr>
                <w:b/>
                <w:color w:val="FFFFFF"/>
                <w:sz w:val="20"/>
              </w:rPr>
              <w:t>Đánh giá</w:t>
            </w:r>
          </w:p>
        </w:tc>
      </w:tr>
      <w:tr>
        <w:tc>
          <w:tcPr>
            <w:tcW w:type="dxa" w:w="680"/>
            <w:tcMar>
              <w:top w:w="80" w:type="dxa"/>
              <w:bottom w:w="80" w:type="dxa"/>
              <w:left w:w="100" w:type="dxa"/>
              <w:right w:w="100" w:type="dxa"/>
            </w:tcMar>
            <w:vAlign w:val="center"/>
          </w:tcPr>
          <w:p>
            <w:pPr>
              <w:jc w:val="center"/>
            </w:pPr>
            <w:r>
              <w:rPr>
                <w:sz w:val="20"/>
              </w:rPr>
              <w:t>1</w:t>
            </w:r>
          </w:p>
        </w:tc>
        <w:tc>
          <w:tcPr>
            <w:tcW w:type="dxa" w:w="2835"/>
            <w:tcMar>
              <w:top w:w="80" w:type="dxa"/>
              <w:bottom w:w="80" w:type="dxa"/>
              <w:left w:w="100" w:type="dxa"/>
              <w:right w:w="100" w:type="dxa"/>
            </w:tcMar>
            <w:vAlign w:val="center"/>
          </w:tcPr>
          <w:p>
            <w:pPr>
              <w:jc w:val="left"/>
            </w:pPr>
            <w:r>
              <w:rPr>
                <w:sz w:val="20"/>
              </w:rPr>
              <w:t>Fine-tune ResNet-18 trên 39 SV thật</w:t>
            </w:r>
          </w:p>
        </w:tc>
        <w:tc>
          <w:tcPr>
            <w:tcW w:type="dxa" w:w="2268"/>
            <w:tcMar>
              <w:top w:w="80" w:type="dxa"/>
              <w:bottom w:w="80" w:type="dxa"/>
              <w:left w:w="100" w:type="dxa"/>
              <w:right w:w="100" w:type="dxa"/>
            </w:tcMar>
            <w:vAlign w:val="center"/>
          </w:tcPr>
          <w:p>
            <w:pPr>
              <w:jc w:val="center"/>
            </w:pPr>
            <w:r>
              <w:rPr>
                <w:sz w:val="20"/>
              </w:rPr>
              <w:t>Đã có số liệu</w:t>
            </w:r>
          </w:p>
        </w:tc>
        <w:tc>
          <w:tcPr>
            <w:tcW w:type="dxa" w:w="3969"/>
            <w:tcMar>
              <w:top w:w="80" w:type="dxa"/>
              <w:bottom w:w="80" w:type="dxa"/>
              <w:left w:w="100" w:type="dxa"/>
              <w:right w:w="100" w:type="dxa"/>
            </w:tcMar>
            <w:vAlign w:val="center"/>
          </w:tcPr>
          <w:p>
            <w:pPr>
              <w:jc w:val="center"/>
            </w:pPr>
            <w:r>
              <w:rPr>
                <w:sz w:val="20"/>
              </w:rPr>
              <w:t>Có ý nghĩa để chứng minh setup fine-tune hiện tại kém cross-domain.</w:t>
            </w:r>
          </w:p>
        </w:tc>
      </w:tr>
      <w:tr>
        <w:tc>
          <w:tcPr>
            <w:tcW w:type="dxa" w:w="680"/>
            <w:tcMar>
              <w:top w:w="80" w:type="dxa"/>
              <w:bottom w:w="80" w:type="dxa"/>
              <w:left w:w="100" w:type="dxa"/>
              <w:right w:w="100" w:type="dxa"/>
            </w:tcMar>
            <w:vAlign w:val="center"/>
          </w:tcPr>
          <w:p>
            <w:pPr>
              <w:jc w:val="center"/>
            </w:pPr>
            <w:r>
              <w:rPr>
                <w:sz w:val="20"/>
              </w:rPr>
              <w:t>2</w:t>
            </w:r>
          </w:p>
        </w:tc>
        <w:tc>
          <w:tcPr>
            <w:tcW w:type="dxa" w:w="2835"/>
            <w:tcMar>
              <w:top w:w="80" w:type="dxa"/>
              <w:bottom w:w="80" w:type="dxa"/>
              <w:left w:w="100" w:type="dxa"/>
              <w:right w:w="100" w:type="dxa"/>
            </w:tcMar>
            <w:vAlign w:val="center"/>
          </w:tcPr>
          <w:p>
            <w:pPr>
              <w:jc w:val="left"/>
            </w:pPr>
            <w:r>
              <w:rPr>
                <w:sz w:val="20"/>
              </w:rPr>
              <w:t>ArcFace pretrained trên 39 SV thật</w:t>
            </w:r>
          </w:p>
        </w:tc>
        <w:tc>
          <w:tcPr>
            <w:tcW w:type="dxa" w:w="2268"/>
            <w:tcMar>
              <w:top w:w="80" w:type="dxa"/>
              <w:bottom w:w="80" w:type="dxa"/>
              <w:left w:w="100" w:type="dxa"/>
              <w:right w:w="100" w:type="dxa"/>
            </w:tcMar>
            <w:vAlign w:val="center"/>
          </w:tcPr>
          <w:p>
            <w:pPr>
              <w:jc w:val="center"/>
            </w:pPr>
            <w:r>
              <w:rPr>
                <w:sz w:val="20"/>
              </w:rPr>
              <w:t>Đã có đủ 4 head</w:t>
            </w:r>
          </w:p>
        </w:tc>
        <w:tc>
          <w:tcPr>
            <w:tcW w:type="dxa" w:w="3969"/>
            <w:tcMar>
              <w:top w:w="80" w:type="dxa"/>
              <w:bottom w:w="80" w:type="dxa"/>
              <w:left w:w="100" w:type="dxa"/>
              <w:right w:w="100" w:type="dxa"/>
            </w:tcMar>
            <w:vAlign w:val="center"/>
          </w:tcPr>
          <w:p>
            <w:pPr>
              <w:jc w:val="center"/>
            </w:pPr>
            <w:r>
              <w:rPr>
                <w:sz w:val="20"/>
              </w:rPr>
              <w:t>Có ý nghĩa nhất cho known recognition, nhưng bị ceiling effect 100%.</w:t>
            </w:r>
          </w:p>
        </w:tc>
      </w:tr>
      <w:tr>
        <w:tc>
          <w:tcPr>
            <w:tcW w:type="dxa" w:w="680"/>
            <w:tcMar>
              <w:top w:w="80" w:type="dxa"/>
              <w:bottom w:w="80" w:type="dxa"/>
              <w:left w:w="100" w:type="dxa"/>
              <w:right w:w="100" w:type="dxa"/>
            </w:tcMar>
            <w:vAlign w:val="center"/>
          </w:tcPr>
          <w:p>
            <w:pPr>
              <w:jc w:val="center"/>
            </w:pPr>
            <w:r>
              <w:rPr>
                <w:sz w:val="20"/>
              </w:rPr>
              <w:t>3</w:t>
            </w:r>
          </w:p>
        </w:tc>
        <w:tc>
          <w:tcPr>
            <w:tcW w:type="dxa" w:w="2835"/>
            <w:tcMar>
              <w:top w:w="80" w:type="dxa"/>
              <w:bottom w:w="80" w:type="dxa"/>
              <w:left w:w="100" w:type="dxa"/>
              <w:right w:w="100" w:type="dxa"/>
            </w:tcMar>
            <w:vAlign w:val="center"/>
          </w:tcPr>
          <w:p>
            <w:pPr>
              <w:jc w:val="left"/>
            </w:pPr>
            <w:r>
              <w:rPr>
                <w:sz w:val="20"/>
              </w:rPr>
              <w:t>Synthetic 16.000 embeddings</w:t>
            </w:r>
          </w:p>
        </w:tc>
        <w:tc>
          <w:tcPr>
            <w:tcW w:type="dxa" w:w="2268"/>
            <w:tcMar>
              <w:top w:w="80" w:type="dxa"/>
              <w:bottom w:w="80" w:type="dxa"/>
              <w:left w:w="100" w:type="dxa"/>
              <w:right w:w="100" w:type="dxa"/>
            </w:tcMar>
            <w:vAlign w:val="center"/>
          </w:tcPr>
          <w:p>
            <w:pPr>
              <w:jc w:val="center"/>
            </w:pPr>
            <w:r>
              <w:rPr>
                <w:sz w:val="20"/>
              </w:rPr>
              <w:t>Đã benchmark scale</w:t>
            </w:r>
          </w:p>
        </w:tc>
        <w:tc>
          <w:tcPr>
            <w:tcW w:type="dxa" w:w="3969"/>
            <w:tcMar>
              <w:top w:w="80" w:type="dxa"/>
              <w:bottom w:w="80" w:type="dxa"/>
              <w:left w:w="100" w:type="dxa"/>
              <w:right w:w="100" w:type="dxa"/>
            </w:tcMar>
            <w:vAlign w:val="center"/>
          </w:tcPr>
          <w:p>
            <w:pPr>
              <w:jc w:val="center"/>
            </w:pPr>
            <w:r>
              <w:rPr>
                <w:sz w:val="20"/>
              </w:rPr>
              <w:t>Có ý nghĩa benchmark, nhưng chưa chứng minh HNSW tốt hơn ở 16k.</w:t>
            </w:r>
          </w:p>
        </w:tc>
      </w:tr>
      <w:tr>
        <w:tc>
          <w:tcPr>
            <w:tcW w:type="dxa" w:w="680"/>
            <w:tcMar>
              <w:top w:w="80" w:type="dxa"/>
              <w:bottom w:w="80" w:type="dxa"/>
              <w:left w:w="100" w:type="dxa"/>
              <w:right w:w="100" w:type="dxa"/>
            </w:tcMar>
            <w:vAlign w:val="center"/>
          </w:tcPr>
          <w:p>
            <w:pPr>
              <w:jc w:val="center"/>
            </w:pPr>
            <w:r>
              <w:rPr>
                <w:sz w:val="20"/>
              </w:rPr>
              <w:t>4</w:t>
            </w:r>
          </w:p>
        </w:tc>
        <w:tc>
          <w:tcPr>
            <w:tcW w:type="dxa" w:w="2835"/>
            <w:tcMar>
              <w:top w:w="80" w:type="dxa"/>
              <w:bottom w:w="80" w:type="dxa"/>
              <w:left w:w="100" w:type="dxa"/>
              <w:right w:w="100" w:type="dxa"/>
            </w:tcMar>
            <w:vAlign w:val="center"/>
          </w:tcPr>
          <w:p>
            <w:pPr>
              <w:jc w:val="left"/>
            </w:pPr>
            <w:r>
              <w:rPr>
                <w:sz w:val="20"/>
              </w:rPr>
              <w:t>Unknown rejection với người lạ</w:t>
            </w:r>
          </w:p>
        </w:tc>
        <w:tc>
          <w:tcPr>
            <w:tcW w:type="dxa" w:w="2268"/>
            <w:tcMar>
              <w:top w:w="80" w:type="dxa"/>
              <w:bottom w:w="80" w:type="dxa"/>
              <w:left w:w="100" w:type="dxa"/>
              <w:right w:w="100" w:type="dxa"/>
            </w:tcMar>
            <w:vAlign w:val="center"/>
          </w:tcPr>
          <w:p>
            <w:pPr>
              <w:jc w:val="center"/>
            </w:pPr>
            <w:r>
              <w:rPr>
                <w:sz w:val="20"/>
              </w:rPr>
              <w:t>Thiếu dữ liệu người lạ thật</w:t>
            </w:r>
          </w:p>
        </w:tc>
        <w:tc>
          <w:tcPr>
            <w:tcW w:type="dxa" w:w="3969"/>
            <w:tcMar>
              <w:top w:w="80" w:type="dxa"/>
              <w:bottom w:w="80" w:type="dxa"/>
              <w:left w:w="100" w:type="dxa"/>
              <w:right w:w="100" w:type="dxa"/>
            </w:tcMar>
            <w:vAlign w:val="center"/>
          </w:tcPr>
          <w:p>
            <w:pPr>
              <w:jc w:val="center"/>
            </w:pPr>
            <w:r>
              <w:rPr>
                <w:sz w:val="20"/>
              </w:rPr>
              <w:t>Chỉ có ý nghĩa kiểm tra pipeline, chưa đủ bằng chứng khoa học.</w:t>
            </w:r>
          </w:p>
        </w:tc>
      </w:tr>
      <w:tr>
        <w:tc>
          <w:tcPr>
            <w:tcW w:type="dxa" w:w="680"/>
            <w:tcMar>
              <w:top w:w="80" w:type="dxa"/>
              <w:bottom w:w="80" w:type="dxa"/>
              <w:left w:w="100" w:type="dxa"/>
              <w:right w:w="100" w:type="dxa"/>
            </w:tcMar>
            <w:vAlign w:val="center"/>
          </w:tcPr>
          <w:p>
            <w:pPr>
              <w:jc w:val="center"/>
            </w:pPr>
            <w:r>
              <w:rPr>
                <w:sz w:val="20"/>
              </w:rPr>
              <w:t>5</w:t>
            </w:r>
          </w:p>
        </w:tc>
        <w:tc>
          <w:tcPr>
            <w:tcW w:type="dxa" w:w="2835"/>
            <w:tcMar>
              <w:top w:w="80" w:type="dxa"/>
              <w:bottom w:w="80" w:type="dxa"/>
              <w:left w:w="100" w:type="dxa"/>
              <w:right w:w="100" w:type="dxa"/>
            </w:tcMar>
            <w:vAlign w:val="center"/>
          </w:tcPr>
          <w:p>
            <w:pPr>
              <w:jc w:val="left"/>
            </w:pPr>
            <w:r>
              <w:rPr>
                <w:sz w:val="20"/>
              </w:rPr>
              <w:t>Progressive Gallery Enrichment</w:t>
            </w:r>
          </w:p>
        </w:tc>
        <w:tc>
          <w:tcPr>
            <w:tcW w:type="dxa" w:w="2268"/>
            <w:tcMar>
              <w:top w:w="80" w:type="dxa"/>
              <w:bottom w:w="80" w:type="dxa"/>
              <w:left w:w="100" w:type="dxa"/>
              <w:right w:w="100" w:type="dxa"/>
            </w:tcMar>
            <w:vAlign w:val="center"/>
          </w:tcPr>
          <w:p>
            <w:pPr>
              <w:jc w:val="center"/>
            </w:pPr>
            <w:r>
              <w:rPr>
                <w:sz w:val="20"/>
              </w:rPr>
              <w:t>Đã mô phỏng và thêm runtime logic</w:t>
            </w:r>
          </w:p>
        </w:tc>
        <w:tc>
          <w:tcPr>
            <w:tcW w:type="dxa" w:w="3969"/>
            <w:tcMar>
              <w:top w:w="80" w:type="dxa"/>
              <w:bottom w:w="80" w:type="dxa"/>
              <w:left w:w="100" w:type="dxa"/>
              <w:right w:w="100" w:type="dxa"/>
            </w:tcMar>
            <w:vAlign w:val="center"/>
          </w:tcPr>
          <w:p>
            <w:pPr>
              <w:jc w:val="center"/>
            </w:pPr>
            <w:r>
              <w:rPr>
                <w:sz w:val="20"/>
              </w:rPr>
              <w:t>Có ý nghĩa vì similarity tăng rõ, cần trình bày là mô phỏng ban đầu.</w:t>
            </w:r>
          </w:p>
        </w:tc>
      </w:tr>
    </w:tbl>
    <w:p/>
    <w:p>
      <w:pPr>
        <w:pStyle w:val="Heading1"/>
      </w:pPr>
      <w:r>
        <w:t>3. Case 1 - Fine-tune ResNet-18</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Cosine Similarity</w:t>
            </w:r>
          </w:p>
        </w:tc>
        <w:tc>
          <w:tcPr>
            <w:tcW w:type="dxa" w:w="1045"/>
            <w:tcMar>
              <w:top w:w="80" w:type="dxa"/>
              <w:bottom w:w="80" w:type="dxa"/>
              <w:left w:w="100" w:type="dxa"/>
              <w:right w:w="100" w:type="dxa"/>
            </w:tcMar>
            <w:vAlign w:val="center"/>
          </w:tcPr>
          <w:p>
            <w:pPr>
              <w:jc w:val="center"/>
            </w:pPr>
            <w:r>
              <w:rPr>
                <w:sz w:val="20"/>
              </w:rPr>
              <w:t>50.00%</w:t>
            </w:r>
          </w:p>
        </w:tc>
        <w:tc>
          <w:tcPr>
            <w:tcW w:type="dxa" w:w="1045"/>
            <w:tcMar>
              <w:top w:w="80" w:type="dxa"/>
              <w:bottom w:w="80" w:type="dxa"/>
              <w:left w:w="100" w:type="dxa"/>
              <w:right w:w="100" w:type="dxa"/>
            </w:tcMar>
            <w:vAlign w:val="center"/>
          </w:tcPr>
          <w:p>
            <w:pPr>
              <w:jc w:val="center"/>
            </w:pPr>
            <w:r>
              <w:rPr>
                <w:sz w:val="20"/>
              </w:rPr>
              <w:t>42.16%</w:t>
            </w:r>
          </w:p>
        </w:tc>
        <w:tc>
          <w:tcPr>
            <w:tcW w:type="dxa" w:w="1045"/>
            <w:tcMar>
              <w:top w:w="80" w:type="dxa"/>
              <w:bottom w:w="80" w:type="dxa"/>
              <w:left w:w="100" w:type="dxa"/>
              <w:right w:w="100" w:type="dxa"/>
            </w:tcMar>
            <w:vAlign w:val="center"/>
          </w:tcPr>
          <w:p>
            <w:pPr>
              <w:jc w:val="center"/>
            </w:pPr>
            <w:r>
              <w:rPr>
                <w:sz w:val="20"/>
              </w:rPr>
              <w:t>50.00%</w:t>
            </w:r>
          </w:p>
        </w:tc>
        <w:tc>
          <w:tcPr>
            <w:tcW w:type="dxa" w:w="1045"/>
            <w:tcMar>
              <w:top w:w="80" w:type="dxa"/>
              <w:bottom w:w="80" w:type="dxa"/>
              <w:left w:w="100" w:type="dxa"/>
              <w:right w:w="100" w:type="dxa"/>
            </w:tcMar>
            <w:vAlign w:val="center"/>
          </w:tcPr>
          <w:p>
            <w:pPr>
              <w:jc w:val="center"/>
            </w:pPr>
            <w:r>
              <w:rPr>
                <w:sz w:val="20"/>
              </w:rPr>
              <w:t>44.51%</w:t>
            </w:r>
          </w:p>
        </w:tc>
        <w:tc>
          <w:tcPr>
            <w:tcW w:type="dxa" w:w="1045"/>
            <w:tcMar>
              <w:top w:w="80" w:type="dxa"/>
              <w:bottom w:w="80" w:type="dxa"/>
              <w:left w:w="100" w:type="dxa"/>
              <w:right w:w="100" w:type="dxa"/>
            </w:tcMar>
            <w:vAlign w:val="center"/>
          </w:tcPr>
          <w:p>
            <w:pPr>
              <w:jc w:val="center"/>
            </w:pPr>
            <w:r>
              <w:rPr>
                <w:sz w:val="20"/>
              </w:rPr>
              <w:t>0.5804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0.0039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50.00%</w:t>
            </w:r>
          </w:p>
        </w:tc>
        <w:tc>
          <w:tcPr>
            <w:tcW w:type="dxa" w:w="1045"/>
            <w:tcMar>
              <w:top w:w="80" w:type="dxa"/>
              <w:bottom w:w="80" w:type="dxa"/>
              <w:left w:w="100" w:type="dxa"/>
              <w:right w:w="100" w:type="dxa"/>
            </w:tcMar>
            <w:vAlign w:val="center"/>
          </w:tcPr>
          <w:p>
            <w:pPr>
              <w:jc w:val="center"/>
            </w:pPr>
            <w:r>
              <w:rPr>
                <w:sz w:val="20"/>
              </w:rPr>
              <w:t>42.16%</w:t>
            </w:r>
          </w:p>
        </w:tc>
        <w:tc>
          <w:tcPr>
            <w:tcW w:type="dxa" w:w="1045"/>
            <w:tcMar>
              <w:top w:w="80" w:type="dxa"/>
              <w:bottom w:w="80" w:type="dxa"/>
              <w:left w:w="100" w:type="dxa"/>
              <w:right w:w="100" w:type="dxa"/>
            </w:tcMar>
            <w:vAlign w:val="center"/>
          </w:tcPr>
          <w:p>
            <w:pPr>
              <w:jc w:val="center"/>
            </w:pPr>
            <w:r>
              <w:rPr>
                <w:sz w:val="20"/>
              </w:rPr>
              <w:t>50.00%</w:t>
            </w:r>
          </w:p>
        </w:tc>
        <w:tc>
          <w:tcPr>
            <w:tcW w:type="dxa" w:w="1045"/>
            <w:tcMar>
              <w:top w:w="80" w:type="dxa"/>
              <w:bottom w:w="80" w:type="dxa"/>
              <w:left w:w="100" w:type="dxa"/>
              <w:right w:w="100" w:type="dxa"/>
            </w:tcMar>
            <w:vAlign w:val="center"/>
          </w:tcPr>
          <w:p>
            <w:pPr>
              <w:jc w:val="center"/>
            </w:pPr>
            <w:r>
              <w:rPr>
                <w:sz w:val="20"/>
              </w:rPr>
              <w:t>44.51%</w:t>
            </w:r>
          </w:p>
        </w:tc>
        <w:tc>
          <w:tcPr>
            <w:tcW w:type="dxa" w:w="1045"/>
            <w:tcMar>
              <w:top w:w="80" w:type="dxa"/>
              <w:bottom w:w="80" w:type="dxa"/>
              <w:left w:w="100" w:type="dxa"/>
              <w:right w:w="100" w:type="dxa"/>
            </w:tcMar>
            <w:vAlign w:val="center"/>
          </w:tcPr>
          <w:p>
            <w:pPr>
              <w:jc w:val="center"/>
            </w:pPr>
            <w:r>
              <w:rPr>
                <w:sz w:val="20"/>
              </w:rPr>
              <w:t>0.5804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0.0133 ms</w:t>
            </w:r>
          </w:p>
        </w:tc>
      </w:tr>
      <w:tr>
        <w:tc>
          <w:tcPr>
            <w:tcW w:type="dxa" w:w="1045"/>
            <w:tcMar>
              <w:top w:w="80" w:type="dxa"/>
              <w:bottom w:w="80" w:type="dxa"/>
              <w:left w:w="100" w:type="dxa"/>
              <w:right w:w="100" w:type="dxa"/>
            </w:tcMar>
            <w:vAlign w:val="center"/>
          </w:tcPr>
          <w:p>
            <w:pPr>
              <w:jc w:val="center"/>
            </w:pPr>
            <w:r>
              <w:rPr>
                <w:sz w:val="20"/>
              </w:rPr>
              <w:t>3</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50.57%</w:t>
            </w:r>
          </w:p>
        </w:tc>
        <w:tc>
          <w:tcPr>
            <w:tcW w:type="dxa" w:w="1045"/>
            <w:tcMar>
              <w:top w:w="80" w:type="dxa"/>
              <w:bottom w:w="80" w:type="dxa"/>
              <w:left w:w="100" w:type="dxa"/>
              <w:right w:w="100" w:type="dxa"/>
            </w:tcMar>
            <w:vAlign w:val="center"/>
          </w:tcPr>
          <w:p>
            <w:pPr>
              <w:jc w:val="center"/>
            </w:pPr>
            <w:r>
              <w:rPr>
                <w:sz w:val="20"/>
              </w:rPr>
              <w:t>42.75%</w:t>
            </w:r>
          </w:p>
        </w:tc>
        <w:tc>
          <w:tcPr>
            <w:tcW w:type="dxa" w:w="1045"/>
            <w:tcMar>
              <w:top w:w="80" w:type="dxa"/>
              <w:bottom w:w="80" w:type="dxa"/>
              <w:left w:w="100" w:type="dxa"/>
              <w:right w:w="100" w:type="dxa"/>
            </w:tcMar>
            <w:vAlign w:val="center"/>
          </w:tcPr>
          <w:p>
            <w:pPr>
              <w:jc w:val="center"/>
            </w:pPr>
            <w:r>
              <w:rPr>
                <w:sz w:val="20"/>
              </w:rPr>
              <w:t>50.57%</w:t>
            </w:r>
          </w:p>
        </w:tc>
        <w:tc>
          <w:tcPr>
            <w:tcW w:type="dxa" w:w="1045"/>
            <w:tcMar>
              <w:top w:w="80" w:type="dxa"/>
              <w:bottom w:w="80" w:type="dxa"/>
              <w:left w:w="100" w:type="dxa"/>
              <w:right w:w="100" w:type="dxa"/>
            </w:tcMar>
            <w:vAlign w:val="center"/>
          </w:tcPr>
          <w:p>
            <w:pPr>
              <w:jc w:val="center"/>
            </w:pPr>
            <w:r>
              <w:rPr>
                <w:sz w:val="20"/>
              </w:rPr>
              <w:t>45.16%</w:t>
            </w:r>
          </w:p>
        </w:tc>
        <w:tc>
          <w:tcPr>
            <w:tcW w:type="dxa" w:w="1045"/>
            <w:tcMar>
              <w:top w:w="80" w:type="dxa"/>
              <w:bottom w:w="80" w:type="dxa"/>
              <w:left w:w="100" w:type="dxa"/>
              <w:right w:w="100" w:type="dxa"/>
            </w:tcMar>
            <w:vAlign w:val="center"/>
          </w:tcPr>
          <w:p>
            <w:pPr>
              <w:jc w:val="center"/>
            </w:pPr>
            <w:r>
              <w:rPr>
                <w:sz w:val="20"/>
              </w:rPr>
              <w:t>0.5804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0.0040 ms</w:t>
            </w:r>
          </w:p>
        </w:tc>
      </w:tr>
      <w:tr>
        <w:tc>
          <w:tcPr>
            <w:tcW w:type="dxa" w:w="1045"/>
            <w:tcMar>
              <w:top w:w="80" w:type="dxa"/>
              <w:bottom w:w="80" w:type="dxa"/>
              <w:left w:w="100" w:type="dxa"/>
              <w:right w:w="100" w:type="dxa"/>
            </w:tcMar>
            <w:vAlign w:val="center"/>
          </w:tcPr>
          <w:p>
            <w:pPr>
              <w:jc w:val="center"/>
            </w:pPr>
            <w:r>
              <w:rPr>
                <w:sz w:val="20"/>
              </w:rPr>
              <w:t>4</w:t>
            </w:r>
          </w:p>
        </w:tc>
        <w:tc>
          <w:tcPr>
            <w:tcW w:type="dxa" w:w="1045"/>
            <w:tcMar>
              <w:top w:w="80" w:type="dxa"/>
              <w:bottom w:w="80" w:type="dxa"/>
              <w:left w:w="100" w:type="dxa"/>
              <w:right w:w="100" w:type="dxa"/>
            </w:tcMar>
            <w:vAlign w:val="center"/>
          </w:tcPr>
          <w:p>
            <w:pPr>
              <w:jc w:val="left"/>
            </w:pPr>
            <w:r>
              <w:rPr>
                <w:sz w:val="20"/>
              </w:rPr>
              <w:t>SVM (Platt)</w:t>
            </w:r>
          </w:p>
        </w:tc>
        <w:tc>
          <w:tcPr>
            <w:tcW w:type="dxa" w:w="1045"/>
            <w:tcMar>
              <w:top w:w="80" w:type="dxa"/>
              <w:bottom w:w="80" w:type="dxa"/>
              <w:left w:w="100" w:type="dxa"/>
              <w:right w:w="100" w:type="dxa"/>
            </w:tcMar>
            <w:vAlign w:val="center"/>
          </w:tcPr>
          <w:p>
            <w:pPr>
              <w:jc w:val="center"/>
            </w:pPr>
            <w:r>
              <w:rPr>
                <w:sz w:val="20"/>
              </w:rPr>
              <w:t>48.28%</w:t>
            </w:r>
          </w:p>
        </w:tc>
        <w:tc>
          <w:tcPr>
            <w:tcW w:type="dxa" w:w="1045"/>
            <w:tcMar>
              <w:top w:w="80" w:type="dxa"/>
              <w:bottom w:w="80" w:type="dxa"/>
              <w:left w:w="100" w:type="dxa"/>
              <w:right w:w="100" w:type="dxa"/>
            </w:tcMar>
            <w:vAlign w:val="center"/>
          </w:tcPr>
          <w:p>
            <w:pPr>
              <w:jc w:val="center"/>
            </w:pPr>
            <w:r>
              <w:rPr>
                <w:sz w:val="20"/>
              </w:rPr>
              <w:t>46.50%</w:t>
            </w:r>
          </w:p>
        </w:tc>
        <w:tc>
          <w:tcPr>
            <w:tcW w:type="dxa" w:w="1045"/>
            <w:tcMar>
              <w:top w:w="80" w:type="dxa"/>
              <w:bottom w:w="80" w:type="dxa"/>
              <w:left w:w="100" w:type="dxa"/>
              <w:right w:w="100" w:type="dxa"/>
            </w:tcMar>
            <w:vAlign w:val="center"/>
          </w:tcPr>
          <w:p>
            <w:pPr>
              <w:jc w:val="center"/>
            </w:pPr>
            <w:r>
              <w:rPr>
                <w:sz w:val="20"/>
              </w:rPr>
              <w:t>48.28%</w:t>
            </w:r>
          </w:p>
        </w:tc>
        <w:tc>
          <w:tcPr>
            <w:tcW w:type="dxa" w:w="1045"/>
            <w:tcMar>
              <w:top w:w="80" w:type="dxa"/>
              <w:bottom w:w="80" w:type="dxa"/>
              <w:left w:w="100" w:type="dxa"/>
              <w:right w:w="100" w:type="dxa"/>
            </w:tcMar>
            <w:vAlign w:val="center"/>
          </w:tcPr>
          <w:p>
            <w:pPr>
              <w:jc w:val="center"/>
            </w:pPr>
            <w:r>
              <w:rPr>
                <w:sz w:val="20"/>
              </w:rPr>
              <w:t>44.47%</w:t>
            </w:r>
          </w:p>
        </w:tc>
        <w:tc>
          <w:tcPr>
            <w:tcW w:type="dxa" w:w="1045"/>
            <w:tcMar>
              <w:top w:w="80" w:type="dxa"/>
              <w:bottom w:w="80" w:type="dxa"/>
              <w:left w:w="100" w:type="dxa"/>
              <w:right w:w="100" w:type="dxa"/>
            </w:tcMar>
            <w:vAlign w:val="center"/>
          </w:tcPr>
          <w:p>
            <w:pPr>
              <w:jc w:val="center"/>
            </w:pPr>
            <w:r>
              <w:rPr>
                <w:sz w:val="20"/>
              </w:rPr>
              <w:t>0.0962</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0.2900 ms</w:t>
            </w:r>
          </w:p>
        </w:tc>
      </w:tr>
    </w:tbl>
    <w:p/>
    <w:p>
      <w:pPr>
        <w:spacing w:after="120" w:line="276" w:lineRule="auto"/>
      </w:pPr>
      <w:r>
        <w:rPr>
          <w:b/>
        </w:rPr>
        <w:t>Ý nghĩa:</w:t>
      </w:r>
      <w:r>
        <w:t xml:space="preserve"> Kết quả khoảng 48-50% cho thấy mô hình fine-tune ResNet-18 hiện tại không tổng quát tốt từ enroll sang ảnh real.</w:t>
      </w:r>
    </w:p>
    <w:p>
      <w:pPr>
        <w:spacing w:after="120" w:line="276" w:lineRule="auto"/>
      </w:pPr>
      <w:r>
        <w:rPr>
          <w:b/>
        </w:rPr>
        <w:t>Vấn đề cần lưu ý:</w:t>
      </w:r>
      <w:r>
        <w:t xml:space="preserve"> Không nên kết luận ResNet-18 hoặc fine-tune luôn kém. Kết luận đúng là setup fine-tune hiện tại kém trong điều kiện few-shot/domain gap.</w:t>
      </w:r>
    </w:p>
    <w:p>
      <w:pPr>
        <w:spacing w:after="120" w:line="276" w:lineRule="auto"/>
      </w:pPr>
      <w:r>
        <w:rPr>
          <w:b/>
        </w:rPr>
        <w:t>Khuyến nghị trình bày:</w:t>
      </w:r>
      <w:r>
        <w:t xml:space="preserve"> Giữ case này để chứng minh vì sao hệ thống nên ưu tiên ArcFace pretrained thay vì tự fine-tune backbone nhỏ trên dữ liệu ít.</w:t>
      </w:r>
    </w:p>
    <w:p>
      <w:pPr>
        <w:pStyle w:val="Heading1"/>
      </w:pPr>
      <w:r>
        <w:t>4. Case 2 - ArcFace Pretrained</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Cosine Similarity</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0.8294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0.6483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0.8294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0.0032 ms</w:t>
            </w:r>
          </w:p>
        </w:tc>
      </w:tr>
      <w:tr>
        <w:tc>
          <w:tcPr>
            <w:tcW w:type="dxa" w:w="1045"/>
            <w:tcMar>
              <w:top w:w="80" w:type="dxa"/>
              <w:bottom w:w="80" w:type="dxa"/>
              <w:left w:w="100" w:type="dxa"/>
              <w:right w:w="100" w:type="dxa"/>
            </w:tcMar>
            <w:vAlign w:val="center"/>
          </w:tcPr>
          <w:p>
            <w:pPr>
              <w:jc w:val="center"/>
            </w:pPr>
            <w:r>
              <w:rPr>
                <w:sz w:val="20"/>
              </w:rPr>
              <w:t>3</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0.8294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0.0046 ms</w:t>
            </w:r>
          </w:p>
        </w:tc>
      </w:tr>
      <w:tr>
        <w:tc>
          <w:tcPr>
            <w:tcW w:type="dxa" w:w="1045"/>
            <w:tcMar>
              <w:top w:w="80" w:type="dxa"/>
              <w:bottom w:w="80" w:type="dxa"/>
              <w:left w:w="100" w:type="dxa"/>
              <w:right w:w="100" w:type="dxa"/>
            </w:tcMar>
            <w:vAlign w:val="center"/>
          </w:tcPr>
          <w:p>
            <w:pPr>
              <w:jc w:val="center"/>
            </w:pPr>
            <w:r>
              <w:rPr>
                <w:sz w:val="20"/>
              </w:rPr>
              <w:t>4</w:t>
            </w:r>
          </w:p>
        </w:tc>
        <w:tc>
          <w:tcPr>
            <w:tcW w:type="dxa" w:w="1045"/>
            <w:tcMar>
              <w:top w:w="80" w:type="dxa"/>
              <w:bottom w:w="80" w:type="dxa"/>
              <w:left w:w="100" w:type="dxa"/>
              <w:right w:w="100" w:type="dxa"/>
            </w:tcMar>
            <w:vAlign w:val="center"/>
          </w:tcPr>
          <w:p>
            <w:pPr>
              <w:jc w:val="left"/>
            </w:pPr>
            <w:r>
              <w:rPr>
                <w:sz w:val="20"/>
              </w:rPr>
              <w:t>SVM (Platt)</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0.1995</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0.1465 ms</w:t>
            </w:r>
          </w:p>
        </w:tc>
      </w:tr>
    </w:tbl>
    <w:p/>
    <w:p>
      <w:pPr>
        <w:spacing w:after="120" w:line="276" w:lineRule="auto"/>
      </w:pPr>
      <w:r>
        <w:rPr>
          <w:b/>
        </w:rPr>
        <w:t>Ý nghĩa:</w:t>
      </w:r>
      <w:r>
        <w:t xml:space="preserve"> Đây là case mạnh nhất cho bài toán known recognition. Cả 4 classifier head đều đạt 100% trên tập test artifact hiện có.</w:t>
      </w:r>
    </w:p>
    <w:p>
      <w:pPr>
        <w:spacing w:after="120" w:line="276" w:lineRule="auto"/>
      </w:pPr>
      <w:r>
        <w:rPr>
          <w:b/>
        </w:rPr>
        <w:t>Vấn đề cần lưu ý:</w:t>
      </w:r>
      <w:r>
        <w:t xml:space="preserve"> Accuracy 100% tạo ceiling effect, nên không thể dùng accuracy để phân biệt thuật toán. Cần so thêm latency, scale và unknown rejection.</w:t>
      </w:r>
    </w:p>
    <w:p>
      <w:pPr>
        <w:spacing w:after="120" w:line="276" w:lineRule="auto"/>
      </w:pPr>
      <w:r>
        <w:rPr>
          <w:b/>
        </w:rPr>
        <w:t>Khuyến nghị trình bày:</w:t>
      </w:r>
      <w:r>
        <w:t xml:space="preserve"> Kết luận ArcFace pretrained là backbone phù hợp nhất cho dữ liệu hiện tại; classifier head nên chọn theo yêu cầu vận hành.</w:t>
      </w:r>
    </w:p>
    <w:p>
      <w:pPr>
        <w:pStyle w:val="Heading1"/>
      </w:pPr>
      <w:r>
        <w:t>5. Case 3 - Synthetic 16.000 Embeddings</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shd w:fill="1F4E79"/>
            <w:tcMar>
              <w:top w:w="80" w:type="dxa"/>
              <w:bottom w:w="80" w:type="dxa"/>
              <w:left w:w="100" w:type="dxa"/>
              <w:right w:w="100" w:type="dxa"/>
            </w:tcMar>
            <w:vAlign w:val="center"/>
          </w:tcPr>
          <w:p>
            <w:pPr>
              <w:jc w:val="center"/>
            </w:pPr>
            <w:r>
              <w:rPr>
                <w:b/>
                <w:color w:val="FFFFFF"/>
                <w:sz w:val="20"/>
              </w:rPr>
              <w:t>STT</w:t>
            </w:r>
          </w:p>
        </w:tc>
        <w:tc>
          <w:tcPr>
            <w:tcW w:type="dxa" w:w="1344"/>
            <w:shd w:fill="1F4E79"/>
            <w:tcMar>
              <w:top w:w="80" w:type="dxa"/>
              <w:bottom w:w="80" w:type="dxa"/>
              <w:left w:w="100" w:type="dxa"/>
              <w:right w:w="100" w:type="dxa"/>
            </w:tcMar>
            <w:vAlign w:val="center"/>
          </w:tcPr>
          <w:p>
            <w:pPr>
              <w:jc w:val="center"/>
            </w:pPr>
            <w:r>
              <w:rPr>
                <w:b/>
                <w:color w:val="FFFFFF"/>
                <w:sz w:val="20"/>
              </w:rPr>
              <w:t>Thuật toán</w:t>
            </w:r>
          </w:p>
        </w:tc>
        <w:tc>
          <w:tcPr>
            <w:tcW w:type="dxa" w:w="1344"/>
            <w:shd w:fill="1F4E79"/>
            <w:tcMar>
              <w:top w:w="80" w:type="dxa"/>
              <w:bottom w:w="80" w:type="dxa"/>
              <w:left w:w="100" w:type="dxa"/>
              <w:right w:w="100" w:type="dxa"/>
            </w:tcMar>
            <w:vAlign w:val="center"/>
          </w:tcPr>
          <w:p>
            <w:pPr>
              <w:jc w:val="center"/>
            </w:pPr>
            <w:r>
              <w:rPr>
                <w:b/>
                <w:color w:val="FFFFFF"/>
                <w:sz w:val="20"/>
              </w:rPr>
              <w:t>N=500</w:t>
            </w:r>
          </w:p>
        </w:tc>
        <w:tc>
          <w:tcPr>
            <w:tcW w:type="dxa" w:w="1344"/>
            <w:shd w:fill="1F4E79"/>
            <w:tcMar>
              <w:top w:w="80" w:type="dxa"/>
              <w:bottom w:w="80" w:type="dxa"/>
              <w:left w:w="100" w:type="dxa"/>
              <w:right w:w="100" w:type="dxa"/>
            </w:tcMar>
            <w:vAlign w:val="center"/>
          </w:tcPr>
          <w:p>
            <w:pPr>
              <w:jc w:val="center"/>
            </w:pPr>
            <w:r>
              <w:rPr>
                <w:b/>
                <w:color w:val="FFFFFF"/>
                <w:sz w:val="20"/>
              </w:rPr>
              <w:t>N=1.000</w:t>
            </w:r>
          </w:p>
        </w:tc>
        <w:tc>
          <w:tcPr>
            <w:tcW w:type="dxa" w:w="1344"/>
            <w:shd w:fill="1F4E79"/>
            <w:tcMar>
              <w:top w:w="80" w:type="dxa"/>
              <w:bottom w:w="80" w:type="dxa"/>
              <w:left w:w="100" w:type="dxa"/>
              <w:right w:w="100" w:type="dxa"/>
            </w:tcMar>
            <w:vAlign w:val="center"/>
          </w:tcPr>
          <w:p>
            <w:pPr>
              <w:jc w:val="center"/>
            </w:pPr>
            <w:r>
              <w:rPr>
                <w:b/>
                <w:color w:val="FFFFFF"/>
                <w:sz w:val="20"/>
              </w:rPr>
              <w:t>N=5.000</w:t>
            </w:r>
          </w:p>
        </w:tc>
        <w:tc>
          <w:tcPr>
            <w:tcW w:type="dxa" w:w="1344"/>
            <w:shd w:fill="1F4E79"/>
            <w:tcMar>
              <w:top w:w="80" w:type="dxa"/>
              <w:bottom w:w="80" w:type="dxa"/>
              <w:left w:w="100" w:type="dxa"/>
              <w:right w:w="100" w:type="dxa"/>
            </w:tcMar>
            <w:vAlign w:val="center"/>
          </w:tcPr>
          <w:p>
            <w:pPr>
              <w:jc w:val="center"/>
            </w:pPr>
            <w:r>
              <w:rPr>
                <w:b/>
                <w:color w:val="FFFFFF"/>
                <w:sz w:val="20"/>
              </w:rPr>
              <w:t>N=16.000</w:t>
            </w:r>
          </w:p>
        </w:tc>
        <w:tc>
          <w:tcPr>
            <w:tcW w:type="dxa" w:w="1344"/>
            <w:shd w:fill="1F4E79"/>
            <w:tcMar>
              <w:top w:w="80" w:type="dxa"/>
              <w:bottom w:w="80" w:type="dxa"/>
              <w:left w:w="100" w:type="dxa"/>
              <w:right w:w="100" w:type="dxa"/>
            </w:tcMar>
            <w:vAlign w:val="center"/>
          </w:tcPr>
          <w:p>
            <w:pPr>
              <w:jc w:val="center"/>
            </w:pPr>
            <w:r>
              <w:rPr>
                <w:b/>
                <w:color w:val="FFFFFF"/>
                <w:sz w:val="20"/>
              </w:rPr>
              <w:t>Nhận xét</w:t>
            </w:r>
          </w:p>
        </w:tc>
      </w:tr>
      <w:tr>
        <w:tc>
          <w:tcPr>
            <w:tcW w:type="dxa" w:w="1344"/>
            <w:tcMar>
              <w:top w:w="80" w:type="dxa"/>
              <w:bottom w:w="80" w:type="dxa"/>
              <w:left w:w="100" w:type="dxa"/>
              <w:right w:w="100" w:type="dxa"/>
            </w:tcMar>
            <w:vAlign w:val="center"/>
          </w:tcPr>
          <w:p>
            <w:pPr>
              <w:jc w:val="center"/>
            </w:pPr>
            <w:r>
              <w:rPr>
                <w:sz w:val="20"/>
              </w:rPr>
              <w:t>1</w:t>
            </w:r>
          </w:p>
        </w:tc>
        <w:tc>
          <w:tcPr>
            <w:tcW w:type="dxa" w:w="1344"/>
            <w:tcMar>
              <w:top w:w="80" w:type="dxa"/>
              <w:bottom w:w="80" w:type="dxa"/>
              <w:left w:w="100" w:type="dxa"/>
              <w:right w:w="100" w:type="dxa"/>
            </w:tcMar>
            <w:vAlign w:val="center"/>
          </w:tcPr>
          <w:p>
            <w:pPr>
              <w:jc w:val="left"/>
            </w:pPr>
            <w:r>
              <w:rPr>
                <w:sz w:val="20"/>
              </w:rPr>
              <w:t>Cosine Similarity</w:t>
            </w:r>
          </w:p>
        </w:tc>
        <w:tc>
          <w:tcPr>
            <w:tcW w:type="dxa" w:w="1344"/>
            <w:tcMar>
              <w:top w:w="80" w:type="dxa"/>
              <w:bottom w:w="80" w:type="dxa"/>
              <w:left w:w="100" w:type="dxa"/>
              <w:right w:w="100" w:type="dxa"/>
            </w:tcMar>
            <w:vAlign w:val="center"/>
          </w:tcPr>
          <w:p>
            <w:pPr>
              <w:jc w:val="center"/>
            </w:pPr>
            <w:r>
              <w:rPr>
                <w:sz w:val="20"/>
              </w:rPr>
              <w:t>0.0026 ms</w:t>
            </w:r>
          </w:p>
        </w:tc>
        <w:tc>
          <w:tcPr>
            <w:tcW w:type="dxa" w:w="1344"/>
            <w:tcMar>
              <w:top w:w="80" w:type="dxa"/>
              <w:bottom w:w="80" w:type="dxa"/>
              <w:left w:w="100" w:type="dxa"/>
              <w:right w:w="100" w:type="dxa"/>
            </w:tcMar>
            <w:vAlign w:val="center"/>
          </w:tcPr>
          <w:p>
            <w:pPr>
              <w:jc w:val="center"/>
            </w:pPr>
            <w:r>
              <w:rPr>
                <w:sz w:val="20"/>
              </w:rPr>
              <w:t>0.0062 ms</w:t>
            </w:r>
          </w:p>
        </w:tc>
        <w:tc>
          <w:tcPr>
            <w:tcW w:type="dxa" w:w="1344"/>
            <w:tcMar>
              <w:top w:w="80" w:type="dxa"/>
              <w:bottom w:w="80" w:type="dxa"/>
              <w:left w:w="100" w:type="dxa"/>
              <w:right w:w="100" w:type="dxa"/>
            </w:tcMar>
            <w:vAlign w:val="center"/>
          </w:tcPr>
          <w:p>
            <w:pPr>
              <w:jc w:val="center"/>
            </w:pPr>
            <w:r>
              <w:rPr>
                <w:sz w:val="20"/>
              </w:rPr>
              <w:t>0.0200 ms</w:t>
            </w:r>
          </w:p>
        </w:tc>
        <w:tc>
          <w:tcPr>
            <w:tcW w:type="dxa" w:w="1344"/>
            <w:tcMar>
              <w:top w:w="80" w:type="dxa"/>
              <w:bottom w:w="80" w:type="dxa"/>
              <w:left w:w="100" w:type="dxa"/>
              <w:right w:w="100" w:type="dxa"/>
            </w:tcMar>
            <w:vAlign w:val="center"/>
          </w:tcPr>
          <w:p>
            <w:pPr>
              <w:jc w:val="center"/>
            </w:pPr>
            <w:r>
              <w:rPr>
                <w:sz w:val="20"/>
              </w:rPr>
              <w:t>0.1473 ms</w:t>
            </w:r>
          </w:p>
        </w:tc>
        <w:tc>
          <w:tcPr>
            <w:tcW w:type="dxa" w:w="1344"/>
            <w:tcMar>
              <w:top w:w="80" w:type="dxa"/>
              <w:bottom w:w="80" w:type="dxa"/>
              <w:left w:w="100" w:type="dxa"/>
              <w:right w:w="100" w:type="dxa"/>
            </w:tcMar>
            <w:vAlign w:val="center"/>
          </w:tcPr>
          <w:p>
            <w:pPr>
              <w:jc w:val="center"/>
            </w:pPr>
            <w:r>
              <w:rPr>
                <w:sz w:val="20"/>
              </w:rPr>
            </w:r>
          </w:p>
        </w:tc>
      </w:tr>
      <w:tr>
        <w:tc>
          <w:tcPr>
            <w:tcW w:type="dxa" w:w="1344"/>
            <w:tcMar>
              <w:top w:w="80" w:type="dxa"/>
              <w:bottom w:w="80" w:type="dxa"/>
              <w:left w:w="100" w:type="dxa"/>
              <w:right w:w="100" w:type="dxa"/>
            </w:tcMar>
            <w:vAlign w:val="center"/>
          </w:tcPr>
          <w:p>
            <w:pPr>
              <w:jc w:val="center"/>
            </w:pPr>
            <w:r>
              <w:rPr>
                <w:sz w:val="20"/>
              </w:rPr>
              <w:t>2</w:t>
            </w:r>
          </w:p>
        </w:tc>
        <w:tc>
          <w:tcPr>
            <w:tcW w:type="dxa" w:w="1344"/>
            <w:tcMar>
              <w:top w:w="80" w:type="dxa"/>
              <w:bottom w:w="80" w:type="dxa"/>
              <w:left w:w="100" w:type="dxa"/>
              <w:right w:w="100" w:type="dxa"/>
            </w:tcMar>
            <w:vAlign w:val="center"/>
          </w:tcPr>
          <w:p>
            <w:pPr>
              <w:jc w:val="left"/>
            </w:pPr>
            <w:r>
              <w:rPr>
                <w:sz w:val="20"/>
              </w:rPr>
              <w:t>FAISS Flat</w:t>
            </w:r>
          </w:p>
        </w:tc>
        <w:tc>
          <w:tcPr>
            <w:tcW w:type="dxa" w:w="1344"/>
            <w:tcMar>
              <w:top w:w="80" w:type="dxa"/>
              <w:bottom w:w="80" w:type="dxa"/>
              <w:left w:w="100" w:type="dxa"/>
              <w:right w:w="100" w:type="dxa"/>
            </w:tcMar>
            <w:vAlign w:val="center"/>
          </w:tcPr>
          <w:p>
            <w:pPr>
              <w:jc w:val="center"/>
            </w:pPr>
            <w:r>
              <w:rPr>
                <w:sz w:val="20"/>
              </w:rPr>
              <w:t>0.0024 ms</w:t>
            </w:r>
          </w:p>
        </w:tc>
        <w:tc>
          <w:tcPr>
            <w:tcW w:type="dxa" w:w="1344"/>
            <w:tcMar>
              <w:top w:w="80" w:type="dxa"/>
              <w:bottom w:w="80" w:type="dxa"/>
              <w:left w:w="100" w:type="dxa"/>
              <w:right w:w="100" w:type="dxa"/>
            </w:tcMar>
            <w:vAlign w:val="center"/>
          </w:tcPr>
          <w:p>
            <w:pPr>
              <w:jc w:val="center"/>
            </w:pPr>
            <w:r>
              <w:rPr>
                <w:sz w:val="20"/>
              </w:rPr>
              <w:t>0.0040 ms</w:t>
            </w:r>
          </w:p>
        </w:tc>
        <w:tc>
          <w:tcPr>
            <w:tcW w:type="dxa" w:w="1344"/>
            <w:tcMar>
              <w:top w:w="80" w:type="dxa"/>
              <w:bottom w:w="80" w:type="dxa"/>
              <w:left w:w="100" w:type="dxa"/>
              <w:right w:w="100" w:type="dxa"/>
            </w:tcMar>
            <w:vAlign w:val="center"/>
          </w:tcPr>
          <w:p>
            <w:pPr>
              <w:jc w:val="center"/>
            </w:pPr>
            <w:r>
              <w:rPr>
                <w:sz w:val="20"/>
              </w:rPr>
              <w:t>0.0180 ms</w:t>
            </w:r>
          </w:p>
        </w:tc>
        <w:tc>
          <w:tcPr>
            <w:tcW w:type="dxa" w:w="1344"/>
            <w:tcMar>
              <w:top w:w="80" w:type="dxa"/>
              <w:bottom w:w="80" w:type="dxa"/>
              <w:left w:w="100" w:type="dxa"/>
              <w:right w:w="100" w:type="dxa"/>
            </w:tcMar>
            <w:vAlign w:val="center"/>
          </w:tcPr>
          <w:p>
            <w:pPr>
              <w:jc w:val="center"/>
            </w:pPr>
            <w:r>
              <w:rPr>
                <w:sz w:val="20"/>
              </w:rPr>
              <w:t>0.0494 ms</w:t>
            </w:r>
          </w:p>
        </w:tc>
        <w:tc>
          <w:tcPr>
            <w:tcW w:type="dxa" w:w="1344"/>
            <w:tcMar>
              <w:top w:w="80" w:type="dxa"/>
              <w:bottom w:w="80" w:type="dxa"/>
              <w:left w:w="100" w:type="dxa"/>
              <w:right w:w="100" w:type="dxa"/>
            </w:tcMar>
            <w:vAlign w:val="center"/>
          </w:tcPr>
          <w:p>
            <w:pPr>
              <w:jc w:val="center"/>
            </w:pPr>
            <w:r>
              <w:rPr>
                <w:sz w:val="20"/>
              </w:rPr>
            </w:r>
          </w:p>
        </w:tc>
      </w:tr>
      <w:tr>
        <w:tc>
          <w:tcPr>
            <w:tcW w:type="dxa" w:w="1344"/>
            <w:tcMar>
              <w:top w:w="80" w:type="dxa"/>
              <w:bottom w:w="80" w:type="dxa"/>
              <w:left w:w="100" w:type="dxa"/>
              <w:right w:w="100" w:type="dxa"/>
            </w:tcMar>
            <w:vAlign w:val="center"/>
          </w:tcPr>
          <w:p>
            <w:pPr>
              <w:jc w:val="center"/>
            </w:pPr>
            <w:r>
              <w:rPr>
                <w:sz w:val="20"/>
              </w:rPr>
              <w:t>3</w:t>
            </w:r>
          </w:p>
        </w:tc>
        <w:tc>
          <w:tcPr>
            <w:tcW w:type="dxa" w:w="1344"/>
            <w:tcMar>
              <w:top w:w="80" w:type="dxa"/>
              <w:bottom w:w="80" w:type="dxa"/>
              <w:left w:w="100" w:type="dxa"/>
              <w:right w:w="100" w:type="dxa"/>
            </w:tcMar>
            <w:vAlign w:val="center"/>
          </w:tcPr>
          <w:p>
            <w:pPr>
              <w:jc w:val="left"/>
            </w:pPr>
            <w:r>
              <w:rPr>
                <w:sz w:val="20"/>
              </w:rPr>
              <w:t>FAISS HNSW</w:t>
            </w:r>
          </w:p>
        </w:tc>
        <w:tc>
          <w:tcPr>
            <w:tcW w:type="dxa" w:w="1344"/>
            <w:tcMar>
              <w:top w:w="80" w:type="dxa"/>
              <w:bottom w:w="80" w:type="dxa"/>
              <w:left w:w="100" w:type="dxa"/>
              <w:right w:w="100" w:type="dxa"/>
            </w:tcMar>
            <w:vAlign w:val="center"/>
          </w:tcPr>
          <w:p>
            <w:pPr>
              <w:jc w:val="center"/>
            </w:pPr>
            <w:r>
              <w:rPr>
                <w:sz w:val="20"/>
              </w:rPr>
              <w:t>0.0049 ms</w:t>
            </w:r>
          </w:p>
        </w:tc>
        <w:tc>
          <w:tcPr>
            <w:tcW w:type="dxa" w:w="1344"/>
            <w:tcMar>
              <w:top w:w="80" w:type="dxa"/>
              <w:bottom w:w="80" w:type="dxa"/>
              <w:left w:w="100" w:type="dxa"/>
              <w:right w:w="100" w:type="dxa"/>
            </w:tcMar>
            <w:vAlign w:val="center"/>
          </w:tcPr>
          <w:p>
            <w:pPr>
              <w:jc w:val="center"/>
            </w:pPr>
            <w:r>
              <w:rPr>
                <w:sz w:val="20"/>
              </w:rPr>
              <w:t>0.0064 ms</w:t>
            </w:r>
          </w:p>
        </w:tc>
        <w:tc>
          <w:tcPr>
            <w:tcW w:type="dxa" w:w="1344"/>
            <w:tcMar>
              <w:top w:w="80" w:type="dxa"/>
              <w:bottom w:w="80" w:type="dxa"/>
              <w:left w:w="100" w:type="dxa"/>
              <w:right w:w="100" w:type="dxa"/>
            </w:tcMar>
            <w:vAlign w:val="center"/>
          </w:tcPr>
          <w:p>
            <w:pPr>
              <w:jc w:val="center"/>
            </w:pPr>
            <w:r>
              <w:rPr>
                <w:sz w:val="20"/>
              </w:rPr>
              <w:t>0.0178 ms</w:t>
            </w:r>
          </w:p>
        </w:tc>
        <w:tc>
          <w:tcPr>
            <w:tcW w:type="dxa" w:w="1344"/>
            <w:tcMar>
              <w:top w:w="80" w:type="dxa"/>
              <w:bottom w:w="80" w:type="dxa"/>
              <w:left w:w="100" w:type="dxa"/>
              <w:right w:w="100" w:type="dxa"/>
            </w:tcMar>
            <w:vAlign w:val="center"/>
          </w:tcPr>
          <w:p>
            <w:pPr>
              <w:jc w:val="center"/>
            </w:pPr>
            <w:r>
              <w:rPr>
                <w:sz w:val="20"/>
              </w:rPr>
              <w:t>0.0305 ms</w:t>
            </w:r>
          </w:p>
        </w:tc>
        <w:tc>
          <w:tcPr>
            <w:tcW w:type="dxa" w:w="1344"/>
            <w:tcMar>
              <w:top w:w="80" w:type="dxa"/>
              <w:bottom w:w="80" w:type="dxa"/>
              <w:left w:w="100" w:type="dxa"/>
              <w:right w:w="100" w:type="dxa"/>
            </w:tcMar>
            <w:vAlign w:val="center"/>
          </w:tcPr>
          <w:p>
            <w:pPr>
              <w:jc w:val="center"/>
            </w:pPr>
            <w:r>
              <w:rPr>
                <w:sz w:val="20"/>
              </w:rPr>
            </w:r>
          </w:p>
        </w:tc>
      </w:tr>
      <w:tr>
        <w:tc>
          <w:tcPr>
            <w:tcW w:type="dxa" w:w="1344"/>
            <w:tcMar>
              <w:top w:w="80" w:type="dxa"/>
              <w:bottom w:w="80" w:type="dxa"/>
              <w:left w:w="100" w:type="dxa"/>
              <w:right w:w="100" w:type="dxa"/>
            </w:tcMar>
            <w:vAlign w:val="center"/>
          </w:tcPr>
          <w:p>
            <w:pPr>
              <w:jc w:val="center"/>
            </w:pPr>
            <w:r>
              <w:rPr>
                <w:sz w:val="20"/>
              </w:rPr>
              <w:t>4</w:t>
            </w:r>
          </w:p>
        </w:tc>
        <w:tc>
          <w:tcPr>
            <w:tcW w:type="dxa" w:w="1344"/>
            <w:tcMar>
              <w:top w:w="80" w:type="dxa"/>
              <w:bottom w:w="80" w:type="dxa"/>
              <w:left w:w="100" w:type="dxa"/>
              <w:right w:w="100" w:type="dxa"/>
            </w:tcMar>
            <w:vAlign w:val="center"/>
          </w:tcPr>
          <w:p>
            <w:pPr>
              <w:jc w:val="left"/>
            </w:pPr>
            <w:r>
              <w:rPr>
                <w:sz w:val="20"/>
              </w:rPr>
              <w:t>SVM (Platt)</w:t>
            </w:r>
          </w:p>
        </w:tc>
        <w:tc>
          <w:tcPr>
            <w:tcW w:type="dxa" w:w="1344"/>
            <w:tcMar>
              <w:top w:w="80" w:type="dxa"/>
              <w:bottom w:w="80" w:type="dxa"/>
              <w:left w:w="100" w:type="dxa"/>
              <w:right w:w="100" w:type="dxa"/>
            </w:tcMar>
            <w:vAlign w:val="center"/>
          </w:tcPr>
          <w:p>
            <w:pPr>
              <w:jc w:val="center"/>
            </w:pPr>
            <w:r>
              <w:rPr>
                <w:sz w:val="20"/>
              </w:rPr>
              <w:t>N/A</w:t>
            </w:r>
          </w:p>
        </w:tc>
        <w:tc>
          <w:tcPr>
            <w:tcW w:type="dxa" w:w="1344"/>
            <w:tcMar>
              <w:top w:w="80" w:type="dxa"/>
              <w:bottom w:w="80" w:type="dxa"/>
              <w:left w:w="100" w:type="dxa"/>
              <w:right w:w="100" w:type="dxa"/>
            </w:tcMar>
            <w:vAlign w:val="center"/>
          </w:tcPr>
          <w:p>
            <w:pPr>
              <w:jc w:val="center"/>
            </w:pPr>
            <w:r>
              <w:rPr>
                <w:sz w:val="20"/>
              </w:rPr>
              <w:t>N/A</w:t>
            </w:r>
          </w:p>
        </w:tc>
        <w:tc>
          <w:tcPr>
            <w:tcW w:type="dxa" w:w="1344"/>
            <w:tcMar>
              <w:top w:w="80" w:type="dxa"/>
              <w:bottom w:w="80" w:type="dxa"/>
              <w:left w:w="100" w:type="dxa"/>
              <w:right w:w="100" w:type="dxa"/>
            </w:tcMar>
            <w:vAlign w:val="center"/>
          </w:tcPr>
          <w:p>
            <w:pPr>
              <w:jc w:val="center"/>
            </w:pPr>
            <w:r>
              <w:rPr>
                <w:sz w:val="20"/>
              </w:rPr>
              <w:t>N/A</w:t>
            </w:r>
          </w:p>
        </w:tc>
        <w:tc>
          <w:tcPr>
            <w:tcW w:type="dxa" w:w="1344"/>
            <w:tcMar>
              <w:top w:w="80" w:type="dxa"/>
              <w:bottom w:w="80" w:type="dxa"/>
              <w:left w:w="100" w:type="dxa"/>
              <w:right w:w="100" w:type="dxa"/>
            </w:tcMar>
            <w:vAlign w:val="center"/>
          </w:tcPr>
          <w:p>
            <w:pPr>
              <w:jc w:val="center"/>
            </w:pPr>
            <w:r>
              <w:rPr>
                <w:sz w:val="20"/>
              </w:rPr>
              <w:t>N/A</w:t>
            </w:r>
          </w:p>
        </w:tc>
        <w:tc>
          <w:tcPr>
            <w:tcW w:type="dxa" w:w="1344"/>
            <w:tcMar>
              <w:top w:w="80" w:type="dxa"/>
              <w:bottom w:w="80" w:type="dxa"/>
              <w:left w:w="100" w:type="dxa"/>
              <w:right w:w="100" w:type="dxa"/>
            </w:tcMar>
            <w:vAlign w:val="center"/>
          </w:tcPr>
          <w:p>
            <w:pPr>
              <w:jc w:val="center"/>
            </w:pPr>
            <w:r>
              <w:rPr>
                <w:sz w:val="20"/>
              </w:rPr>
              <w:t>Không benchmark SVM Platt trên synthetic 16k vì dataset fake chỉ có 1 enroll/class; SVC đa lớp xác suất không có ý nghĩa và không đại diện khi thiếu augmentation.</w:t>
            </w:r>
          </w:p>
        </w:tc>
      </w:tr>
    </w:tbl>
    <w:p/>
    <w:p>
      <w:pPr>
        <w:spacing w:after="120" w:line="276" w:lineRule="auto"/>
      </w:pPr>
      <w:r>
        <w:rPr>
          <w:b/>
        </w:rPr>
        <w:t>Ý nghĩa:</w:t>
      </w:r>
      <w:r>
        <w:t xml:space="preserve"> Case này có ý nghĩa để đo xu hướng latency khi số lượng sinh viên tăng lên đến 16.000.</w:t>
      </w:r>
    </w:p>
    <w:p>
      <w:pPr>
        <w:spacing w:after="120" w:line="276" w:lineRule="auto"/>
      </w:pPr>
      <w:r>
        <w:rPr>
          <w:b/>
        </w:rPr>
        <w:t>Vấn đề cần lưu ý:</w:t>
      </w:r>
      <w:r>
        <w:t xml:space="preserve"> Kết quả hiện tại cho thấy FAISS Flat nhanh hơn HNSW ở 16k. Vì vậy không nên tuyên bố HNSW tốt hơn trong cấu hình hiện tại.</w:t>
      </w:r>
    </w:p>
    <w:p>
      <w:pPr>
        <w:spacing w:after="120" w:line="276" w:lineRule="auto"/>
      </w:pPr>
      <w:r>
        <w:rPr>
          <w:b/>
        </w:rPr>
        <w:t>Khuyến nghị trình bày:</w:t>
      </w:r>
      <w:r>
        <w:t xml:space="preserve"> Viết rằng HNSW có tiềm năng khi N lớn hơn nhiều hoặc khi tune efSearch, còn ở 16k FAISS Flat vẫn là lựa chọn thực dụng.</w:t>
      </w:r>
    </w:p>
    <w:p>
      <w:pPr>
        <w:pStyle w:val="Heading1"/>
      </w:pPr>
      <w:r>
        <w:t>6. Case 4 - Unknown Rejection</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Cosine Similarity</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0.1938</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0.3078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0.1938</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0.0046 ms</w:t>
            </w:r>
          </w:p>
        </w:tc>
      </w:tr>
      <w:tr>
        <w:tc>
          <w:tcPr>
            <w:tcW w:type="dxa" w:w="1045"/>
            <w:tcMar>
              <w:top w:w="80" w:type="dxa"/>
              <w:bottom w:w="80" w:type="dxa"/>
              <w:left w:w="100" w:type="dxa"/>
              <w:right w:w="100" w:type="dxa"/>
            </w:tcMar>
            <w:vAlign w:val="center"/>
          </w:tcPr>
          <w:p>
            <w:pPr>
              <w:jc w:val="center"/>
            </w:pPr>
            <w:r>
              <w:rPr>
                <w:sz w:val="20"/>
              </w:rPr>
              <w:t>3</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0.1929</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0.0034 ms</w:t>
            </w:r>
          </w:p>
        </w:tc>
      </w:tr>
      <w:tr>
        <w:tc>
          <w:tcPr>
            <w:tcW w:type="dxa" w:w="1045"/>
            <w:tcMar>
              <w:top w:w="80" w:type="dxa"/>
              <w:bottom w:w="80" w:type="dxa"/>
              <w:left w:w="100" w:type="dxa"/>
              <w:right w:w="100" w:type="dxa"/>
            </w:tcMar>
            <w:vAlign w:val="center"/>
          </w:tcPr>
          <w:p>
            <w:pPr>
              <w:jc w:val="center"/>
            </w:pPr>
            <w:r>
              <w:rPr>
                <w:sz w:val="20"/>
              </w:rPr>
              <w:t>4</w:t>
            </w:r>
          </w:p>
        </w:tc>
        <w:tc>
          <w:tcPr>
            <w:tcW w:type="dxa" w:w="1045"/>
            <w:tcMar>
              <w:top w:w="80" w:type="dxa"/>
              <w:bottom w:w="80" w:type="dxa"/>
              <w:left w:w="100" w:type="dxa"/>
              <w:right w:w="100" w:type="dxa"/>
            </w:tcMar>
            <w:vAlign w:val="center"/>
          </w:tcPr>
          <w:p>
            <w:pPr>
              <w:jc w:val="left"/>
            </w:pPr>
            <w:r>
              <w:rPr>
                <w:sz w:val="20"/>
              </w:rPr>
              <w:t>SVM (Platt)</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0.1228</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0.0681 ms</w:t>
            </w:r>
          </w:p>
        </w:tc>
      </w:tr>
    </w:tbl>
    <w:p/>
    <w:p>
      <w:pPr>
        <w:spacing w:after="120" w:line="276" w:lineRule="auto"/>
      </w:pPr>
      <w:r>
        <w:rPr>
          <w:b/>
        </w:rPr>
        <w:t>Ý nghĩa:</w:t>
      </w:r>
      <w:r>
        <w:t xml:space="preserve"> Case này kiểm tra được logic rejection và ngưỡng từ chối trên embedding không thuộc gallery.</w:t>
      </w:r>
    </w:p>
    <w:p>
      <w:pPr>
        <w:spacing w:after="120" w:line="276" w:lineRule="auto"/>
      </w:pPr>
      <w:r>
        <w:rPr>
          <w:b/>
        </w:rPr>
        <w:t>Vấn đề cần lưu ý:</w:t>
      </w:r>
      <w:r>
        <w:t xml:space="preserve"> Hiện chưa có tập ảnh người lạ thu thập từ mạng. Synthetic unknown proxy quá dễ, dẫn đến tất cả thuật toán đều đạt 100% rejection.</w:t>
      </w:r>
    </w:p>
    <w:p>
      <w:pPr>
        <w:spacing w:after="120" w:line="276" w:lineRule="auto"/>
      </w:pPr>
      <w:r>
        <w:rPr>
          <w:b/>
        </w:rPr>
        <w:t>Khuyến nghị trình bày:</w:t>
      </w:r>
      <w:r>
        <w:t xml:space="preserve"> Không dùng case này để khẳng định SVM tốt hơn. Cần bổ sung dữ liệu người lạ thật để có bằng chứng khoa học.</w:t>
      </w:r>
    </w:p>
    <w:p>
      <w:pPr>
        <w:pStyle w:val="Heading1"/>
      </w:pPr>
      <w:r>
        <w:t>7. Case 5 - Progressive Gallery Enrichment</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Không enrich</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0.5785</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0.0012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Có enrich</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0.7771</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0.0041 ms</w:t>
            </w:r>
          </w:p>
        </w:tc>
      </w:tr>
      <w:tr>
        <w:tc>
          <w:tcPr>
            <w:tcW w:type="dxa" w:w="1045"/>
            <w:tcMar>
              <w:top w:w="80" w:type="dxa"/>
              <w:bottom w:w="80" w:type="dxa"/>
              <w:left w:w="100" w:type="dxa"/>
              <w:right w:w="100" w:type="dxa"/>
            </w:tcMar>
            <w:vAlign w:val="center"/>
          </w:tcPr>
          <w:p>
            <w:pPr>
              <w:jc w:val="center"/>
            </w:pPr>
            <w:r>
              <w:rPr>
                <w:sz w:val="20"/>
              </w:rPr>
              <w:t>3</w:t>
            </w:r>
          </w:p>
        </w:tc>
        <w:tc>
          <w:tcPr>
            <w:tcW w:type="dxa" w:w="1045"/>
            <w:tcMar>
              <w:top w:w="80" w:type="dxa"/>
              <w:bottom w:w="80" w:type="dxa"/>
              <w:left w:w="100" w:type="dxa"/>
              <w:right w:w="100" w:type="dxa"/>
            </w:tcMar>
            <w:vAlign w:val="center"/>
          </w:tcPr>
          <w:p>
            <w:pPr>
              <w:jc w:val="left"/>
            </w:pPr>
            <w:r>
              <w:rPr>
                <w:sz w:val="20"/>
              </w:rPr>
              <w:t>Có enrich + unknown proxy</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0.1938</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0.0027 ms</w:t>
            </w:r>
          </w:p>
        </w:tc>
      </w:tr>
    </w:tbl>
    <w:p/>
    <w:p>
      <w:pPr>
        <w:spacing w:after="120" w:line="276" w:lineRule="auto"/>
      </w:pPr>
      <w:r>
        <w:rPr>
          <w:b/>
        </w:rPr>
        <w:t>Ý nghĩa:</w:t>
      </w:r>
      <w:r>
        <w:t xml:space="preserve"> Case này có ý nghĩa vì accuracy giữ 100% nhưng similarity trung bình tăng từ khoảng 0.5785 lên 0.7771 sau enrichment.</w:t>
      </w:r>
    </w:p>
    <w:p>
      <w:pPr>
        <w:spacing w:after="120" w:line="276" w:lineRule="auto"/>
      </w:pPr>
      <w:r>
        <w:rPr>
          <w:b/>
        </w:rPr>
        <w:t>Vấn đề cần lưu ý:</w:t>
      </w:r>
      <w:r>
        <w:t xml:space="preserve"> Đây là mô phỏng từ cache embedding, chưa phải thí nghiệm production đầy đủ với camera/event/runtime threshold.</w:t>
      </w:r>
    </w:p>
    <w:p>
      <w:pPr>
        <w:spacing w:after="120" w:line="276" w:lineRule="auto"/>
      </w:pPr>
      <w:r>
        <w:rPr>
          <w:b/>
        </w:rPr>
        <w:t>Khuyến nghị trình bày:</w:t>
      </w:r>
      <w:r>
        <w:t xml:space="preserve"> Trình bày là bằng chứng ban đầu cho cơ chế tự cải thiện gallery, đồng thời nhấn mạnh đã có kiểm soát drift bằng threshold, ratio và dedupe.</w:t>
      </w:r>
    </w:p>
    <w:p>
      <w:pPr>
        <w:pStyle w:val="Heading1"/>
      </w:pPr>
      <w:r>
        <w:t>8. Kết luận và đề xuất</w:t>
      </w:r>
    </w:p>
    <w:p>
      <w:pPr>
        <w:pStyle w:val="ListBullet"/>
        <w:spacing w:after="60"/>
      </w:pPr>
      <w:r>
        <w:t>Phần có ý nghĩa mạnh nhất: Case 1, Case 2 và Case 5.</w:t>
      </w:r>
    </w:p>
    <w:p>
      <w:pPr>
        <w:pStyle w:val="ListBullet"/>
        <w:spacing w:after="60"/>
      </w:pPr>
      <w:r>
        <w:t>Case 3 có ý nghĩa benchmark nhưng kết luận phải trung thực: tại 16k, HNSW chưa thắng FAISS Flat.</w:t>
      </w:r>
    </w:p>
    <w:p>
      <w:pPr>
        <w:pStyle w:val="ListBullet"/>
        <w:spacing w:after="60"/>
      </w:pPr>
      <w:r>
        <w:t>Case 4 chưa đủ ý nghĩa khoa học vì thiếu dữ liệu người lạ thật; chỉ nên xem là kiểm thử pipeline.</w:t>
      </w:r>
    </w:p>
    <w:p>
      <w:pPr>
        <w:pStyle w:val="ListBullet"/>
        <w:spacing w:after="60"/>
      </w:pPr>
      <w:r>
        <w:t>Hướng triển khai hiện tại nên dùng ArcFace pretrained làm backbone chính.</w:t>
      </w:r>
    </w:p>
    <w:p>
      <w:pPr>
        <w:pStyle w:val="ListBullet"/>
        <w:spacing w:after="60"/>
      </w:pPr>
      <w:r>
        <w:t>Gallery enrichment nên được giữ, nhưng chỉ enrich khi similarity cao và có giới hạn để tránh gallery drift.</w:t>
      </w:r>
    </w:p>
    <w:p>
      <w:pPr>
        <w:pStyle w:val="Heading1"/>
      </w:pPr>
      <w:r>
        <w:t>9. Phụ lục - Artifact đã sinh</w:t>
      </w:r>
    </w:p>
    <w:p>
      <w:pPr>
        <w:pStyle w:val="ListBullet"/>
        <w:spacing w:after="60"/>
      </w:pPr>
      <w:r>
        <w:t>backend/training/FINAL_SCENARIO_REPORT.md</w:t>
      </w:r>
    </w:p>
    <w:p>
      <w:pPr>
        <w:pStyle w:val="ListBullet"/>
        <w:spacing w:after="60"/>
      </w:pPr>
      <w:r>
        <w:t>backend/training/final_scenario_results.json</w:t>
      </w:r>
    </w:p>
    <w:p>
      <w:pPr>
        <w:pStyle w:val="ListBullet"/>
        <w:spacing w:after="60"/>
      </w:pPr>
      <w:r>
        <w:t>backend/training/synthetic_scalability_results.json</w:t>
      </w:r>
    </w:p>
    <w:p>
      <w:pPr>
        <w:pStyle w:val="ListBullet"/>
        <w:spacing w:after="60"/>
      </w:pPr>
      <w:r>
        <w:t>backend/training/scenario_embeddings_cache.npz</w:t>
      </w:r>
    </w:p>
    <w:p>
      <w:pPr>
        <w:pStyle w:val="ListBullet"/>
        <w:spacing w:after="60"/>
      </w:pPr>
      <w:r>
        <w:t>backend/training/generate_final_scenario_report.py</w:t>
      </w:r>
    </w:p>
    <w:p>
      <w:pPr>
        <w:pStyle w:val="ListBullet"/>
        <w:spacing w:after="60"/>
      </w:pPr>
      <w:r>
        <w:t>backend/training/export_final_report_docx.py</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