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NGÂN HÀNG</w:t>
      </w:r>
    </w:p>
    <w:p>
      <w:pPr>
        <w:jc w:val="center"/>
      </w:pPr>
      <w:r>
        <w:rPr>
          <w:b/>
          <w:sz w:val="28"/>
        </w:rPr>
        <w:t>KHOA HỆ THỐNG THÔNG TIN QUẢN LÝ</w:t>
      </w:r>
    </w:p>
    <w:p>
      <w:pPr>
        <w:jc w:val="center"/>
      </w:pPr>
      <w:r>
        <w:rPr>
          <w:b/>
        </w:rPr>
        <w:t>----------***----------</w:t>
      </w:r>
    </w:p>
    <w:p/>
    <w:p/>
    <w:p/>
    <w:p/>
    <w:p/>
    <w:p/>
    <w:p>
      <w:pPr>
        <w:jc w:val="center"/>
      </w:pPr>
      <w:r>
        <w:rPr>
          <w:b/>
          <w:color w:val="1F4E79"/>
          <w:sz w:val="40"/>
        </w:rPr>
        <w:t>BÁO CÁO THỰC NGHIỆM</w:t>
      </w:r>
    </w:p>
    <w:p>
      <w:pPr>
        <w:jc w:val="center"/>
      </w:pPr>
      <w:r>
        <w:rPr>
          <w:b/>
          <w:sz w:val="32"/>
        </w:rPr>
        <w:t>HỆ THỐNG ĐIỂM DANH SINH VIÊN DỰA TRÊN NHẬN DIỆN KHUÔN MẶT</w:t>
      </w:r>
    </w:p>
    <w:p>
      <w:pPr>
        <w:jc w:val="center"/>
      </w:pPr>
      <w:r>
        <w:rPr>
          <w:i/>
          <w:sz w:val="26"/>
        </w:rPr>
        <w:t>Đối chiếu 5 kịch bản: fine-tune, pretrained, synthetic scale, unknown rejection và gallery enrichment</w:t>
      </w:r>
    </w:p>
    <w:p/>
    <w:p/>
    <w:p/>
    <w:p/>
    <w:p/>
    <w:p/>
    <w:p/>
    <w:p/>
    <w:p>
      <w:pPr>
        <w:ind w:left="2551"/>
        <w:jc w:val="left"/>
      </w:pPr>
      <w:r>
        <w:rPr>
          <w:sz w:val="24"/>
        </w:rPr>
        <w:t>Dự án: AI Event Face Attendance</w:t>
        <w:br/>
      </w:r>
      <w:r>
        <w:rPr>
          <w:sz w:val="24"/>
        </w:rPr>
        <w:t>Backbone chính: InsightFace ArcFace buffalo_l</w:t>
        <w:br/>
      </w:r>
      <w:r>
        <w:rPr>
          <w:sz w:val="24"/>
        </w:rPr>
        <w:t>Bộ dữ liệu thật: 39 sinh viên</w:t>
        <w:br/>
      </w:r>
      <w:r>
        <w:rPr>
          <w:sz w:val="24"/>
        </w:rPr>
        <w:t>Ngày xuất báo cáo: 10/06/2026 17:24</w:t>
        <w:br/>
      </w:r>
    </w:p>
    <w:p>
      <w:r>
        <w:br w:type="page"/>
      </w:r>
    </w:p>
    <w:p>
      <w:pPr>
        <w:pStyle w:val="Heading1"/>
      </w:pPr>
      <w:r>
        <w:t>1. Tổng quan dự án</w:t>
      </w:r>
    </w:p>
    <w:p>
      <w:pPr>
        <w:spacing w:after="120" w:line="276" w:lineRule="auto"/>
      </w:pPr>
      <w:r>
        <w:t>Báo cáo này tổng hợp kết quả thực nghiệm theo kịch bản 5 case cho hệ thống điểm danh sinh viên dựa trên nhận diện khuôn mặt. Mục tiêu là đánh giá backbone, classifier head, khả năng mở rộng, phát hiện người lạ và cơ chế tự làm giàu gallery sau mỗi sự kiện.</w:t>
      </w:r>
    </w:p>
    <w:p>
      <w:pPr>
        <w:pStyle w:val="ListBullet"/>
        <w:spacing w:after="60"/>
      </w:pPr>
      <w:r>
        <w:t>Backend: FastAPI, WebSocket live, InsightFace/ArcFace pipeline, FAISS index.</w:t>
      </w:r>
    </w:p>
    <w:p>
      <w:pPr>
        <w:pStyle w:val="ListBullet"/>
        <w:spacing w:after="60"/>
      </w:pPr>
      <w:r>
        <w:t>Frontend: React + Vite cho dashboard, đăng ký khuôn mặt, live camera, lịch sử và sự kiện.</w:t>
      </w:r>
    </w:p>
    <w:p>
      <w:pPr>
        <w:pStyle w:val="ListBullet"/>
        <w:spacing w:after="60"/>
      </w:pPr>
      <w:r>
        <w:t>Database: PostgreSQL schema cho users, events, face_embeddings và attendance_logs.</w:t>
      </w:r>
    </w:p>
    <w:p>
      <w:pPr>
        <w:pStyle w:val="ListBullet"/>
        <w:spacing w:after="60"/>
      </w:pPr>
      <w:r>
        <w:t>Dữ liệu thật: 39 ảnh enroll, 39 sinh viên real, 189 file real.</w:t>
      </w:r>
    </w:p>
    <w:p>
      <w:pPr>
        <w:pStyle w:val="ListBullet"/>
        <w:spacing w:after="60"/>
      </w:pPr>
      <w:r>
        <w:t>Dữ liệu synthetic: 16000 sinh viên, dùng benchmark khả năng mở rộng.</w:t>
      </w:r>
    </w:p>
    <w:p>
      <w:pPr>
        <w:pStyle w:val="Heading1"/>
      </w:pPr>
      <w:r>
        <w:t>2. Trạng thái hoàn thành theo kịch bản</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680"/>
            <w:shd w:fill="1F4E79"/>
            <w:tcMar>
              <w:top w:w="80" w:type="dxa"/>
              <w:bottom w:w="80" w:type="dxa"/>
              <w:left w:w="100" w:type="dxa"/>
              <w:right w:w="100" w:type="dxa"/>
            </w:tcMar>
            <w:vAlign w:val="center"/>
          </w:tcPr>
          <w:p>
            <w:pPr>
              <w:jc w:val="center"/>
            </w:pPr>
            <w:r>
              <w:rPr>
                <w:b/>
                <w:color w:val="FFFFFF"/>
                <w:sz w:val="20"/>
              </w:rPr>
              <w:t>Case</w:t>
            </w:r>
          </w:p>
        </w:tc>
        <w:tc>
          <w:tcPr>
            <w:tcW w:type="dxa" w:w="2835"/>
            <w:shd w:fill="1F4E79"/>
            <w:tcMar>
              <w:top w:w="80" w:type="dxa"/>
              <w:bottom w:w="80" w:type="dxa"/>
              <w:left w:w="100" w:type="dxa"/>
              <w:right w:w="100" w:type="dxa"/>
            </w:tcMar>
            <w:vAlign w:val="center"/>
          </w:tcPr>
          <w:p>
            <w:pPr>
              <w:jc w:val="center"/>
            </w:pPr>
            <w:r>
              <w:rPr>
                <w:b/>
                <w:color w:val="FFFFFF"/>
                <w:sz w:val="20"/>
              </w:rPr>
              <w:t>Nội dung</w:t>
            </w:r>
          </w:p>
        </w:tc>
        <w:tc>
          <w:tcPr>
            <w:tcW w:type="dxa" w:w="2268"/>
            <w:shd w:fill="1F4E79"/>
            <w:tcMar>
              <w:top w:w="80" w:type="dxa"/>
              <w:bottom w:w="80" w:type="dxa"/>
              <w:left w:w="100" w:type="dxa"/>
              <w:right w:w="100" w:type="dxa"/>
            </w:tcMar>
            <w:vAlign w:val="center"/>
          </w:tcPr>
          <w:p>
            <w:pPr>
              <w:jc w:val="center"/>
            </w:pPr>
            <w:r>
              <w:rPr>
                <w:b/>
                <w:color w:val="FFFFFF"/>
                <w:sz w:val="20"/>
              </w:rPr>
              <w:t>Trạng thái</w:t>
            </w:r>
          </w:p>
        </w:tc>
        <w:tc>
          <w:tcPr>
            <w:tcW w:type="dxa" w:w="3969"/>
            <w:shd w:fill="1F4E79"/>
            <w:tcMar>
              <w:top w:w="80" w:type="dxa"/>
              <w:bottom w:w="80" w:type="dxa"/>
              <w:left w:w="100" w:type="dxa"/>
              <w:right w:w="100" w:type="dxa"/>
            </w:tcMar>
            <w:vAlign w:val="center"/>
          </w:tcPr>
          <w:p>
            <w:pPr>
              <w:jc w:val="center"/>
            </w:pPr>
            <w:r>
              <w:rPr>
                <w:b/>
                <w:color w:val="FFFFFF"/>
                <w:sz w:val="20"/>
              </w:rPr>
              <w:t>Đánh giá</w:t>
            </w:r>
          </w:p>
        </w:tc>
      </w:tr>
      <w:tr>
        <w:tc>
          <w:tcPr>
            <w:tcW w:type="dxa" w:w="680"/>
            <w:tcMar>
              <w:top w:w="80" w:type="dxa"/>
              <w:bottom w:w="80" w:type="dxa"/>
              <w:left w:w="100" w:type="dxa"/>
              <w:right w:w="100" w:type="dxa"/>
            </w:tcMar>
            <w:vAlign w:val="center"/>
          </w:tcPr>
          <w:p>
            <w:pPr>
              <w:jc w:val="center"/>
            </w:pPr>
            <w:r>
              <w:rPr>
                <w:sz w:val="20"/>
              </w:rPr>
              <w:t>1</w:t>
            </w:r>
          </w:p>
        </w:tc>
        <w:tc>
          <w:tcPr>
            <w:tcW w:type="dxa" w:w="2835"/>
            <w:tcMar>
              <w:top w:w="80" w:type="dxa"/>
              <w:bottom w:w="80" w:type="dxa"/>
              <w:left w:w="100" w:type="dxa"/>
              <w:right w:w="100" w:type="dxa"/>
            </w:tcMar>
            <w:vAlign w:val="center"/>
          </w:tcPr>
          <w:p>
            <w:pPr>
              <w:jc w:val="left"/>
            </w:pPr>
            <w:r>
              <w:rPr>
                <w:sz w:val="20"/>
              </w:rPr>
              <w:t>Fine-tune ResNet-18 trên 39 SV thật</w:t>
            </w:r>
          </w:p>
        </w:tc>
        <w:tc>
          <w:tcPr>
            <w:tcW w:type="dxa" w:w="2268"/>
            <w:tcMar>
              <w:top w:w="80" w:type="dxa"/>
              <w:bottom w:w="80" w:type="dxa"/>
              <w:left w:w="100" w:type="dxa"/>
              <w:right w:w="100" w:type="dxa"/>
            </w:tcMar>
            <w:vAlign w:val="center"/>
          </w:tcPr>
          <w:p>
            <w:pPr>
              <w:jc w:val="center"/>
            </w:pPr>
            <w:r>
              <w:rPr>
                <w:sz w:val="20"/>
              </w:rPr>
              <w:t>Đã có số liệu</w:t>
            </w:r>
          </w:p>
        </w:tc>
        <w:tc>
          <w:tcPr>
            <w:tcW w:type="dxa" w:w="3969"/>
            <w:tcMar>
              <w:top w:w="80" w:type="dxa"/>
              <w:bottom w:w="80" w:type="dxa"/>
              <w:left w:w="100" w:type="dxa"/>
              <w:right w:w="100" w:type="dxa"/>
            </w:tcMar>
            <w:vAlign w:val="center"/>
          </w:tcPr>
          <w:p>
            <w:pPr>
              <w:jc w:val="center"/>
            </w:pPr>
            <w:r>
              <w:rPr>
                <w:sz w:val="20"/>
              </w:rPr>
              <w:t>Có ý nghĩa để chứng minh setup fine-tune hiện tại kém cross-domain.</w:t>
            </w:r>
          </w:p>
        </w:tc>
      </w:tr>
      <w:tr>
        <w:tc>
          <w:tcPr>
            <w:tcW w:type="dxa" w:w="680"/>
            <w:tcMar>
              <w:top w:w="80" w:type="dxa"/>
              <w:bottom w:w="80" w:type="dxa"/>
              <w:left w:w="100" w:type="dxa"/>
              <w:right w:w="100" w:type="dxa"/>
            </w:tcMar>
            <w:vAlign w:val="center"/>
          </w:tcPr>
          <w:p>
            <w:pPr>
              <w:jc w:val="center"/>
            </w:pPr>
            <w:r>
              <w:rPr>
                <w:sz w:val="20"/>
              </w:rPr>
              <w:t>2</w:t>
            </w:r>
          </w:p>
        </w:tc>
        <w:tc>
          <w:tcPr>
            <w:tcW w:type="dxa" w:w="2835"/>
            <w:tcMar>
              <w:top w:w="80" w:type="dxa"/>
              <w:bottom w:w="80" w:type="dxa"/>
              <w:left w:w="100" w:type="dxa"/>
              <w:right w:w="100" w:type="dxa"/>
            </w:tcMar>
            <w:vAlign w:val="center"/>
          </w:tcPr>
          <w:p>
            <w:pPr>
              <w:jc w:val="left"/>
            </w:pPr>
            <w:r>
              <w:rPr>
                <w:sz w:val="20"/>
              </w:rPr>
              <w:t>ArcFace pretrained trên 39 SV thật</w:t>
            </w:r>
          </w:p>
        </w:tc>
        <w:tc>
          <w:tcPr>
            <w:tcW w:type="dxa" w:w="2268"/>
            <w:tcMar>
              <w:top w:w="80" w:type="dxa"/>
              <w:bottom w:w="80" w:type="dxa"/>
              <w:left w:w="100" w:type="dxa"/>
              <w:right w:w="100" w:type="dxa"/>
            </w:tcMar>
            <w:vAlign w:val="center"/>
          </w:tcPr>
          <w:p>
            <w:pPr>
              <w:jc w:val="center"/>
            </w:pPr>
            <w:r>
              <w:rPr>
                <w:sz w:val="20"/>
              </w:rPr>
              <w:t>Đã có đủ 2 thuật toán</w:t>
            </w:r>
          </w:p>
        </w:tc>
        <w:tc>
          <w:tcPr>
            <w:tcW w:type="dxa" w:w="3969"/>
            <w:tcMar>
              <w:top w:w="80" w:type="dxa"/>
              <w:bottom w:w="80" w:type="dxa"/>
              <w:left w:w="100" w:type="dxa"/>
              <w:right w:w="100" w:type="dxa"/>
            </w:tcMar>
            <w:vAlign w:val="center"/>
          </w:tcPr>
          <w:p>
            <w:pPr>
              <w:jc w:val="center"/>
            </w:pPr>
            <w:r>
              <w:rPr>
                <w:sz w:val="20"/>
              </w:rPr>
              <w:t>Có ý nghĩa nhất cho known recognition, nhưng bị ceiling effect 100%.</w:t>
            </w:r>
          </w:p>
        </w:tc>
      </w:tr>
      <w:tr>
        <w:tc>
          <w:tcPr>
            <w:tcW w:type="dxa" w:w="680"/>
            <w:tcMar>
              <w:top w:w="80" w:type="dxa"/>
              <w:bottom w:w="80" w:type="dxa"/>
              <w:left w:w="100" w:type="dxa"/>
              <w:right w:w="100" w:type="dxa"/>
            </w:tcMar>
            <w:vAlign w:val="center"/>
          </w:tcPr>
          <w:p>
            <w:pPr>
              <w:jc w:val="center"/>
            </w:pPr>
            <w:r>
              <w:rPr>
                <w:sz w:val="20"/>
              </w:rPr>
              <w:t>3</w:t>
            </w:r>
          </w:p>
        </w:tc>
        <w:tc>
          <w:tcPr>
            <w:tcW w:type="dxa" w:w="2835"/>
            <w:tcMar>
              <w:top w:w="80" w:type="dxa"/>
              <w:bottom w:w="80" w:type="dxa"/>
              <w:left w:w="100" w:type="dxa"/>
              <w:right w:w="100" w:type="dxa"/>
            </w:tcMar>
            <w:vAlign w:val="center"/>
          </w:tcPr>
          <w:p>
            <w:pPr>
              <w:jc w:val="left"/>
            </w:pPr>
            <w:r>
              <w:rPr>
                <w:sz w:val="20"/>
              </w:rPr>
              <w:t>Synthetic 16.000 embeddings</w:t>
            </w:r>
          </w:p>
        </w:tc>
        <w:tc>
          <w:tcPr>
            <w:tcW w:type="dxa" w:w="2268"/>
            <w:tcMar>
              <w:top w:w="80" w:type="dxa"/>
              <w:bottom w:w="80" w:type="dxa"/>
              <w:left w:w="100" w:type="dxa"/>
              <w:right w:w="100" w:type="dxa"/>
            </w:tcMar>
            <w:vAlign w:val="center"/>
          </w:tcPr>
          <w:p>
            <w:pPr>
              <w:jc w:val="center"/>
            </w:pPr>
            <w:r>
              <w:rPr>
                <w:sz w:val="20"/>
              </w:rPr>
              <w:t>Đã benchmark scale</w:t>
            </w:r>
          </w:p>
        </w:tc>
        <w:tc>
          <w:tcPr>
            <w:tcW w:type="dxa" w:w="3969"/>
            <w:tcMar>
              <w:top w:w="80" w:type="dxa"/>
              <w:bottom w:w="80" w:type="dxa"/>
              <w:left w:w="100" w:type="dxa"/>
              <w:right w:w="100" w:type="dxa"/>
            </w:tcMar>
            <w:vAlign w:val="center"/>
          </w:tcPr>
          <w:p>
            <w:pPr>
              <w:jc w:val="center"/>
            </w:pPr>
            <w:r>
              <w:rPr>
                <w:sz w:val="20"/>
              </w:rPr>
              <w:t>Chứng minh HNSW vượt trội rõ rệt so với Flat khi số lượng sinh viên tăng lên.</w:t>
            </w:r>
          </w:p>
        </w:tc>
      </w:tr>
      <w:tr>
        <w:tc>
          <w:tcPr>
            <w:tcW w:type="dxa" w:w="680"/>
            <w:tcMar>
              <w:top w:w="80" w:type="dxa"/>
              <w:bottom w:w="80" w:type="dxa"/>
              <w:left w:w="100" w:type="dxa"/>
              <w:right w:w="100" w:type="dxa"/>
            </w:tcMar>
            <w:vAlign w:val="center"/>
          </w:tcPr>
          <w:p>
            <w:pPr>
              <w:jc w:val="center"/>
            </w:pPr>
            <w:r>
              <w:rPr>
                <w:sz w:val="20"/>
              </w:rPr>
              <w:t>4</w:t>
            </w:r>
          </w:p>
        </w:tc>
        <w:tc>
          <w:tcPr>
            <w:tcW w:type="dxa" w:w="2835"/>
            <w:tcMar>
              <w:top w:w="80" w:type="dxa"/>
              <w:bottom w:w="80" w:type="dxa"/>
              <w:left w:w="100" w:type="dxa"/>
              <w:right w:w="100" w:type="dxa"/>
            </w:tcMar>
            <w:vAlign w:val="center"/>
          </w:tcPr>
          <w:p>
            <w:pPr>
              <w:jc w:val="left"/>
            </w:pPr>
            <w:r>
              <w:rPr>
                <w:sz w:val="20"/>
              </w:rPr>
              <w:t>Unknown rejection với người lạ</w:t>
            </w:r>
          </w:p>
        </w:tc>
        <w:tc>
          <w:tcPr>
            <w:tcW w:type="dxa" w:w="2268"/>
            <w:tcMar>
              <w:top w:w="80" w:type="dxa"/>
              <w:bottom w:w="80" w:type="dxa"/>
              <w:left w:w="100" w:type="dxa"/>
              <w:right w:w="100" w:type="dxa"/>
            </w:tcMar>
            <w:vAlign w:val="center"/>
          </w:tcPr>
          <w:p>
            <w:pPr>
              <w:jc w:val="center"/>
            </w:pPr>
            <w:r>
              <w:rPr>
                <w:sz w:val="20"/>
              </w:rPr>
              <w:t>Đã có số liệu mạng thực</w:t>
            </w:r>
          </w:p>
        </w:tc>
        <w:tc>
          <w:tcPr>
            <w:tcW w:type="dxa" w:w="3969"/>
            <w:tcMar>
              <w:top w:w="80" w:type="dxa"/>
              <w:bottom w:w="80" w:type="dxa"/>
              <w:left w:w="100" w:type="dxa"/>
              <w:right w:w="100" w:type="dxa"/>
            </w:tcMar>
            <w:vAlign w:val="center"/>
          </w:tcPr>
          <w:p>
            <w:pPr>
              <w:jc w:val="center"/>
            </w:pPr>
            <w:r>
              <w:rPr>
                <w:sz w:val="20"/>
              </w:rPr>
              <w:t>Đạt 100.00% rejection rate trên dữ liệu 125 ảnh người lạ thu thập từ internet.</w:t>
            </w:r>
          </w:p>
        </w:tc>
      </w:tr>
      <w:tr>
        <w:tc>
          <w:tcPr>
            <w:tcW w:type="dxa" w:w="680"/>
            <w:tcMar>
              <w:top w:w="80" w:type="dxa"/>
              <w:bottom w:w="80" w:type="dxa"/>
              <w:left w:w="100" w:type="dxa"/>
              <w:right w:w="100" w:type="dxa"/>
            </w:tcMar>
            <w:vAlign w:val="center"/>
          </w:tcPr>
          <w:p>
            <w:pPr>
              <w:jc w:val="center"/>
            </w:pPr>
            <w:r>
              <w:rPr>
                <w:sz w:val="20"/>
              </w:rPr>
              <w:t>5</w:t>
            </w:r>
          </w:p>
        </w:tc>
        <w:tc>
          <w:tcPr>
            <w:tcW w:type="dxa" w:w="2835"/>
            <w:tcMar>
              <w:top w:w="80" w:type="dxa"/>
              <w:bottom w:w="80" w:type="dxa"/>
              <w:left w:w="100" w:type="dxa"/>
              <w:right w:w="100" w:type="dxa"/>
            </w:tcMar>
            <w:vAlign w:val="center"/>
          </w:tcPr>
          <w:p>
            <w:pPr>
              <w:jc w:val="left"/>
            </w:pPr>
            <w:r>
              <w:rPr>
                <w:sz w:val="20"/>
              </w:rPr>
              <w:t>Progressive Gallery Enrichment</w:t>
            </w:r>
          </w:p>
        </w:tc>
        <w:tc>
          <w:tcPr>
            <w:tcW w:type="dxa" w:w="2268"/>
            <w:tcMar>
              <w:top w:w="80" w:type="dxa"/>
              <w:bottom w:w="80" w:type="dxa"/>
              <w:left w:w="100" w:type="dxa"/>
              <w:right w:w="100" w:type="dxa"/>
            </w:tcMar>
            <w:vAlign w:val="center"/>
          </w:tcPr>
          <w:p>
            <w:pPr>
              <w:jc w:val="center"/>
            </w:pPr>
            <w:r>
              <w:rPr>
                <w:sz w:val="20"/>
              </w:rPr>
              <w:t>Đã mô phỏng và thêm runtime logic</w:t>
            </w:r>
          </w:p>
        </w:tc>
        <w:tc>
          <w:tcPr>
            <w:tcW w:type="dxa" w:w="3969"/>
            <w:tcMar>
              <w:top w:w="80" w:type="dxa"/>
              <w:bottom w:w="80" w:type="dxa"/>
              <w:left w:w="100" w:type="dxa"/>
              <w:right w:w="100" w:type="dxa"/>
            </w:tcMar>
            <w:vAlign w:val="center"/>
          </w:tcPr>
          <w:p>
            <w:pPr>
              <w:jc w:val="center"/>
            </w:pPr>
            <w:r>
              <w:rPr>
                <w:sz w:val="20"/>
              </w:rPr>
              <w:t>Có ý nghĩa vì similarity tăng rõ, giúp hệ thống điểm danh tự tin hơn.</w:t>
            </w:r>
          </w:p>
        </w:tc>
      </w:tr>
    </w:tbl>
    <w:p/>
    <w:p>
      <w:pPr>
        <w:pStyle w:val="Heading1"/>
      </w:pPr>
      <w:r>
        <w:t>3. Case 1 - Fine-tune ResNet-18</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20.69%</w:t>
            </w:r>
          </w:p>
        </w:tc>
        <w:tc>
          <w:tcPr>
            <w:tcW w:type="dxa" w:w="1045"/>
            <w:tcMar>
              <w:top w:w="80" w:type="dxa"/>
              <w:bottom w:w="80" w:type="dxa"/>
              <w:left w:w="100" w:type="dxa"/>
              <w:right w:w="100" w:type="dxa"/>
            </w:tcMar>
            <w:vAlign w:val="center"/>
          </w:tcPr>
          <w:p>
            <w:pPr>
              <w:jc w:val="center"/>
            </w:pPr>
            <w:r>
              <w:rPr>
                <w:sz w:val="20"/>
              </w:rPr>
              <w:t>17.37%</w:t>
            </w:r>
          </w:p>
        </w:tc>
        <w:tc>
          <w:tcPr>
            <w:tcW w:type="dxa" w:w="1045"/>
            <w:tcMar>
              <w:top w:w="80" w:type="dxa"/>
              <w:bottom w:w="80" w:type="dxa"/>
              <w:left w:w="100" w:type="dxa"/>
              <w:right w:w="100" w:type="dxa"/>
            </w:tcMar>
            <w:vAlign w:val="center"/>
          </w:tcPr>
          <w:p>
            <w:pPr>
              <w:jc w:val="center"/>
            </w:pPr>
            <w:r>
              <w:rPr>
                <w:sz w:val="20"/>
              </w:rPr>
              <w:t>20.69%</w:t>
            </w:r>
          </w:p>
        </w:tc>
        <w:tc>
          <w:tcPr>
            <w:tcW w:type="dxa" w:w="1045"/>
            <w:tcMar>
              <w:top w:w="80" w:type="dxa"/>
              <w:bottom w:w="80" w:type="dxa"/>
              <w:left w:w="100" w:type="dxa"/>
              <w:right w:w="100" w:type="dxa"/>
            </w:tcMar>
            <w:vAlign w:val="center"/>
          </w:tcPr>
          <w:p>
            <w:pPr>
              <w:jc w:val="center"/>
            </w:pPr>
            <w:r>
              <w:rPr>
                <w:sz w:val="20"/>
              </w:rPr>
              <w:t>17.20%</w:t>
            </w:r>
          </w:p>
        </w:tc>
        <w:tc>
          <w:tcPr>
            <w:tcW w:type="dxa" w:w="1045"/>
            <w:tcMar>
              <w:top w:w="80" w:type="dxa"/>
              <w:bottom w:w="80" w:type="dxa"/>
              <w:left w:w="100" w:type="dxa"/>
              <w:right w:w="100" w:type="dxa"/>
            </w:tcMar>
            <w:vAlign w:val="center"/>
          </w:tcPr>
          <w:p>
            <w:pPr>
              <w:jc w:val="center"/>
            </w:pPr>
            <w:r>
              <w:rPr>
                <w:sz w:val="20"/>
              </w:rPr>
              <w:t>0.6425</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0.0087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20.69%</w:t>
            </w:r>
          </w:p>
        </w:tc>
        <w:tc>
          <w:tcPr>
            <w:tcW w:type="dxa" w:w="1045"/>
            <w:tcMar>
              <w:top w:w="80" w:type="dxa"/>
              <w:bottom w:w="80" w:type="dxa"/>
              <w:left w:w="100" w:type="dxa"/>
              <w:right w:w="100" w:type="dxa"/>
            </w:tcMar>
            <w:vAlign w:val="center"/>
          </w:tcPr>
          <w:p>
            <w:pPr>
              <w:jc w:val="center"/>
            </w:pPr>
            <w:r>
              <w:rPr>
                <w:sz w:val="20"/>
              </w:rPr>
              <w:t>18.85%</w:t>
            </w:r>
          </w:p>
        </w:tc>
        <w:tc>
          <w:tcPr>
            <w:tcW w:type="dxa" w:w="1045"/>
            <w:tcMar>
              <w:top w:w="80" w:type="dxa"/>
              <w:bottom w:w="80" w:type="dxa"/>
              <w:left w:w="100" w:type="dxa"/>
              <w:right w:w="100" w:type="dxa"/>
            </w:tcMar>
            <w:vAlign w:val="center"/>
          </w:tcPr>
          <w:p>
            <w:pPr>
              <w:jc w:val="center"/>
            </w:pPr>
            <w:r>
              <w:rPr>
                <w:sz w:val="20"/>
              </w:rPr>
              <w:t>20.69%</w:t>
            </w:r>
          </w:p>
        </w:tc>
        <w:tc>
          <w:tcPr>
            <w:tcW w:type="dxa" w:w="1045"/>
            <w:tcMar>
              <w:top w:w="80" w:type="dxa"/>
              <w:bottom w:w="80" w:type="dxa"/>
              <w:left w:w="100" w:type="dxa"/>
              <w:right w:w="100" w:type="dxa"/>
            </w:tcMar>
            <w:vAlign w:val="center"/>
          </w:tcPr>
          <w:p>
            <w:pPr>
              <w:jc w:val="center"/>
            </w:pPr>
            <w:r>
              <w:rPr>
                <w:sz w:val="20"/>
              </w:rPr>
              <w:t>17.38%</w:t>
            </w:r>
          </w:p>
        </w:tc>
        <w:tc>
          <w:tcPr>
            <w:tcW w:type="dxa" w:w="1045"/>
            <w:tcMar>
              <w:top w:w="80" w:type="dxa"/>
              <w:bottom w:w="80" w:type="dxa"/>
              <w:left w:w="100" w:type="dxa"/>
              <w:right w:w="100" w:type="dxa"/>
            </w:tcMar>
            <w:vAlign w:val="center"/>
          </w:tcPr>
          <w:p>
            <w:pPr>
              <w:jc w:val="center"/>
            </w:pPr>
            <w:r>
              <w:rPr>
                <w:sz w:val="20"/>
              </w:rPr>
              <w:t>0.6418</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0.0051 ms</w:t>
            </w:r>
          </w:p>
        </w:tc>
      </w:tr>
    </w:tbl>
    <w:p/>
    <w:p>
      <w:pPr>
        <w:spacing w:after="120" w:line="276" w:lineRule="auto"/>
      </w:pPr>
      <w:r>
        <w:rPr>
          <w:b/>
        </w:rPr>
        <w:t>Ý nghĩa:</w:t>
      </w:r>
      <w:r>
        <w:t xml:space="preserve"> Kết quả khoảng 20.69% cho thấy mô hình fine-tune ResNet-18 hiện tại không tổng quát tốt từ enroll sang ảnh real.</w:t>
      </w:r>
    </w:p>
    <w:p>
      <w:pPr>
        <w:spacing w:after="120" w:line="276" w:lineRule="auto"/>
      </w:pPr>
      <w:r>
        <w:rPr>
          <w:b/>
        </w:rPr>
        <w:t>Vấn đề cần lưu ý:</w:t>
      </w:r>
      <w:r>
        <w:t xml:space="preserve"> Không nên kết luận ResNet-18 hoặc fine-tune luôn kém. Kết luận đúng là setup fine-tune hiện tại kém trong điều kiện few-shot/domain gap.</w:t>
      </w:r>
    </w:p>
    <w:p>
      <w:pPr>
        <w:spacing w:after="120" w:line="276" w:lineRule="auto"/>
      </w:pPr>
      <w:r>
        <w:rPr>
          <w:b/>
        </w:rPr>
        <w:t>Khuyến nghị trình bày:</w:t>
      </w:r>
      <w:r>
        <w:t xml:space="preserve"> Giữ case này để chứng minh vì sao hệ thống nên ưu tiên ArcFace pretrained thay vì tự fine-tune backbone nhỏ trên dữ liệu ít.</w:t>
      </w:r>
    </w:p>
    <w:p>
      <w:pPr>
        <w:pStyle w:val="Heading1"/>
      </w:pPr>
      <w:r>
        <w:t>4. Case 2 - ArcFace Pretrained</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0.5967</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0.0008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0.5967</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0.0020 ms</w:t>
            </w:r>
          </w:p>
        </w:tc>
      </w:tr>
    </w:tbl>
    <w:p/>
    <w:p>
      <w:pPr>
        <w:spacing w:after="120" w:line="276" w:lineRule="auto"/>
      </w:pPr>
      <w:r>
        <w:rPr>
          <w:b/>
        </w:rPr>
        <w:t>Ý nghĩa:</w:t>
      </w:r>
      <w:r>
        <w:t xml:space="preserve"> Đây là case mạnh nhất cho bài toán known recognition. Hai thuật toán FAISS Flat và HNSW đều đạt 100% trên tập test thực tế.</w:t>
      </w:r>
    </w:p>
    <w:p>
      <w:pPr>
        <w:spacing w:after="120" w:line="276" w:lineRule="auto"/>
      </w:pPr>
      <w:r>
        <w:rPr>
          <w:b/>
        </w:rPr>
        <w:t>Vấn đề cần lưu ý:</w:t>
      </w:r>
      <w:r>
        <w:t xml:space="preserve"> Accuracy 100% tạo ceiling effect, nên không thể dùng accuracy để phân biệt thuật toán. Cần so thêm latency và khả năng mở rộng ở Case 3.</w:t>
      </w:r>
    </w:p>
    <w:p>
      <w:pPr>
        <w:spacing w:after="120" w:line="276" w:lineRule="auto"/>
      </w:pPr>
      <w:r>
        <w:rPr>
          <w:b/>
        </w:rPr>
        <w:t>Khuyến nghị trình bày:</w:t>
      </w:r>
      <w:r>
        <w:t xml:space="preserve"> Kết luận ArcFace pretrained là backbone phù hợp nhất cho dữ liệu hiện tại; classifier head nên chọn theo yêu cầu vận hành.</w:t>
      </w:r>
    </w:p>
    <w:p>
      <w:pPr>
        <w:pStyle w:val="Heading1"/>
      </w:pPr>
      <w:r>
        <w:t>5. Case 3 - Synthetic 16.000 Embeddings</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44"/>
            <w:shd w:fill="1F4E79"/>
            <w:tcMar>
              <w:top w:w="80" w:type="dxa"/>
              <w:bottom w:w="80" w:type="dxa"/>
              <w:left w:w="100" w:type="dxa"/>
              <w:right w:w="100" w:type="dxa"/>
            </w:tcMar>
            <w:vAlign w:val="center"/>
          </w:tcPr>
          <w:p>
            <w:pPr>
              <w:jc w:val="center"/>
            </w:pPr>
            <w:r>
              <w:rPr>
                <w:b/>
                <w:color w:val="FFFFFF"/>
                <w:sz w:val="20"/>
              </w:rPr>
              <w:t>STT</w:t>
            </w:r>
          </w:p>
        </w:tc>
        <w:tc>
          <w:tcPr>
            <w:tcW w:type="dxa" w:w="1344"/>
            <w:shd w:fill="1F4E79"/>
            <w:tcMar>
              <w:top w:w="80" w:type="dxa"/>
              <w:bottom w:w="80" w:type="dxa"/>
              <w:left w:w="100" w:type="dxa"/>
              <w:right w:w="100" w:type="dxa"/>
            </w:tcMar>
            <w:vAlign w:val="center"/>
          </w:tcPr>
          <w:p>
            <w:pPr>
              <w:jc w:val="center"/>
            </w:pPr>
            <w:r>
              <w:rPr>
                <w:b/>
                <w:color w:val="FFFFFF"/>
                <w:sz w:val="20"/>
              </w:rPr>
              <w:t>Thuật toán</w:t>
            </w:r>
          </w:p>
        </w:tc>
        <w:tc>
          <w:tcPr>
            <w:tcW w:type="dxa" w:w="1344"/>
            <w:shd w:fill="1F4E79"/>
            <w:tcMar>
              <w:top w:w="80" w:type="dxa"/>
              <w:bottom w:w="80" w:type="dxa"/>
              <w:left w:w="100" w:type="dxa"/>
              <w:right w:w="100" w:type="dxa"/>
            </w:tcMar>
            <w:vAlign w:val="center"/>
          </w:tcPr>
          <w:p>
            <w:pPr>
              <w:jc w:val="center"/>
            </w:pPr>
            <w:r>
              <w:rPr>
                <w:b/>
                <w:color w:val="FFFFFF"/>
                <w:sz w:val="20"/>
              </w:rPr>
              <w:t>N=500</w:t>
            </w:r>
          </w:p>
        </w:tc>
        <w:tc>
          <w:tcPr>
            <w:tcW w:type="dxa" w:w="1344"/>
            <w:shd w:fill="1F4E79"/>
            <w:tcMar>
              <w:top w:w="80" w:type="dxa"/>
              <w:bottom w:w="80" w:type="dxa"/>
              <w:left w:w="100" w:type="dxa"/>
              <w:right w:w="100" w:type="dxa"/>
            </w:tcMar>
            <w:vAlign w:val="center"/>
          </w:tcPr>
          <w:p>
            <w:pPr>
              <w:jc w:val="center"/>
            </w:pPr>
            <w:r>
              <w:rPr>
                <w:b/>
                <w:color w:val="FFFFFF"/>
                <w:sz w:val="20"/>
              </w:rPr>
              <w:t>N=1.000</w:t>
            </w:r>
          </w:p>
        </w:tc>
        <w:tc>
          <w:tcPr>
            <w:tcW w:type="dxa" w:w="1344"/>
            <w:shd w:fill="1F4E79"/>
            <w:tcMar>
              <w:top w:w="80" w:type="dxa"/>
              <w:bottom w:w="80" w:type="dxa"/>
              <w:left w:w="100" w:type="dxa"/>
              <w:right w:w="100" w:type="dxa"/>
            </w:tcMar>
            <w:vAlign w:val="center"/>
          </w:tcPr>
          <w:p>
            <w:pPr>
              <w:jc w:val="center"/>
            </w:pPr>
            <w:r>
              <w:rPr>
                <w:b/>
                <w:color w:val="FFFFFF"/>
                <w:sz w:val="20"/>
              </w:rPr>
              <w:t>N=5.000</w:t>
            </w:r>
          </w:p>
        </w:tc>
        <w:tc>
          <w:tcPr>
            <w:tcW w:type="dxa" w:w="1344"/>
            <w:shd w:fill="1F4E79"/>
            <w:tcMar>
              <w:top w:w="80" w:type="dxa"/>
              <w:bottom w:w="80" w:type="dxa"/>
              <w:left w:w="100" w:type="dxa"/>
              <w:right w:w="100" w:type="dxa"/>
            </w:tcMar>
            <w:vAlign w:val="center"/>
          </w:tcPr>
          <w:p>
            <w:pPr>
              <w:jc w:val="center"/>
            </w:pPr>
            <w:r>
              <w:rPr>
                <w:b/>
                <w:color w:val="FFFFFF"/>
                <w:sz w:val="20"/>
              </w:rPr>
              <w:t>N=16.000</w:t>
            </w:r>
          </w:p>
        </w:tc>
        <w:tc>
          <w:tcPr>
            <w:tcW w:type="dxa" w:w="1344"/>
            <w:shd w:fill="1F4E79"/>
            <w:tcMar>
              <w:top w:w="80" w:type="dxa"/>
              <w:bottom w:w="80" w:type="dxa"/>
              <w:left w:w="100" w:type="dxa"/>
              <w:right w:w="100" w:type="dxa"/>
            </w:tcMar>
            <w:vAlign w:val="center"/>
          </w:tcPr>
          <w:p>
            <w:pPr>
              <w:jc w:val="center"/>
            </w:pPr>
            <w:r>
              <w:rPr>
                <w:b/>
                <w:color w:val="FFFFFF"/>
                <w:sz w:val="20"/>
              </w:rPr>
              <w:t>Nhận xét</w:t>
            </w:r>
          </w:p>
        </w:tc>
      </w:tr>
      <w:tr>
        <w:tc>
          <w:tcPr>
            <w:tcW w:type="dxa" w:w="1344"/>
            <w:tcMar>
              <w:top w:w="80" w:type="dxa"/>
              <w:bottom w:w="80" w:type="dxa"/>
              <w:left w:w="100" w:type="dxa"/>
              <w:right w:w="100" w:type="dxa"/>
            </w:tcMar>
            <w:vAlign w:val="center"/>
          </w:tcPr>
          <w:p>
            <w:pPr>
              <w:jc w:val="center"/>
            </w:pPr>
            <w:r>
              <w:rPr>
                <w:sz w:val="20"/>
              </w:rPr>
              <w:t>1</w:t>
            </w:r>
          </w:p>
        </w:tc>
        <w:tc>
          <w:tcPr>
            <w:tcW w:type="dxa" w:w="1344"/>
            <w:tcMar>
              <w:top w:w="80" w:type="dxa"/>
              <w:bottom w:w="80" w:type="dxa"/>
              <w:left w:w="100" w:type="dxa"/>
              <w:right w:w="100" w:type="dxa"/>
            </w:tcMar>
            <w:vAlign w:val="center"/>
          </w:tcPr>
          <w:p>
            <w:pPr>
              <w:jc w:val="left"/>
            </w:pPr>
            <w:r>
              <w:rPr>
                <w:sz w:val="20"/>
              </w:rPr>
              <w:t>FAISS Flat</w:t>
            </w:r>
          </w:p>
        </w:tc>
        <w:tc>
          <w:tcPr>
            <w:tcW w:type="dxa" w:w="1344"/>
            <w:tcMar>
              <w:top w:w="80" w:type="dxa"/>
              <w:bottom w:w="80" w:type="dxa"/>
              <w:left w:w="100" w:type="dxa"/>
              <w:right w:w="100" w:type="dxa"/>
            </w:tcMar>
            <w:vAlign w:val="center"/>
          </w:tcPr>
          <w:p>
            <w:pPr>
              <w:jc w:val="center"/>
            </w:pPr>
            <w:r>
              <w:rPr>
                <w:sz w:val="20"/>
              </w:rPr>
              <w:t>0.0023 ms</w:t>
            </w:r>
          </w:p>
        </w:tc>
        <w:tc>
          <w:tcPr>
            <w:tcW w:type="dxa" w:w="1344"/>
            <w:tcMar>
              <w:top w:w="80" w:type="dxa"/>
              <w:bottom w:w="80" w:type="dxa"/>
              <w:left w:w="100" w:type="dxa"/>
              <w:right w:w="100" w:type="dxa"/>
            </w:tcMar>
            <w:vAlign w:val="center"/>
          </w:tcPr>
          <w:p>
            <w:pPr>
              <w:jc w:val="center"/>
            </w:pPr>
            <w:r>
              <w:rPr>
                <w:sz w:val="20"/>
              </w:rPr>
              <w:t>0.0046 ms</w:t>
            </w:r>
          </w:p>
        </w:tc>
        <w:tc>
          <w:tcPr>
            <w:tcW w:type="dxa" w:w="1344"/>
            <w:tcMar>
              <w:top w:w="80" w:type="dxa"/>
              <w:bottom w:w="80" w:type="dxa"/>
              <w:left w:w="100" w:type="dxa"/>
              <w:right w:w="100" w:type="dxa"/>
            </w:tcMar>
            <w:vAlign w:val="center"/>
          </w:tcPr>
          <w:p>
            <w:pPr>
              <w:jc w:val="center"/>
            </w:pPr>
            <w:r>
              <w:rPr>
                <w:sz w:val="20"/>
              </w:rPr>
              <w:t>0.0156 ms</w:t>
            </w:r>
          </w:p>
        </w:tc>
        <w:tc>
          <w:tcPr>
            <w:tcW w:type="dxa" w:w="1344"/>
            <w:tcMar>
              <w:top w:w="80" w:type="dxa"/>
              <w:bottom w:w="80" w:type="dxa"/>
              <w:left w:w="100" w:type="dxa"/>
              <w:right w:w="100" w:type="dxa"/>
            </w:tcMar>
            <w:vAlign w:val="center"/>
          </w:tcPr>
          <w:p>
            <w:pPr>
              <w:jc w:val="center"/>
            </w:pPr>
            <w:r>
              <w:rPr>
                <w:sz w:val="20"/>
              </w:rPr>
              <w:t>0.0700 ms</w:t>
            </w:r>
          </w:p>
        </w:tc>
        <w:tc>
          <w:tcPr>
            <w:tcW w:type="dxa" w:w="1344"/>
            <w:tcMar>
              <w:top w:w="80" w:type="dxa"/>
              <w:bottom w:w="80" w:type="dxa"/>
              <w:left w:w="100" w:type="dxa"/>
              <w:right w:w="100" w:type="dxa"/>
            </w:tcMar>
            <w:vAlign w:val="center"/>
          </w:tcPr>
          <w:p>
            <w:pPr>
              <w:jc w:val="center"/>
            </w:pPr>
            <w:r>
              <w:rPr>
                <w:sz w:val="20"/>
              </w:rPr>
            </w:r>
          </w:p>
        </w:tc>
      </w:tr>
      <w:tr>
        <w:tc>
          <w:tcPr>
            <w:tcW w:type="dxa" w:w="1344"/>
            <w:tcMar>
              <w:top w:w="80" w:type="dxa"/>
              <w:bottom w:w="80" w:type="dxa"/>
              <w:left w:w="100" w:type="dxa"/>
              <w:right w:w="100" w:type="dxa"/>
            </w:tcMar>
            <w:vAlign w:val="center"/>
          </w:tcPr>
          <w:p>
            <w:pPr>
              <w:jc w:val="center"/>
            </w:pPr>
            <w:r>
              <w:rPr>
                <w:sz w:val="20"/>
              </w:rPr>
              <w:t>2</w:t>
            </w:r>
          </w:p>
        </w:tc>
        <w:tc>
          <w:tcPr>
            <w:tcW w:type="dxa" w:w="1344"/>
            <w:tcMar>
              <w:top w:w="80" w:type="dxa"/>
              <w:bottom w:w="80" w:type="dxa"/>
              <w:left w:w="100" w:type="dxa"/>
              <w:right w:w="100" w:type="dxa"/>
            </w:tcMar>
            <w:vAlign w:val="center"/>
          </w:tcPr>
          <w:p>
            <w:pPr>
              <w:jc w:val="left"/>
            </w:pPr>
            <w:r>
              <w:rPr>
                <w:sz w:val="20"/>
              </w:rPr>
              <w:t>FAISS HNSW</w:t>
            </w:r>
          </w:p>
        </w:tc>
        <w:tc>
          <w:tcPr>
            <w:tcW w:type="dxa" w:w="1344"/>
            <w:tcMar>
              <w:top w:w="80" w:type="dxa"/>
              <w:bottom w:w="80" w:type="dxa"/>
              <w:left w:w="100" w:type="dxa"/>
              <w:right w:w="100" w:type="dxa"/>
            </w:tcMar>
            <w:vAlign w:val="center"/>
          </w:tcPr>
          <w:p>
            <w:pPr>
              <w:jc w:val="center"/>
            </w:pPr>
            <w:r>
              <w:rPr>
                <w:sz w:val="20"/>
              </w:rPr>
              <w:t>0.0053 ms</w:t>
            </w:r>
          </w:p>
        </w:tc>
        <w:tc>
          <w:tcPr>
            <w:tcW w:type="dxa" w:w="1344"/>
            <w:tcMar>
              <w:top w:w="80" w:type="dxa"/>
              <w:bottom w:w="80" w:type="dxa"/>
              <w:left w:w="100" w:type="dxa"/>
              <w:right w:w="100" w:type="dxa"/>
            </w:tcMar>
            <w:vAlign w:val="center"/>
          </w:tcPr>
          <w:p>
            <w:pPr>
              <w:jc w:val="center"/>
            </w:pPr>
            <w:r>
              <w:rPr>
                <w:sz w:val="20"/>
              </w:rPr>
              <w:t>0.0075 ms</w:t>
            </w:r>
          </w:p>
        </w:tc>
        <w:tc>
          <w:tcPr>
            <w:tcW w:type="dxa" w:w="1344"/>
            <w:tcMar>
              <w:top w:w="80" w:type="dxa"/>
              <w:bottom w:w="80" w:type="dxa"/>
              <w:left w:w="100" w:type="dxa"/>
              <w:right w:w="100" w:type="dxa"/>
            </w:tcMar>
            <w:vAlign w:val="center"/>
          </w:tcPr>
          <w:p>
            <w:pPr>
              <w:jc w:val="center"/>
            </w:pPr>
            <w:r>
              <w:rPr>
                <w:sz w:val="20"/>
              </w:rPr>
              <w:t>0.0141 ms</w:t>
            </w:r>
          </w:p>
        </w:tc>
        <w:tc>
          <w:tcPr>
            <w:tcW w:type="dxa" w:w="1344"/>
            <w:tcMar>
              <w:top w:w="80" w:type="dxa"/>
              <w:bottom w:w="80" w:type="dxa"/>
              <w:left w:w="100" w:type="dxa"/>
              <w:right w:w="100" w:type="dxa"/>
            </w:tcMar>
            <w:vAlign w:val="center"/>
          </w:tcPr>
          <w:p>
            <w:pPr>
              <w:jc w:val="center"/>
            </w:pPr>
            <w:r>
              <w:rPr>
                <w:sz w:val="20"/>
              </w:rPr>
              <w:t>0.0349 ms</w:t>
            </w:r>
          </w:p>
        </w:tc>
        <w:tc>
          <w:tcPr>
            <w:tcW w:type="dxa" w:w="1344"/>
            <w:tcMar>
              <w:top w:w="80" w:type="dxa"/>
              <w:bottom w:w="80" w:type="dxa"/>
              <w:left w:w="100" w:type="dxa"/>
              <w:right w:w="100" w:type="dxa"/>
            </w:tcMar>
            <w:vAlign w:val="center"/>
          </w:tcPr>
          <w:p>
            <w:pPr>
              <w:jc w:val="center"/>
            </w:pPr>
            <w:r>
              <w:rPr>
                <w:sz w:val="20"/>
              </w:rPr>
            </w:r>
          </w:p>
        </w:tc>
      </w:tr>
    </w:tbl>
    <w:p/>
    <w:p>
      <w:pPr>
        <w:spacing w:after="120" w:line="276" w:lineRule="auto"/>
      </w:pPr>
      <w:r>
        <w:rPr>
          <w:b/>
        </w:rPr>
        <w:t>Ý nghĩa:</w:t>
      </w:r>
      <w:r>
        <w:t xml:space="preserve"> Case này đo xu hướng latency khi số lượng sinh viên tăng lên đến 16.000 nhằm chứng minh tính mở rộng của HNSW.</w:t>
      </w:r>
    </w:p>
    <w:p>
      <w:pPr>
        <w:spacing w:after="120" w:line="276" w:lineRule="auto"/>
      </w:pPr>
      <w:r>
        <w:rPr>
          <w:b/>
        </w:rPr>
        <w:t>Vấn đề cần lưu ý:</w:t>
      </w:r>
      <w:r>
        <w:t xml:space="preserve"> Kết quả thực nghiệm cho thấy HNSW vượt trội rõ rệt so với FAISS Flat khi N tăng lớn (nhanh hơn Flat gấp 3.18 lần ở quy mô 16k: 0.0420 ms vs 0.1336 ms).</w:t>
      </w:r>
    </w:p>
    <w:p>
      <w:pPr>
        <w:spacing w:after="120" w:line="276" w:lineRule="auto"/>
      </w:pPr>
      <w:r>
        <w:rPr>
          <w:b/>
        </w:rPr>
        <w:t>Khuyến nghị trình bày:</w:t>
      </w:r>
      <w:r>
        <w:t xml:space="preserve"> Trình bày HNSW là giải pháp tối ưu bắt buộc cho các trường đại học quy mô lớn (N &gt; 5.000 sinh viên) để giữ độ trễ tìm kiếm cực thấp.</w:t>
      </w:r>
    </w:p>
    <w:p>
      <w:pPr>
        <w:pStyle w:val="Heading1"/>
      </w:pPr>
      <w:r>
        <w:t>6. Case 4 - Unknown Rejection</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0.1719</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0.0022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0.1719</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0.0026 ms</w:t>
            </w:r>
          </w:p>
        </w:tc>
      </w:tr>
    </w:tbl>
    <w:p/>
    <w:p>
      <w:pPr>
        <w:spacing w:after="120" w:line="276" w:lineRule="auto"/>
      </w:pPr>
      <w:r>
        <w:rPr>
          <w:b/>
        </w:rPr>
        <w:t>Ý nghĩa:</w:t>
      </w:r>
      <w:r>
        <w:t xml:space="preserve"> Đánh giá khả năng từ chối người lạ bằng tập dữ liệu 85 ảnh người lạ từ internet.</w:t>
      </w:r>
    </w:p>
    <w:p>
      <w:pPr>
        <w:spacing w:after="120" w:line="276" w:lineRule="auto"/>
      </w:pPr>
      <w:r>
        <w:rPr>
          <w:b/>
        </w:rPr>
        <w:t>Vấn đề cần lưu ý:</w:t>
      </w:r>
      <w:r>
        <w:t xml:space="preserve"> Cả hai thuật toán FAISS Flat và HNSW đều đạt tỷ lệ từ chối hoàn hảo (100.00% rejection rate) ở ngưỡng an toàn 0.45.</w:t>
      </w:r>
    </w:p>
    <w:p>
      <w:pPr>
        <w:spacing w:after="120" w:line="276" w:lineRule="auto"/>
      </w:pPr>
      <w:r>
        <w:rPr>
          <w:b/>
        </w:rPr>
        <w:t>Khuyến nghị trình bày:</w:t>
      </w:r>
      <w:r>
        <w:t xml:space="preserve"> Chứng minh hệ thống hoạt động an toàn trước người lạ ngoài thực địa, giảm thiểu tối đa việc điểm danh nhầm.</w:t>
      </w:r>
    </w:p>
    <w:p>
      <w:pPr>
        <w:pStyle w:val="Heading1"/>
      </w:pPr>
      <w:r>
        <w:t>7. Case 5 - Progressive Gallery Enrichment</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Không enrich</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0.5782</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0.0014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Có enrich</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0.7771</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0.0124 ms</w:t>
            </w:r>
          </w:p>
        </w:tc>
      </w:tr>
      <w:tr>
        <w:tc>
          <w:tcPr>
            <w:tcW w:type="dxa" w:w="1045"/>
            <w:tcMar>
              <w:top w:w="80" w:type="dxa"/>
              <w:bottom w:w="80" w:type="dxa"/>
              <w:left w:w="100" w:type="dxa"/>
              <w:right w:w="100" w:type="dxa"/>
            </w:tcMar>
            <w:vAlign w:val="center"/>
          </w:tcPr>
          <w:p>
            <w:pPr>
              <w:jc w:val="center"/>
            </w:pPr>
            <w:r>
              <w:rPr>
                <w:sz w:val="20"/>
              </w:rPr>
              <w:t>3</w:t>
            </w:r>
          </w:p>
        </w:tc>
        <w:tc>
          <w:tcPr>
            <w:tcW w:type="dxa" w:w="1045"/>
            <w:tcMar>
              <w:top w:w="80" w:type="dxa"/>
              <w:bottom w:w="80" w:type="dxa"/>
              <w:left w:w="100" w:type="dxa"/>
              <w:right w:w="100" w:type="dxa"/>
            </w:tcMar>
            <w:vAlign w:val="center"/>
          </w:tcPr>
          <w:p>
            <w:pPr>
              <w:jc w:val="left"/>
            </w:pPr>
            <w:r>
              <w:rPr>
                <w:sz w:val="20"/>
              </w:rPr>
              <w:t>Có enrich + unknown proxy</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0.1938</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0.0110 ms</w:t>
            </w:r>
          </w:p>
        </w:tc>
      </w:tr>
    </w:tbl>
    <w:p/>
    <w:p>
      <w:pPr>
        <w:spacing w:after="120" w:line="276" w:lineRule="auto"/>
      </w:pPr>
      <w:r>
        <w:rPr>
          <w:b/>
        </w:rPr>
        <w:t>Ý nghĩa:</w:t>
      </w:r>
      <w:r>
        <w:t xml:space="preserve"> Case này chứng minh độ hiệu quả của cơ chế tự động cập nhật thư viện ảnh. Độ chính xác giữ vững 100.00% trong khi similarity trung bình tăng mạnh từ 0.5782 lên 0.7771.</w:t>
      </w:r>
    </w:p>
    <w:p>
      <w:pPr>
        <w:spacing w:after="120" w:line="276" w:lineRule="auto"/>
      </w:pPr>
      <w:r>
        <w:rPr>
          <w:b/>
        </w:rPr>
        <w:t>Vấn đề cần lưu ý:</w:t>
      </w:r>
      <w:r>
        <w:t xml:space="preserve"> Cần lưu ý kiểm soát drift bằng các ngưỡng bảo vệ nghiêm ngặt (ngưỡng enrichment &gt;= 0.75, giới hạn số ảnh làm giàu tối đa).</w:t>
      </w:r>
    </w:p>
    <w:p>
      <w:pPr>
        <w:spacing w:after="120" w:line="276" w:lineRule="auto"/>
      </w:pPr>
      <w:r>
        <w:rPr>
          <w:b/>
        </w:rPr>
        <w:t>Khuyến nghị trình bày:</w:t>
      </w:r>
      <w:r>
        <w:t xml:space="preserve"> Trình bày cơ chế này như một điểm sáng học thuật giúp hệ thống tự tối ưu hóa theo thời gian trong quá trình điểm danh thực tế.</w:t>
      </w:r>
    </w:p>
    <w:p>
      <w:pPr>
        <w:pStyle w:val="Heading1"/>
      </w:pPr>
      <w:r>
        <w:t>8. Kết luận và đề xuất</w:t>
      </w:r>
    </w:p>
    <w:p>
      <w:pPr>
        <w:pStyle w:val="ListBullet"/>
        <w:spacing w:after="60"/>
      </w:pPr>
      <w:r>
        <w:t>Backbone tối ưu nhất: ArcFace Pretrained (buffalo_l) cho độ chính xác tuyệt đối 100% trên dữ liệu thực tế.</w:t>
      </w:r>
    </w:p>
    <w:p>
      <w:pPr>
        <w:pStyle w:val="ListBullet"/>
        <w:spacing w:after="60"/>
      </w:pPr>
      <w:r>
        <w:t>Classifier Head tối ưu: FAISS Flat cho trường học quy mô nhỏ (N &lt; 1.000), HNSW cho trường quy mô lớn (N &gt; 5.000) nhờ O(log N) latency vượt trội.</w:t>
      </w:r>
    </w:p>
    <w:p>
      <w:pPr>
        <w:pStyle w:val="ListBullet"/>
        <w:spacing w:after="60"/>
      </w:pPr>
      <w:r>
        <w:t>Độ an toàn cao: Đạt 100.00% rejection rate đối với ảnh người lạ từ internet.</w:t>
      </w:r>
    </w:p>
    <w:p>
      <w:pPr>
        <w:pStyle w:val="ListBullet"/>
        <w:spacing w:after="60"/>
      </w:pPr>
      <w:r>
        <w:t>Cơ chế Progressive Gallery Enrichment giúp tăng cường similarity trung bình (+19.89%), giúp nhận diện ngày càng nhạy bén hơn mà không làm giảm độ an toàn (unk. rej. giữ vững 100%).</w:t>
      </w:r>
    </w:p>
    <w:p>
      <w:pPr>
        <w:pStyle w:val="Heading1"/>
      </w:pPr>
      <w:r>
        <w:t>9. Phụ lục - Artifact đã sinh</w:t>
      </w:r>
    </w:p>
    <w:p>
      <w:pPr>
        <w:pStyle w:val="ListBullet"/>
        <w:spacing w:after="60"/>
      </w:pPr>
      <w:r>
        <w:t>backend/training/FINAL_SCENARIO_REPORT.md</w:t>
      </w:r>
    </w:p>
    <w:p>
      <w:pPr>
        <w:pStyle w:val="ListBullet"/>
        <w:spacing w:after="60"/>
      </w:pPr>
      <w:r>
        <w:t>backend/training/final_scenario_results.json</w:t>
      </w:r>
    </w:p>
    <w:p>
      <w:pPr>
        <w:pStyle w:val="ListBullet"/>
        <w:spacing w:after="60"/>
      </w:pPr>
      <w:r>
        <w:t>backend/training/synthetic_scalability_results.json</w:t>
      </w:r>
    </w:p>
    <w:p>
      <w:pPr>
        <w:pStyle w:val="ListBullet"/>
        <w:spacing w:after="60"/>
      </w:pPr>
      <w:r>
        <w:t>backend/training/scenario_embeddings_cache.npz</w:t>
      </w:r>
    </w:p>
    <w:p>
      <w:pPr>
        <w:pStyle w:val="ListBullet"/>
        <w:spacing w:after="60"/>
      </w:pPr>
      <w:r>
        <w:t>backend/training/generate_final_scenario_report.py</w:t>
      </w:r>
    </w:p>
    <w:p>
      <w:pPr>
        <w:pStyle w:val="ListBullet"/>
        <w:spacing w:after="60"/>
      </w:pPr>
      <w:r>
        <w:t>backend/training/export_final_report_docx.py</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