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2D50D" w14:textId="644F7D2D" w:rsidR="002970F2" w:rsidRDefault="0026348B" w:rsidP="0026348B">
      <w:pPr>
        <w:pStyle w:val="1"/>
      </w:pPr>
      <w:r>
        <w:rPr>
          <w:rFonts w:hint="eastAsia"/>
        </w:rPr>
        <w:t>高并发系统限流</w:t>
      </w:r>
    </w:p>
    <w:p w14:paraId="58821DE2" w14:textId="3B4D492F" w:rsidR="0026348B" w:rsidRDefault="0026348B">
      <w:r>
        <w:rPr>
          <w:noProof/>
        </w:rPr>
        <w:drawing>
          <wp:inline distT="0" distB="0" distL="0" distR="0" wp14:anchorId="367707BF" wp14:editId="1BE50068">
            <wp:extent cx="5274310" cy="2052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5AC8" w14:textId="4E1C3DBE" w:rsidR="0026348B" w:rsidRDefault="0026348B">
      <w:r>
        <w:rPr>
          <w:noProof/>
        </w:rPr>
        <w:drawing>
          <wp:inline distT="0" distB="0" distL="0" distR="0" wp14:anchorId="2914C5E9" wp14:editId="4B887C7A">
            <wp:extent cx="5274310" cy="292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91AB" w14:textId="77777777" w:rsidR="0026348B" w:rsidRDefault="0026348B">
      <w:pPr>
        <w:rPr>
          <w:rFonts w:hint="eastAsia"/>
        </w:rPr>
      </w:pPr>
      <w:bookmarkStart w:id="0" w:name="_GoBack"/>
      <w:bookmarkEnd w:id="0"/>
    </w:p>
    <w:sectPr w:rsidR="00263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C5"/>
    <w:rsid w:val="001415C5"/>
    <w:rsid w:val="0026348B"/>
    <w:rsid w:val="002970F2"/>
    <w:rsid w:val="00364621"/>
    <w:rsid w:val="009649EB"/>
    <w:rsid w:val="00F2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8DEE"/>
  <w15:chartTrackingRefBased/>
  <w15:docId w15:val="{20843D72-E300-427D-937C-F61F7AA9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34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3</cp:revision>
  <dcterms:created xsi:type="dcterms:W3CDTF">2019-10-03T14:47:00Z</dcterms:created>
  <dcterms:modified xsi:type="dcterms:W3CDTF">2019-10-03T15:35:00Z</dcterms:modified>
</cp:coreProperties>
</file>