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center"/>
        <w:textAlignment w:val="auto"/>
        <w:rPr>
          <w:rFonts w:hint="eastAsia"/>
          <w:b/>
          <w:bCs w:val="0"/>
          <w:sz w:val="28"/>
          <w:szCs w:val="28"/>
        </w:rPr>
      </w:pPr>
      <w:r>
        <w:rPr>
          <w:rFonts w:hint="eastAsia" w:asciiTheme="minorEastAsia" w:hAnsiTheme="minorEastAsia" w:eastAsiaTheme="minorEastAsia" w:cstheme="minorEastAsia"/>
          <w:b/>
          <w:bCs w:val="0"/>
          <w:sz w:val="32"/>
          <w:szCs w:val="32"/>
          <w:lang w:val="zh-CN"/>
        </w:rPr>
        <w:t>民间非营利组织会计制度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为了规范民间非营利组织的会计核算，保证会计信息的真实、完整，根据《中华人民共和国会计法》及国家其他有关法</w:t>
      </w:r>
      <w:bookmarkStart w:id="0" w:name="_GoBack"/>
      <w:bookmarkEnd w:id="0"/>
      <w:r>
        <w:rPr>
          <w:rFonts w:hint="eastAsia"/>
          <w:sz w:val="28"/>
          <w:szCs w:val="28"/>
        </w:rPr>
        <w:t>律、法规的规定，制定本制度。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本制度适用于在中华人民共和国境内依法设立的符合本制度规定特征的民间非营利组织。民间非营利组织包括依照国家法律、行政法规登记的社会团体、基金会、民办非企业单位和寺院、宫观、清真寺、教堂等。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适用本制度的民间非营利组织应当同时具备以下特征：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（一）该组织不以营利为目的和宗旨；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（二）资源提供者向该组织投入资源并不得以取得经济回报为目的；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（三）资源提供者不享有该组织的所有权。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会计核算应当以民间非营利组织的交易或者事项为对象，记录和反映该组织本身的各项经济业务活动。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会计核算应当以民间非营利组织的持续经营为前提。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会计核算应当划分会计期间，分期结算账目和编制 财务会计报告。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会计核算应当以人民币作为记账本位币。业务收支以人民币以外的货币为主的民间非营利组织，可以选定其中一种货币作为记账本位币，但是编制的财务会计报告应当折算为人民币。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民间非营利组织在核算外币业务时，应当设置相应的外币账户。外币账户包括外币现金、外币银行存款、以外币结算的债权和债务账户等，这些账户应当与非外币的各该相同账户分别设置，并分别核算。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发生外币业务时，应当将有关外币金额折算为记账本位币金额记账。除另有规定外，所有与外币业务有关的账户，应当采用业务发生时的汇率。当汇率波动较小时，也可以采用业务发生当期期初的汇率进行折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各种外币账户的外币余额，期末时应当按照期末汇率折合为记账本位币。按照期末汇率折合的记账本位币金额与账面记账本位币金额之间的差额，作为汇兑损益计入当期费用。但是，属于在借款费用应予资本化的期间内发生的与购建固定资产有关的外币专门借款本金及其利息所产生的汇兑差额，应当予以资本化，计入固定资产成本。借款费用应予资本化的期间依照本制度第三十五条加以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本制度所称外币业务，是指以记账本位币以外的货币进行的款项收付、往来结算等业务。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本制度所称的专门借款，是指为购建固定资产而专门借入的款项。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会计核算应当以权责发生制为基础。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民间非营利组织在会计核算时，应当遵循以下基本原则：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（一）会计核算应当以实际发生的交易或者事项为依据，如实反映民间非营利组织的财务状况、业务活动情况和现金流量等信息。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（二）会计核算所提供的信息应当能够满足会计信息使用者（如捐赠人、会员、监管者）等的需要。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（三）会计核算应当按照交易或者事项的实质进行，而不应当仅仅按照它们的法律形式作为其依据。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（四）会计政策前后各期应当保持一致，不得随意变更。如有必要变更，应当在会计报表附注中披露变更的内容和理由、变更的累积影响数，以及累积影响数不能合理确定的理由等。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（五）会计核算应当按照规定的会计处理方法进行，会计信息应当口径一致、相互可比。</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（六）会计核算应当及时进行，不得提前或延后。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（七）会计核算和编制的财务会计报告应当清晰明了，便于理解和使用。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（八）在会计核算中，所发生的费用应当与其相关的收入相配比，同一会计期间内的各项收入和与其相关的费用，应当在该会计期间内确认。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九）资产在取得时应当按照实际成本计量，但本制度有特别规定的，按照特别规定的计量基础进行计量。其后，资产账面价值的调整，应当按照本制度的规定执行。除法律、行政法规和国家统一的会计制度另有规定的外，民间非营利组织一律不得自行调整资产账面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（十）会计核算应当遵循谨慎性原则。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（十一）会计核算应当合理划分应当计入当期费用的支出和应当予以资本化的支出。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二）会计核算应当遵循重要性原则的要求，对资产、负债、净资产、收入、费用等有较大影响，并进而影响财务会计报告使用者据以作出合理判断的重要会计事项，必须按照规定的会计方法和程序进行处理，并在财务会计报告中予以充分披露；对于非重要的会计事项，在不影响会计信息真实性和不至于误导会计信息使用者作出正确判断的前提下，可适当简化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会计记账应当采用借贷记账法。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记录的文字应当使用中文。在民族自治地区，会计记录可以同时使用当地通用的一种民族文字。境外民间非营利组织在中华人民共和国境内依法设立的代表处、办事处等机构也可以同时使用一种外国文字记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民间非营利组织应当根据有关会计法律、行政法规和本制度的规定，在不违反本制度的前提下，结合其具体情况，制定会计核算办法。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民间非营利组织填制会计凭证、登记会计账簿、管理会计档案等要求，按照《中华人民共和国会计法》、《会计基础工作规范》和《会计档案管理办法》等的规定执行。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民间非营利组织应当根据国家有关法律、行政法规和内部会计控制规范，结合本单位的业务活动特点，制定相适应的内部会计控制制度，以加强内部会计监督，提高会计信息质量和管理水平。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资产编辑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资产，是指过去的交易或者事项形成并由民间非营利组织拥有或者控制的资源，该资源预期会给民间非营利组织带来经济利益或者服务潜力。资产应当按其流动性分为流动资产、长期投资、固定资产、无形资产和受托代理资产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定期或者至少于半年年度终了，对短期投资、应收款项、存货、长期投资等资产是否发生了减值进行检查，如果这些资产发生了减值，应当计提减值准备，确认减值损失，并计入当期费用。对于固定资产、无形资产等其他资产，如果发生了重大减值，也应当计提减值准备，确认减值损失，并计入当期费用。如果已计提减值准备的资产价值在以后会计期间得以恢复，则应当在该资产已计提减值准备的范围内部分或全部转回已确认的减值损失，冲减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民间非营利组织接受捐赠的现金资产，应当按照实际收到的金额入账。对于民间非营利组织接受捐赠的非现金资产，如接受捐赠的短期投资、存货、长期投资、固定资产和无形资产等，应当按照以下方法确定其入账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如果捐赠方提供了有关凭据（如发票、报关单、有关协议等）的，应当按照凭据上标明的金额，作为入账价值。如果凭据上表明的金额与受赠资产公允价值相差较大的，受赠资产应当以其公允价值作为其实际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（二）如果捐赠方没有提供有关凭据的，受赠资产应当以其公允价值作为入账价值。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对于民间非营利组织接受的劳务捐赠，不予确认，但应当在会计报表附注中作相关披露。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本制度中所称的公允价值是指在公平交易中，熟悉情况的交易双方，自愿进行资产交换或者债务清偿的金额。公允价值的确定顺序如下：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（一）如果同类或者类似资产存在活跃市场的，应当按照同类或者类似资产的市场价格确定公允价值；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（二）如果同类或类似资产不存在活跃市场，或者无法找到同类或者类似资产的，应当采用合理的计价方法确定资产的公允价值。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在本制度规定应当采用公允价值的情况下，如果有确凿的证据表明资产的公允价值确实无法可靠计量，则民间非营利组织应当设置辅助账，单独登记所取得资产的名称、数量、来源、用途等情况，并在会计报表附注中作相关披露。在以后会计期间，如果该资产的公允价值能够可靠计量，则民间非营利组织应当在该资产能够可靠计量的会计期间确认，并以公允价值予以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民间非营利组织如发生非货币性交易，应当按照以下原则处理：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（一）以换出资产的账面价值，加上应支付的相关税费，作为换入资产的入账价值。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（二）非货币性交易中如果发生补价，应区别不同情况处理：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1.支付补价的民间非营利组织，应以换出资产的账面价值加上补价和应支付的相关税费，作为换入资产的入账价值。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2.收到补价的民间非营利组织，应按以下公式确定换入资产的入账价值和应确认的收入或费用：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换入资产入账价值=换出资产账面价值－（补价÷换出资产公允价值）×换出资产账面价值－（补价÷换出资产公允价值）×应交税金+应支付的相关税费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应确认的收入或费用=补价×[1－（换出资产账面价值+应交税金）÷换出资产公允价值]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（三）在非货币性交易中，如果同时换入多项资产，应按换入各项资产的公允价值占换入资产公允价值总额的比例，对换出资产的账面价值总额和应支付的相关税费进行分配，以确定各项换入资产的入账价值。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非货币性交易是指交易双方以非货币性资产进行的交换，这种交换不涉及或只涉及少量的货币性资产（即补价）。其中，货币性资产是指持有的现金及将以固定或可确定金额的货币收取的资产；非货币性资产是指货币性资产以外的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流动资产是指预期可在1年内（含1年）变现或者耗用的资产，主要包括现金、银行存款、短期投资、应收款项、预付账款、存货、待摊费用等。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民间非营利组织应当设置现金和银行存款日记账。按照业务发生顺序逐日逐笔登记。有外币现金和存款的民间非营利组织，还应当分别按人民币和外币进行明细核算。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现金的核算应当做到日清月结，其账面余额必须与库存数相符；银行存款的账面余额应当与银行对账单定期核对，并与按月编制的银行存款余额调节表调节相符。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本制度所称的账面余额，是指会计科目的账面实际余额，不扣除作为该科目备抵的项目（如累计折旧、资产减值准备等）。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短期投资是指能够随时变现并且持有时间不准备超过1年（含1年）的投资，包括股票、债券投资等。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（一）短期投资在取得时应当按照投资成本计量。短期投资取得时的投资成本按以下方法确定：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以现金购入的短期投资，按照实际支付的全部价款，包括税金、手续费等相关税费作为其投资成本。实际支付的价款中包含的已宣告但尚未领取的现金股利或已到付息期但尚未领取的债券利息，应当作为应收款项单独核算，不构成短期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2．接受捐赠的短期投资，按照本制度第十六条的规定确定其投资成本。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3．通过非货币性交易换入的短期投资，按照本制度第十八条的规定确定其投资成本。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（二）短期投资的利息或现金股利应当于实际收到时冲减投资的账面价值，但在购买时已计入应收款项的现金股利或者利息除外。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在期末，民间非营利组织应当按照本制度第十五条的规定对短期投资是否发生了减值进行检查。如果短期投资的市价低于其账面价值，应当按照市价低于账面价值的差额计提短期投资跌价准备，确认短期投资跌价损失并计入当期费用。如果短期投资的市价高于其账面价值，应当在该短期投资期初已计提跌价准备的范围内转回市价高于账面价值的差额，冲减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（四）处置短期投资时，应当将实际取得价款与短期投资账面价值的差额确认当期投资损益。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本制度所称的账面价值，是指某会计科目的账面余额减去相关的备抵项目后的净额。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民间非营利组织的委托贷款和委托投资（包括委托理财）应当区分期限长短，分别作为短期投资和长期投资核算和列报。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应收款项是指民间非营利组织在日常业务活动过程中发生的各项应收未收债权，包括应收票据、应收账款和其他应收款等。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（一）应收款项应当按照实际发生额入账，并按照往来单位或个人等设置明细账，进行明细核算。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（二）期末，应当分析应收款项的可收回性，对预计可能产生的坏账损失计提坏账准备，确认坏账损失并计入当期费用。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预付账款是指民间非营利组织预付给商品供应单位或者服务提供单位的款项。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预付账款应当按照实际发生额入账，并按照往来单位或个人等设置明细账，进行明细核算。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存货是指民间非营利组织在日常业务活动过程中持有以备出售或捐赠的，或者为了出售或捐赠仍处在生产过程中的，或者将在生产、提供服务或日常管理过程中耗用的材料、物资、商品等。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存货在取得时，应当以其实际成本入账。存货成本包括采购成本、加工成本和其他成本。其中，采购成本一般包括实际支付的采购价款、相关税费、运输费、装卸费、保险费以及其他可直接归属于存货采购的费用。加工成本包括直接人工以及按照合理方法分配的与存货加工有关的间接费用。其他成本是指除采购成本、加工成本以外的，使存货达到目前场所和状态所发生的其他支出。接受捐赠的存货，按照本制度第十六条的规定期 定其成本。通过非货币性交易换入的存货，按照本制度第十八条的规定确定其成本。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（二）存货在发出时，应当根据实际情况采用个别计价法、先进先出法、或者加权平均法，确定发出存货的实际成本。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存货应当定期进行清查盘点，每年至少盘点一次。对于发生的盘盈、盘亏以及变质、毁损等存货，应当及时查明原因，并根据民间非营利组织的管理权限，经理事会、董事会或类似权力机构批准后，在期末结账前处理完毕。对于盘盈的存货，应当按照其公允价值入账，并确认为当期收入；对于盘亏或者毁损的存货，应先扣除残料价值、可以收回的保险赔偿和过失人的赔偿等，将净损失确认为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期末，民间非营利组织应当按照本制度第十五条的规定对存货是否发生了减值进行检查。如果存货的可变现净值低于其账面价值，应当按照可变现净值低于账面价值的差额计提存货跌价准备，确认存货跌价损失并计入当期费用。如果存货的可变现净值高于其账面价值，应当在该存货期初已计提跌价准备的范围内转回可变现净值高于账面价值的差额，冲减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本制度所称的可变现净值，是指在正常业务活动中，以存货的估计售价减去至完工将要发生的成本以及销售所必需的费用后的金额。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待摊费用是指民间非营利组织已经支出，但应当由本期和以后各期分别负担的、分摊期在1年以内（含1年）的各项费用，如预付保险费、预付租金等。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待摊费用应当按其受益期限在1年内分期平均摊销，计入有关费用。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长期投资是指除短期投资以外的投资，包括长期股权投资和长期债权投资等。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长期股权投资应当按照以下原则核算：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（一）长期股权投资在取得时，应当按取得时的实际成本作为初始投资成本。初始投资成本按以下方法确定：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以现金购入的长期股权投资，按照实际支付的全部价款，包括税金、手续费等相关费用，作为初始投资成本。实际支付的价款中包含的已宣告但尚未领取的现金股利，应当作为应收款项单独核算，不构成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2．接受捐赠的长期股权投资，按照本制度第十六条的规定，确定其初始投资成本。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3．通过非货币性交易换入的长期股权投资，按照本制度第十八条的规定确定其初始投资成本。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长期股权投资应当区别不同情况，分别采用成本法或者权益法核算。如果民间非营利组织对被投资单位无控制、无共同控制且重大影响，长期股权投资应当采用成本法进行核算；如果民间非营利组织对被投资单位具有控制、共同控制或重大影响，长期股权投资应当采用权益法进行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采用成本法核算时，被投资单位经股东大会或者类似权利机构批准宣告发放的利润或现金股利，作为当期投资收益。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采用权益法核算时，按应当享有或应当分担的被投资单位当年实现的净利润或发生的净亏损的份额调整投资账面价值，并作为当期投资损益。按被投资单位宣告分派的利润或现金股利计算分得的部分，减少投资账面价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被投资单位宣告分派的股票股利，不作账务处理，但应当设置辅助账，进行数量登记。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控制，是指有权决定被投资单位的财务和经营政策，并能据以从该单位的经济活动中获得利益；本制度所称的共同控制，是指按合同约定对某项经济活动所共有的控制；本制度所称的重大影响，是指对被投资单位的财务和经营政策有参与决策的权力，但并不决定这些政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（三）处置长期股权投资时，应当将实际取得价款与投资账面价值的差额确认为当期投资损益。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长期债权投资应当按照以下原则核算：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（一）长期债权投资在取得时，应当按取得时的实际成本作为初始投资成本。初始投资成本按以下方法确定：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以现金购入的长期债权投资，按照实际支付的全部价款，包括税金、手续费等相关费用，作为初始投资成本。实际支付的价款中包含的已到付息期但尚未领取的债券利息，应当作为应收款项单独核算，不构成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2．接受捐赠取得的长期债权投资，按照本制度第十六条的规定确定其初始投资成本。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3．通过非货币性交易换入的长期债权投资，按照本制度第十八条的规定确定其初始投资成本。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（二）长期债权投资应当按照票面价值与票面利率按期计算确认利息收入。长期债券投资的初始投资成本与债券面值之间的差额，应当在债券存续期间，按照直线法，于确认相关债券利息收入时予以摊销。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持有可转换公司债券的民间非营利组织，可转换公司债券在购买以及转换为股份之前，应当按一般债券投资进行处理。当民间非营利组织行使转换权利，将其持有的债券投资转换为股份时，应当按其账面价值减去收到的现金后的余额，作为股权投资的初始投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（四）处置长期债权投资时，应当将实际取得价款与投资账面价值的差额，确认为当期投资损益。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第二十九条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民间非营利组织改变投资目的，将短期投资划转为长期投资，应当按短期投资的成本与市价孰低结转。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期末，民间非营利组织应当按照本制度第十五条的规定对长期投资是否发生了减值进行检查。如果长期投资的可收回金额低于其账面价值，应当按照可收回金额低于账面价值的差额计提长期投资减值准备，确认长期投资减值损失并计入当期费用。如果长期投资的可收回金额高于其账面价值，应当在该长期投资期初已计提减值准备的范围内转回可收回金额高于账面价值的差额，冲减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本制度所称可收回金额是指资产的销售净价与预期从该资产的持续使用和使用寿命结束时的处置中形成的预计未来现金流量的现值两者之中的较高者，其中销售净价指销售价值减资产处置费用后的余额。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固定资产是指同时具有以下特征的有形资产：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（一）为行政管理、提供服务、生产商品或者出租目的而持有的；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（二）预计使用年限超过1年；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（三）单位价值较高。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固定资产在取得时，应当按取得时的实际成本入账。取得时的实际成本包括买价、包装费、运输费、交纳的有关税金等相关费用，以及为使固定资产达到预定可使用状态前所必要的支出。固定资产取得时的实际成本应当根据以下具体情况分别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（一）外购的固定资产，按照实际支付的买价、相关税费以及为使固定资产达到预定可使用状态前所发生的可直接归属于该固定资产的其他支出（如，运输费、安装费、装卸费等）确定其成本。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如果以一笔款项购入多项没有单独标价的固定资产，按各项固定资产公允价值的比例对总成本进行分配，分别确定各项固定资产的成本。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（二）自行建造的固定资产，按照建造该项资产达到预定可使用状态前所发生的全部必要支出确定其成本。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（三）接受捐赠的固定资产，应当按照本制度第十六条的规定确定其成本。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（四）通过非货币性交易换入的固定资产，按照本制度第十八条的规定确定其成本。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（五）融资租入的固定资产，按照租赁协议或者合同确定的价款、运输费、途中保险费、安装调试费以及融资租入固定资产达到预定可使用的状态前发生的借款费用等确定其成本。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在建工程，包括施工前期准备、正在施工中的建筑工程、安装工程、技术改造工程等。工程项目较多且工程支出较大的，应当按照工程项目的性质分项核算。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在建工程应当按照所建造工程达到预定可使用状态前实际发生的全部必要支出确定其工程成本，并单独核算。在建工程的工程成本应当根据具体情况分别确定：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（一）对于自营工程，按照直接材料、直接人工、直接机械使用费等确定其成本。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（二）对于出包工程，按照应支付的工程价款等确定其成本。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为购建固定资产而发生的专门借款的借款费用在确定的允许资本化的期间内，应当按照专门借款的借款费用的实际发生额予以资本化，计入在建工程成本。这里的借款费用包括因借款而发生的利息、辅助费用以及因外币借款而发生的汇兑差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只有在以下三个条件同时具备时，因专门借款所发生的借款费用才允许开始资本化：</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（一）资产支出已经发生；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（二）借款费用已经发生；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（三）为使资产达到预定可使用状态所必要的购建活动已经开始。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固定资产的购建活动发生非正常中断，并且中断时间连续超过3个月（含3个月），应当暂停借款费用的资本化，将中断期间内所发生的借款费用确认为当期费用，直至资产的购建活动重新开始。但是，如果中断是使购建的固定资产达到预定可使用状态所必要的程序，则借款费用的资本化应当继续进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当所购建的固定资产达到预定可使用状态时，应当停止借款费用的资本化。之后所发生的借款费用应当于发生时计入当期费用。通常所购建的固定资产达到以下状态时，应当视为所购建的固定资产已经达到预定可使用状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（一）固定资产的实体建造（包括安装）工作已经全部完成或者实质上已经完成；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（二）所购建的固定资产与设计要求或者合同要求相符或者基本相符，即使有极个别与设计或者合同要求不相符的地方，也不影响其正常使用。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（三）继续发生在所购建固定资产上的支出金额很少或者几乎不再发生。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所购建的固定资产已达到预定可使用状态时，应当自达到预定可使用状态之日起，将在建工程成本转入固定资产核算。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民间非营利组织应当对固定资产计提折旧，在固定资产的预计使用寿命内系统地分摊固定资产的成本。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民间非营利组织应当根据固定资产的性质和消耗方式，合理地确定固定资产的预计使用年限和预计净残值。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按照固定资产所含经济利益或者服务潜力的预期实现方式选择折旧方法，可选用的折旧方法包括年限平均法、工作量法、双倍余额递减法和年数总和法。折旧方法一经确定，不得随意变更。如果由于固定资产所含经济利益或者服务潜力预期实现方式发生重大改变而确实需要变更的，应当在会计报表附注中披露相关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民间非营利组织应当按月提取折旧，当月增加的固定资产，当月不提折旧，从下月起计提折旧；当月减少的固定资产，当月照提折旧，从下月起不提折旧。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第三十九条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与固定资产有关的后续支出，如果使可能流入民间非营利组织的经济利益或者服务潜力超过了原先的估计，如延长了固定资产的使用寿命，或者使服务质量实质性提高，或者使商品成本实质性降低，则应当计入固定资产账面价值，但其增计后的金额不应当超过该固定资产的可收回金额。其他后续支出，应当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民间非营利组织由于出售、报废或者毁损等原因而发生的固定资产清理净损益，应当计入当期收入或者费用。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用于展览、教育或研究等目的的历史文物、艺术品以及其他具有文化或者历史价值并作长期或者永久保存的典藏等，作为固定资产核算，但不必计提折旧。在资产负债表中，应当单列“文物文化资产”项目予以反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对固定资产应当定期或者至少每年实地盘点一次。对盘盈、盘亏的固定资产，应当及时查明原因，写出书面报告，并根据管理权限经董事会、理事会或类似权力机构批准后，在期末结账前处理完毕。盘盈的固定资产应当按照其公允价值入账，并计入当期收入；盘亏的固定资产在减去过失人或者保险公司等赔款和残料价值之后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民间非营利组织对固定资产的购建、出售、清理、报废和内部转移等都应当办理会计手续，并应当设置固定资产明细账（或者固定资产卡片）进行明细核算。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无形资产是指民间非营利组织为开展业务活动、出租给他人、或为管理目的而持有的、没有实物形态的、非货币性长期资产，包括专利权、非专利技术、商标权、著作权、土地使用权等。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无形资产在取得时，应当按照取得时的实际成本入账。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（一）购入的无形资产，按照实际支付的价款确定其实际成本。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自行开发并按法律程序申请取得的无形资产，按依法取得时发生的注册费、聘请律师费等费用，作为无形资产的实际成本。依法取得前，在研究与开发过程中发生的材料费用、直接参与开发人员的工资及福利费、开发过程中发生的租金、借款费用等直接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（三）接受捐赠的无形资产，按照本制度第十六条的规定确定其实际成本。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（四）通过非货币性交易换入的无形资产，按照本制度第十八条的规定确定其实际成本。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无形资产应当自取得当月起在预计使用年限内分期平均摊销，计入当期费用。如预计使用年限超过了相关合同规定的受益年限或法律规定的有效年限，该无形资产的摊销年限按如下原则确定：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（一）合同规定了受益年限但法律没有规定有效年限的，摊销期不应超过合同规定的受益年限；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（二）合同没有规定受益年限但法律规定了有效年限的，摊销期不应超过法律规定的有效年限；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（三）合同规定了受益年限，法律也规定了有效年限的，摊销期不应超过受益年限和有效年限两者之中较短者。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如果合同没有规定受益年限，法律也没有规定有效年限的，摊销期不应超过10年。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民间非营利组织处置无形资产，应当将实际取得的价款与该项无形资产的账面价值之间的差额，计入当期收入或者费用。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受托代理资产，是指民间非营利组织因从事受托代理交易而从委托方取得的资产。在受托代理交易过程中，民间非营利组织通常只是从委托方收到受托资产，并按照委托人的意愿将资产转赠给指定的其他组织或者个人，或者按照有关规定将资产转交给指定的其他组织或者个人，民间非营利组织本身只是在交易过程中起中介作用。无权改变受托代理资产的用途或者变更受益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民间非营利组织应当对受托代理资产比照接受捐赠资产的原则进行确认和计量原则，但在确认一项受托代理资产时，应当同时确认一项受托代理负债。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负债编辑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第四十九条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负债是指过去的交易或者事项形成的现时义务，履行该义务预期会导致含有经济利益或者服务潜力的资源流出民间非营利组织。负债应当按其流动性分为流动负债、长期负债和受托代理负债等。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或有事项是指过去的交易或者事项形成的一种状况，其结果须通过未来不确定事项的发生或不发生予以证实。</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如果与或有事项相关的义务同时符合以下条件，应当将其确认为负债，以清偿该负债所需支出的最佳估计数予以计量，并在资产负债表中单列项目予以反映：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（一）该义务是民间非营利组织承担的现时义务；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（二）该义务的履行很可能导致含有经济利益或者服务潜力的资源流出民间非营利组织；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（三）该义务的金额能够可靠地计量。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流动负债是指将在1年内（含1年）偿还的负债，包括短期借款、应付款项、应付工资、应交税金、预收账款、预提费用和预计负债等。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（一）短期借款是指民间非营利组织向银行或其他金融机构等借入的期限在1年以下（含1年）的各种借款。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（二）应付款项是指民间非营利组织在日常业务活动过程中发生的各项应付票据、应付账款和其他应付款等应付未付款项。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（三）应付工资是指民间非营利组织应付未付的员工工资。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（四）应交税金是指民间非营利组织应交未交的各种税费。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（五）预收账款是指民间非营利组织向服务和商品购买单位预收的各种款项。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（六）预提费用是指民间非营利组织预先提取的已经发生但尚未支付的费用，如预提的租金、保险费、借款利息等。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（七）预计负债是指民间非营利组织对因或有事项所产生的现时义务而确认的负债。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各项流动负债应当按实际发生额入账。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短期借款应当按照借款本金和确定的利率按期计提利息，计入当期费用。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长期负债是指偿还期限在1年以上（不含1年）的负债，包括长期借款、长期应付款和其他长期负债。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（一）长期借款是指民间非营利组织向银行或其他金融机构等借入的期限在1年以上（不含1年）的各种借款。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（二）长期应付款主要是指民间非营利组织融资租入固定资产发生的应付租赁款。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（三）其他长期负债是指除长期借款和长期应付款外的长期负债。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各项长期负债应当按实际发生额入账。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受托代理负债是指民间非营利组织因从事受托代理业务、接受受托代理资产而产生的负债。受托代理负债应当按照相对应的受托代理资产的金额予以确认和计量。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净资产编辑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民间非营利组织的净资产是指资产减去负债后的余额。净资产应当按照其是否受到限制，分为限定性净资产和非限定性净资产等。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资产或者资产所产生的经济利益(如资产的投资收益和利息等)的使用受到资产提供者或者国家有关法律行政法规所设置的时间限制或（和）用途限制，则由此形成的净资产即为限定性净资产；国家有关法律行政法规对净资产的使用直接设置限制的，该受限制的净资产亦为限定性净资产；除此之外的其他净资产，即为非限定性净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本制度所称的时间限制，是指资产提供者或者国家有关法律行政法规要求民间非营利组织在收到资产后的特定时期之内或特定日期之后使用该项资产，或者对资产的使用设置了永久限制。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本制度所称的用途限制，是指资产提供者或者国家有关法律、行政法规要求民间非营利组织将收到的资产用于某一特定的用途。</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民间非营利组织的董事会、理事会或类似机构对净资产的使用所作的限定性决策、决议或拨款限额等，属于民间非营利组织内部管理上对资产使用所作的限制，不属于本制度所界定的限定性净资产。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如果限定性净资产的限制已经解除，应当对净资产进行重新分类，将限定性净资产转为非限定性净资产。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当存在下列情况之一时，可以认为限定性净资产的限制已经解除：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（一）所限定净资产的限制时间已经到期；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（二）所限定净资产规定的用途已经实现(或者目的已经达到)；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（三）资产提供者或者国家有关法律行政法规撤销了所设置的限制。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如果限定性净资产受到两项或两项以上的限制，应当在最后一项限制解除时，才能认为该项限定性净资产的限制已经解除。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收入编辑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收入是指民间非营利组织开展业务活动取得的、导致本期净资产增加的经济利益或者服务潜力的流入，收入应当按照其来源分为捐赠收入、会费收入、提供服务收入、政府补助收入、投资收益、商品销售收入等主要业务活动收入和其他收入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（一）捐赠收入是指民间非营利组织接受其他单位或者个人捐赠所取得的收入。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（二）会费收入是指民间非营利组织根据章程等的规定向会员收取的会费收入。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（三）提供服务收入是指民间非营利组织根据章程等的规定向其服务对象提供服务取得的收入，包括学费收入、医疗费收入、培训收入等。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（四）政府补助收入是指民间非营利组织接受政府拨款或者政府机构给予的补助而取得的收入。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（五）商品销售收入是指民间非营利组织销售商品（如出版物、药品等）等所形成的收入。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（六）投资收益是指民间非营利组织因对外投资取得的投资净损益。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民间非营利组织如果有除上述捐赠收入、会费收入、提供服务收入、政府补助收入、商品销售收入、投资收益之外的其他主要业务活动收入，也应当单独核算。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（七）其他收入是指除上述主要业务活动收入以外的其他收入，如固定资产处置净收入、无形资产处置净收入等。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对于民间非营利组织接受的劳务捐赠，不予确认，但应当在会计报表附注中作相关披露。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第五十九条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民间非营利组织在确认收入时，应当区分交换交易所形成的收入和非交换交易所形成的收入。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交换交易是指按照等价交换原则所从事的交易，即当某一主体取得资产、获得服务或者解除债务时，需要向交易对方支付等值或者大致等值的现金，如提供等值或者大致等值的货物、服务等的交易。如按照等价交换原则销售商品、提供劳务等均属于交换交易。对于因交换交易所形成的商品销售收入，应当在下列条件同时满足时予以确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1.已将商品所有权上的主要风险和报酬转移给购货方；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2.既没有保留通常与所有权相联系的继续管理权，也没有对已售出的商品实施控制；</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3.与交易相关的经济利益能够流入民间非营利组织；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4.相关的收入和成本能够可靠地计量。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对于因交换交易所成本的提供劳务收入，应当按以下规定予以确认：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1．在同一会计年度内开始并完成的劳务，应当在完成劳务时确认收入；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2．如果劳务的开始和完成分属不同的会计年度，可以按完工进度或完成的工作量确认收入。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对于因交换交易所形成的因让渡资产使用权而发生的收入应当在下列条件同时满足时予以确认：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1．与交易相关的经济利益能够流入民间非营利组织；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2．收入的金额能够可靠地计量。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非交换交易是指除交换交易之外的交易。在非交换交易中，某一主体取得资产、获得服务或者解除债务时，不必向交易对方支付等值或者大致等值的现金，或者提供等值或者大致等值的货物、服务等；或者某一主体在对外提供货物、服务等时，没有收到等值或者大致等值的现金、货物等。如捐赠、政府补助等属于非交换交易。</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对于因非交换交易所形成的收入，应当在同时满足下列条件时予以确认：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1．与交换相关的经济利益或者服务潜力的资源能够流入民间非营利组织并为其所控制，或者相关的债务能够得到解除；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2．交换能够引起净资产的增加；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3．收入的金额能够可靠地计量。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般情况下，对于无条件的捐赠或政府补助，应当在捐赠或政府补助收到时确认收入；对于附条件的捐赠或政府补助，应当在取得捐赠资产或政府补助资产控制权时确认收入，但当民间非营利组织存在需要偿还全部或部分捐赠资产（或者政府补助资产）或者相应金额的现时义务时，应当根据需要偿还的金额同时确认一项负债和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民间非营利组织对于各项收入应当按是否存在限定区分为非限定性收入和限定性收入进行核算。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如果资产提供者对资产的使用设置了时间限制或者（和）用途限制，则所确认的相关收入为限定性收入；除此之外的其他所有收入，为非限定性收入。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会费收入、提供服务收入、商品销售收入和投资收益等一般为非限定性收入，除非相关资产提供者对资产的使用设置了限制；民间非营利组织的捐赠收入和政府补助收入，应当视相关资产提供者对资产的使用是否设置了限制，分别限定性收入和非限定性收入进行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期末，民间非营利组织应当将本期限定性收入和非限定性收入分别结转至净资产项下的限定性净资产和非限定性净资产。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费用编辑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费用是指民间非营利组织为开展业务活动所发生的、导致本期净资产减少的经济利益或者服务潜力的流出。费用应当按照其功能分为业务活动成本、管理费用、筹资费用和其他费用等。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业务活动成本，是指民间非营利组织为了实现其业务活动目标、开展其项目活动或者提供服务所发生的费用。如果民间非营利组织从事的项目、提供的服务或者开展的业务比较单一，可以将相关费用全部归集在“业务活动成本”项目下进行核算和列报；如果民间非营利组织从事的项目、提供的服务或者开展的业务种类较多，民间非营利组织应当在“业务活动成本”项目下分别项目、服务或者业务大类进行核算和列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管理费用，是指民间非营利组织为组织和管理其业务活动所发生的各项费用。包括民间非营利组织董事会（或者理事会或者类似权利机构）经费和行政管理人员的工资、奖金、住房公积金、住房补贴、社会保障费、离退休人员工资与补助，以及办公费、水电费、邮电费、物业管理费、差旅费、折旧费、修理费、租赁费、无形资产摊销费、资产盘亏损失、资产减值损失、因预计负债所产生的损失、聘请中介机构费和应偿还的受赠资产等。其中，福利费应当依法根据民间非营组织的管理权限，按照董事会、理事会或类似权力机构等的规定据实列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筹资费用，是指民间非营利组织为筹集业务活动所需资金而发生的费用，包括民间非营利组织为了获得捐赠资产而发生的费用以及应当计入当期费用的借款费用、汇兑损失（减汇兑收益）等。民间非营利组织为了获得捐赠资产而发生的费用包括举办募款活动费、准备、印刷和发放募款宣传资料费以及其他与募款或者争取捐赠资产有关的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（四）其他费用，是指民间非营利组织发生的、无法归属到上述业务活动成本、管理费用或者筹资费用中的费用，包括固定资产处置净损失、无形资产处置净损失等。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民间非营利组织的某些费用如果属于多项业务活动或者属于业务活动、管理活动和筹资活动等共同发生的，而且不能直接归属于某一类活动，应当将这些费用按照合理的方法在各项活动中进行分配。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民间非营利组织发生的业务活动成本、管理费用、筹资费用和其他费用，应当在实际发生时按其发生额计入当期费用。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期末，民间非营利组织应当将本期发生的各项费用结转至净资产项下的非限定性净资产，作为非限定性净资产的减项。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财务报告编辑 播报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财务会计报告是反映民间非营利组织财务状况、业务活动情况和现金流量等的书面报告。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第六十六条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会计报告分为年度财务会计报告和中期财务会计报告。以短于一个完整的会计年度的期间（如半年度、季度和月度）编制的财务会计报告称为中期财务会计报告。年度财务会计报告则是以整个会计年度为基础编制的财务会计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第六十七条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会计报告由会计报表、会计报表附注和财务情况说明书组成。民间非营利组织对外提供的财务会计报告的内容、会计报表的种类和格式、会计报表附注应予披露的主要内容等，由本制度规定；民间非营利组织内部管理需要的会计报表由单位自行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在编制中期财务会计报告时，应当采用与年度会计报表相一致的确认与计量原则。中期财务会计报告的内容相对于年度财务会计报告而言可以适当简化，但是，它仍然应当保证包括了与理解中期期末财务状况和中期业务活动情况及其现金流量相关的重要财务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第六十八条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民间非营利组织采用的会计政策前后各期应当保持一致，不得随意变更，除非符合下列条件之一：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（一）法律或会计制度等行政法规、规章的要求；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（二）这种变更能够提供有关民间非营利组织财务状况、业务活动情况和现金流量等更可靠、更相关的会计信息。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民间非营利组织应当采用追溯调整法核算会计政策的变更，如果追溯调整法不可行，则应当采用未来适用法核算；如果相关法律或会计制度等另有规定，则应当按照相关规定进行核算。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本制度中所称追溯调整法，是指对某项交易或者事项变更会计政策时，如同该交易或者事项初次发生时就开始采用新的会计政策，并以此对相关项目进行调整的方法；本制度所称未来适用法，是指对某项交易或者事项变更会计政策时，新的会计政策适用于变更当期及未来期间发生的交易或者事项的方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第六十九条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资产负债表日至财务会计报告批准报出日之间发生的需要调整或说明的有利或不利事项，属于资产负债表日后事项。对于资产负债表日后事项，应当区分调整事项和非调整事项进行处理。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调整事项，是指资产负债表日后至财务会计报告批准报出日之间发生的，为资产负债表日已经存在的情况提供了新的或进一步证据，有助于对资产负债表日存在情况有关的金额作出重新估计的事项。民间非营利组织应当就调整事项，对资产负债表日所确认的相关资产、负债和净资产，以及资产负债表日所属期间的相关收入、费用等进行调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非调整事项，是指资产负债表日后至财务会计报告批准报出日之间才发生的，不影响资产负债表日的存在情况，但不加以说明将会影响财务会计报告使用者作出正确估计和决策的事项。民间非营利组织应当在会计报表附注中披露非调整事项的性质、内容，以及对财务状况和业务活动情况的影响。如无法估计其影响，应当说明理由。</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财务会计报告中的会计报表至少应当包括以下三张报表：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（一）资产负债表；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（二）业务活动表；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（三）现金流量表。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第七十一条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会计报表附注至少应当包括下列内容：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（一）重要会计政策及其变更情况的说明；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（二）董事会（或者理事会或者类似权利机构）成员和员工的数量、变动情况以及获得的薪金等报酬情况的说明；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（三）会计报表重要项目及其增减变动情况的说明；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（四）资产提供者设置了时间或用途限制的相关资产情况的说明；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（五）受托代理交易情况的说明，包括受托代理资产的构成、计价基础和依据、用途等；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（六）重大资产减值情况的说明；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（七）公允价值无法可靠取得的受赠资产和其他资产的名称、数量、来源和用途等情况的说明；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（八）对外承诺和或有事项情况的说明；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（九）接受劳务捐赠情况的说明；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（十）资产负债表日后非调整事项的说明；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（十一）有助于理解和分析会计报表需要说明的其他事项。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第七十二条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财务情况说明书至少应当对下列情况作出说明：</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（一）民间非营利组织的宗旨、组织结构以及人员配备等情况；</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（二）民间非营利组织业务活动基本情况，年度计划和预算完成情况，产生差异的原因分析，下一会计期间业务活动计划和预算等；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（三）对民间非营利组织运作有重大影响的其他事项。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第七十三条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民间非营利组织对外投资，而且占对被投资单位资本总额50%以上（不含50%），或者虽然占该单位资本总额不足50%但具有实质上的控制权的，或者对被投资单位具有控制权的，应当编制合并会计报表。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第七十四条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民间非营利组织的年度财务会计报告至少应当于年度终了后4个月内对外提供。如果民间非营利组织被要求对外提供中期财务会计报告的，应当在规定的时间内对外提供。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会计报表的填列，以人民币“元”为金额单位，“元”以下填至“分”。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rPr>
      </w:pPr>
      <w:r>
        <w:rPr>
          <w:rFonts w:hint="eastAsia"/>
          <w:sz w:val="28"/>
          <w:szCs w:val="28"/>
        </w:rPr>
        <w:t>第七十五条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sz w:val="28"/>
          <w:szCs w:val="28"/>
        </w:rPr>
      </w:pPr>
      <w:r>
        <w:rPr>
          <w:rFonts w:hint="eastAsia"/>
          <w:sz w:val="28"/>
          <w:szCs w:val="28"/>
        </w:rPr>
        <w:t>民间非营利组织对外提供的财务会计报告应当依次编定页数，加具封面，装订成册，加盖公章。封面上应当注明：组织名称、组织登记证号、组织形式、地址、报表所属年度或者中期、报出日期，并由单位负责人和主管会计工作的负责人、会计机构负责人（会计主管人员）签名并盖章；设置总会计师的单位，还应当由总会计师签名并盖章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02CF37A5"/>
    <w:rsid w:val="2C893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16375</Words>
  <Characters>16389</Characters>
  <Lines>0</Lines>
  <Paragraphs>0</Paragraphs>
  <TotalTime>0</TotalTime>
  <ScaleCrop>false</ScaleCrop>
  <LinksUpToDate>false</LinksUpToDate>
  <CharactersWithSpaces>16398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2023-07-06T02:13:54Z</dcterms:created>
  <dc:creator>Administrator</dc:creator>
  <cp:lastModifiedBy>zhengyiiiiii</cp:lastModifiedBy>
  <dcterms:modified xsi:type="dcterms:W3CDTF">2023-07-06T02:14:53Z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C6F07D466FDA4065B479D0B805396A03_12</vt:lpwstr>
  </property>
</Properties>
</file>