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C98F30">
      <w:pPr>
        <w:rPr>
          <w:rFonts w:hint="eastAsia"/>
        </w:rPr>
      </w:pPr>
      <w:r>
        <w:rPr>
          <w:rFonts w:hint="eastAsia"/>
        </w:rPr>
        <w:t>国家审计制度与企业内部审计有本质区别——它属于**宪法层面的国家监督制度**，具有法定性、强制性和权威性。以下根据中国现行法律法规，系统介绍国家审计制度的核心框架。</w:t>
      </w:r>
    </w:p>
    <w:p w14:paraId="13D2CC24">
      <w:pPr>
        <w:rPr>
          <w:rFonts w:hint="eastAsia"/>
        </w:rPr>
      </w:pPr>
    </w:p>
    <w:p w14:paraId="6377B009">
      <w:pPr>
        <w:rPr>
          <w:rFonts w:hint="eastAsia"/>
        </w:rPr>
      </w:pPr>
      <w:r>
        <w:rPr>
          <w:rFonts w:hint="eastAsia"/>
        </w:rPr>
        <w:t>---</w:t>
      </w:r>
    </w:p>
    <w:p w14:paraId="6B20517A">
      <w:pPr>
        <w:rPr>
          <w:rFonts w:hint="eastAsia"/>
        </w:rPr>
      </w:pPr>
    </w:p>
    <w:p w14:paraId="498B1144">
      <w:pPr>
        <w:pStyle w:val="2"/>
      </w:pPr>
      <w:r>
        <w:t>中华人民共和国国家审计制度</w:t>
      </w:r>
    </w:p>
    <w:p w14:paraId="1F975D87">
      <w:pPr>
        <w:rPr>
          <w:rFonts w:hint="eastAsia"/>
        </w:rPr>
      </w:pPr>
    </w:p>
    <w:p w14:paraId="796B4BEF">
      <w:pPr>
        <w:pStyle w:val="3"/>
      </w:pPr>
      <w:r>
        <w:t>一、制度法律依据</w:t>
      </w:r>
    </w:p>
    <w:p w14:paraId="2705FA6F">
      <w:pPr>
        <w:rPr>
          <w:rFonts w:hint="eastAsia"/>
        </w:rPr>
      </w:pPr>
    </w:p>
    <w:p w14:paraId="63B53CC9">
      <w:pPr>
        <w:rPr>
          <w:rFonts w:hint="eastAsia"/>
        </w:rPr>
      </w:pPr>
      <w:r>
        <w:rPr>
          <w:rFonts w:hint="eastAsia"/>
        </w:rPr>
        <w:t>国家审计制度的核心法律依据包括：</w:t>
      </w:r>
    </w:p>
    <w:p w14:paraId="242345B5">
      <w:pPr>
        <w:rPr>
          <w:rFonts w:hint="eastAsia"/>
        </w:rPr>
      </w:pPr>
    </w:p>
    <w:tbl>
      <w:tblPr>
        <w:tblW w:w="83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63"/>
        <w:gridCol w:w="4409"/>
        <w:gridCol w:w="2832"/>
      </w:tblGrid>
      <w:tr w14:paraId="65182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063" w:type="dxa"/>
            <w:tcMar>
              <w:left w:w="108" w:type="dxa"/>
              <w:right w:w="108" w:type="dxa"/>
            </w:tcMar>
            <w:vAlign w:val="center"/>
          </w:tcPr>
          <w:p w14:paraId="3B7CC235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法律层级</w:t>
            </w:r>
          </w:p>
        </w:tc>
        <w:tc>
          <w:tcPr>
            <w:tcW w:w="4409" w:type="dxa"/>
            <w:tcMar>
              <w:left w:w="108" w:type="dxa"/>
              <w:right w:w="108" w:type="dxa"/>
            </w:tcMar>
            <w:vAlign w:val="center"/>
          </w:tcPr>
          <w:p w14:paraId="14D3135C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名称</w:t>
            </w:r>
          </w:p>
        </w:tc>
        <w:tc>
          <w:tcPr>
            <w:tcW w:w="2832" w:type="dxa"/>
            <w:tcMar>
              <w:left w:w="108" w:type="dxa"/>
              <w:right w:w="108" w:type="dxa"/>
            </w:tcMar>
            <w:vAlign w:val="center"/>
          </w:tcPr>
          <w:p w14:paraId="02558E64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关键内容</w:t>
            </w:r>
          </w:p>
        </w:tc>
      </w:tr>
      <w:tr w14:paraId="33897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063" w:type="dxa"/>
            <w:tcMar>
              <w:left w:w="108" w:type="dxa"/>
              <w:right w:w="108" w:type="dxa"/>
            </w:tcMar>
            <w:vAlign w:val="center"/>
          </w:tcPr>
          <w:p w14:paraId="74DA39BA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宪法</w:t>
            </w:r>
          </w:p>
        </w:tc>
        <w:tc>
          <w:tcPr>
            <w:tcW w:w="4409" w:type="dxa"/>
            <w:tcMar>
              <w:left w:w="108" w:type="dxa"/>
              <w:right w:w="108" w:type="dxa"/>
            </w:tcMar>
            <w:vAlign w:val="center"/>
          </w:tcPr>
          <w:p w14:paraId="3A3CC188">
            <w:pPr>
              <w:snapToGrid w:val="0"/>
              <w:ind w:left="0" w:leftChars="0" w:right="0" w:rightChars="0" w:firstLine="0" w:firstLineChars="0"/>
              <w:jc w:val="left"/>
            </w:pPr>
            <w:r>
              <w:t>《中华人民共和国宪法》第91条、第109条</w:t>
            </w:r>
          </w:p>
        </w:tc>
        <w:tc>
          <w:tcPr>
            <w:tcW w:w="2832" w:type="dxa"/>
            <w:tcMar>
              <w:left w:w="108" w:type="dxa"/>
              <w:right w:w="108" w:type="dxa"/>
            </w:tcMar>
            <w:vAlign w:val="center"/>
          </w:tcPr>
          <w:p w14:paraId="5E4EC761">
            <w:pPr>
              <w:snapToGrid w:val="0"/>
              <w:ind w:left="0" w:leftChars="0" w:right="0" w:rightChars="0" w:firstLine="0" w:firstLineChars="0"/>
              <w:jc w:val="left"/>
            </w:pPr>
            <w:r>
              <w:t>确立审计监督制度的宪法地位</w:t>
            </w:r>
          </w:p>
        </w:tc>
      </w:tr>
      <w:tr w14:paraId="75439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063" w:type="dxa"/>
            <w:tcMar>
              <w:left w:w="108" w:type="dxa"/>
              <w:right w:w="108" w:type="dxa"/>
            </w:tcMar>
            <w:vAlign w:val="center"/>
          </w:tcPr>
          <w:p w14:paraId="59EB3E1E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法律</w:t>
            </w:r>
          </w:p>
        </w:tc>
        <w:tc>
          <w:tcPr>
            <w:tcW w:w="4409" w:type="dxa"/>
            <w:tcMar>
              <w:left w:w="108" w:type="dxa"/>
              <w:right w:w="108" w:type="dxa"/>
            </w:tcMar>
            <w:vAlign w:val="center"/>
          </w:tcPr>
          <w:p w14:paraId="4F21B849">
            <w:pPr>
              <w:snapToGrid w:val="0"/>
              <w:ind w:left="0" w:leftChars="0" w:right="0" w:rightChars="0" w:firstLine="0" w:firstLineChars="0"/>
              <w:jc w:val="left"/>
            </w:pPr>
            <w:r>
              <w:t>《中华人民共和国审计法》（2021年修正，2022年施行）</w:t>
            </w:r>
          </w:p>
        </w:tc>
        <w:tc>
          <w:tcPr>
            <w:tcW w:w="2832" w:type="dxa"/>
            <w:tcMar>
              <w:left w:w="108" w:type="dxa"/>
              <w:right w:w="108" w:type="dxa"/>
            </w:tcMar>
            <w:vAlign w:val="center"/>
          </w:tcPr>
          <w:p w14:paraId="43167BEB">
            <w:pPr>
              <w:snapToGrid w:val="0"/>
              <w:ind w:left="0" w:leftChars="0" w:right="0" w:rightChars="0" w:firstLine="0" w:firstLineChars="0"/>
              <w:jc w:val="left"/>
            </w:pPr>
            <w:r>
              <w:t>审计制度的基本法律，共7章60条</w:t>
            </w:r>
          </w:p>
        </w:tc>
      </w:tr>
      <w:tr w14:paraId="5490B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063" w:type="dxa"/>
            <w:tcMar>
              <w:left w:w="108" w:type="dxa"/>
              <w:right w:w="108" w:type="dxa"/>
            </w:tcMar>
            <w:vAlign w:val="center"/>
          </w:tcPr>
          <w:p w14:paraId="7E9B6462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政策文件</w:t>
            </w:r>
          </w:p>
        </w:tc>
        <w:tc>
          <w:tcPr>
            <w:tcW w:w="4409" w:type="dxa"/>
            <w:tcMar>
              <w:left w:w="108" w:type="dxa"/>
              <w:right w:w="108" w:type="dxa"/>
            </w:tcMar>
            <w:vAlign w:val="center"/>
          </w:tcPr>
          <w:p w14:paraId="222263A3">
            <w:pPr>
              <w:snapToGrid w:val="0"/>
              <w:ind w:left="0" w:leftChars="0" w:right="0" w:rightChars="0" w:firstLine="0" w:firstLineChars="0"/>
              <w:jc w:val="left"/>
            </w:pPr>
            <w:r>
              <w:t>《关于完善审计制度若干重大问题的框架意见》（2015年）</w:t>
            </w:r>
          </w:p>
        </w:tc>
        <w:tc>
          <w:tcPr>
            <w:tcW w:w="2832" w:type="dxa"/>
            <w:tcMar>
              <w:left w:w="108" w:type="dxa"/>
              <w:right w:w="108" w:type="dxa"/>
            </w:tcMar>
            <w:vAlign w:val="center"/>
          </w:tcPr>
          <w:p w14:paraId="5CF9B100">
            <w:pPr>
              <w:snapToGrid w:val="0"/>
              <w:ind w:left="0" w:leftChars="0" w:right="0" w:rightChars="0" w:firstLine="0" w:firstLineChars="0"/>
              <w:jc w:val="left"/>
            </w:pPr>
            <w:r>
              <w:t>审计制度改革的顶层设计</w:t>
            </w:r>
          </w:p>
        </w:tc>
      </w:tr>
      <w:tr w14:paraId="29B6A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063" w:type="dxa"/>
            <w:tcMar>
              <w:left w:w="108" w:type="dxa"/>
              <w:right w:w="108" w:type="dxa"/>
            </w:tcMar>
            <w:vAlign w:val="center"/>
          </w:tcPr>
          <w:p w14:paraId="5FA1872F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配套法规</w:t>
            </w:r>
          </w:p>
        </w:tc>
        <w:tc>
          <w:tcPr>
            <w:tcW w:w="4409" w:type="dxa"/>
            <w:tcMar>
              <w:left w:w="108" w:type="dxa"/>
              <w:right w:w="108" w:type="dxa"/>
            </w:tcMar>
            <w:vAlign w:val="center"/>
          </w:tcPr>
          <w:p w14:paraId="6A84F596">
            <w:pPr>
              <w:snapToGrid w:val="0"/>
              <w:ind w:left="0" w:leftChars="0" w:right="0" w:rightChars="0" w:firstLine="0" w:firstLineChars="0"/>
              <w:jc w:val="left"/>
            </w:pPr>
            <w:r>
              <w:t>《审计法实施条例》《国家审计准则》</w:t>
            </w:r>
          </w:p>
        </w:tc>
        <w:tc>
          <w:tcPr>
            <w:tcW w:w="2832" w:type="dxa"/>
            <w:tcMar>
              <w:left w:w="108" w:type="dxa"/>
              <w:right w:w="108" w:type="dxa"/>
            </w:tcMar>
            <w:vAlign w:val="center"/>
          </w:tcPr>
          <w:p w14:paraId="67B8E0F9">
            <w:pPr>
              <w:snapToGrid w:val="0"/>
              <w:ind w:left="0" w:leftChars="0" w:right="0" w:rightChars="0" w:firstLine="0" w:firstLineChars="0"/>
              <w:jc w:val="left"/>
            </w:pPr>
            <w:r>
              <w:t>细化审计操作规范</w:t>
            </w:r>
          </w:p>
        </w:tc>
      </w:tr>
    </w:tbl>
    <w:p w14:paraId="6929A8B4">
      <w:pPr>
        <w:rPr>
          <w:rFonts w:hint="eastAsia"/>
        </w:rPr>
      </w:pPr>
    </w:p>
    <w:p w14:paraId="54181883">
      <w:r>
        <w:t>《审计法》第二条规定：</w:t>
      </w:r>
      <w:r>
        <w:rPr>
          <w:b/>
        </w:rPr>
        <w:t>“国家实行审计监督制度。坚持中国共产党对审计工作的领导，构建集中统一、全面覆盖、权威高效的审计监督体系。”</w:t>
      </w:r>
    </w:p>
    <w:p w14:paraId="56DF00F7">
      <w:pPr>
        <w:rPr>
          <w:rFonts w:hint="eastAsia"/>
        </w:rPr>
      </w:pPr>
    </w:p>
    <w:p w14:paraId="61C75F0D">
      <w:pPr>
        <w:rPr>
          <w:rFonts w:hint="eastAsia"/>
        </w:rPr>
      </w:pPr>
    </w:p>
    <w:p w14:paraId="01EAE531">
      <w:pPr>
        <w:pStyle w:val="3"/>
      </w:pPr>
      <w:r>
        <w:t>二、审计机关设置</w:t>
      </w:r>
    </w:p>
    <w:p w14:paraId="310EFB29">
      <w:pPr>
        <w:rPr>
          <w:rFonts w:hint="eastAsia"/>
        </w:rPr>
      </w:pPr>
    </w:p>
    <w:p w14:paraId="769EEB1A">
      <w:pPr>
        <w:pStyle w:val="4"/>
      </w:pPr>
      <w:r>
        <w:t>1. 组织架构</w:t>
      </w:r>
    </w:p>
    <w:p w14:paraId="7C0C19FE">
      <w:pPr>
        <w:rPr>
          <w:rFonts w:hint="eastAsia"/>
        </w:rPr>
      </w:pPr>
    </w:p>
    <w:p w14:paraId="39DACD0B">
      <w:r>
        <w:t>审计署（国务院总理领导下，主管全国审计工作）</w:t>
      </w:r>
    </w:p>
    <w:p w14:paraId="2E605090">
      <w:r>
        <w:t>↓</w:t>
      </w:r>
    </w:p>
    <w:p w14:paraId="709957BC">
      <w:r>
        <w:t>省、自治区、直辖市审计厅（局）</w:t>
      </w:r>
    </w:p>
    <w:p w14:paraId="4AE3829A">
      <w:r>
        <w:t>↓</w:t>
      </w:r>
    </w:p>
    <w:p w14:paraId="42FF52AF">
      <w:r>
        <w:t>设区的市、自治州审计局</w:t>
      </w:r>
    </w:p>
    <w:p w14:paraId="4660E5D5">
      <w:r>
        <w:t>↓</w:t>
      </w:r>
    </w:p>
    <w:p w14:paraId="093C7D01">
      <w:r>
        <w:t>县、自治县、不设区的市、市辖区审计局</w:t>
      </w:r>
    </w:p>
    <w:p w14:paraId="3D58CA93">
      <w:pPr>
        <w:rPr>
          <w:rFonts w:hint="eastAsia"/>
        </w:rPr>
      </w:pPr>
    </w:p>
    <w:p w14:paraId="4A429BEE">
      <w:pPr>
        <w:pStyle w:val="4"/>
      </w:pPr>
      <w:r>
        <w:t>2. 领导体制</w:t>
      </w:r>
    </w:p>
    <w:p w14:paraId="10AA68E9">
      <w:pPr>
        <w:rPr>
          <w:rFonts w:hint="eastAsia"/>
        </w:rPr>
      </w:pPr>
    </w:p>
    <w:p w14:paraId="13B1D313">
      <w:pPr>
        <w:numPr>
          <w:ilvl w:val="0"/>
          <w:numId w:val="1"/>
        </w:numPr>
        <w:spacing w:before="0"/>
        <w:ind w:left="720" w:hanging="360"/>
      </w:pPr>
      <w:r>
        <w:rPr>
          <w:b/>
        </w:rPr>
        <w:t>行政领导</w:t>
      </w:r>
      <w:r>
        <w:t>：地方审计机关对本级人民政府和上一级审计机关负责并报告工作</w:t>
      </w:r>
    </w:p>
    <w:p w14:paraId="3FDBC166">
      <w:pPr>
        <w:numPr>
          <w:ilvl w:val="0"/>
          <w:numId w:val="1"/>
        </w:numPr>
        <w:ind w:left="720" w:hanging="360"/>
      </w:pPr>
      <w:r>
        <w:rPr>
          <w:b/>
        </w:rPr>
        <w:t>业务领导</w:t>
      </w:r>
      <w:r>
        <w:t>：审计业务以上级审计机关领导为主</w:t>
      </w:r>
    </w:p>
    <w:p w14:paraId="27405775">
      <w:pPr>
        <w:numPr>
          <w:ilvl w:val="0"/>
          <w:numId w:val="1"/>
        </w:numPr>
        <w:spacing w:after="0"/>
        <w:ind w:left="720" w:hanging="360"/>
      </w:pPr>
      <w:r>
        <w:rPr>
          <w:b/>
        </w:rPr>
        <w:t>全国统筹</w:t>
      </w:r>
      <w:r>
        <w:t>：省级审计机关正职任免须事先征得审计署党组同意</w:t>
      </w:r>
    </w:p>
    <w:p w14:paraId="5D1EFFD2">
      <w:pPr>
        <w:rPr>
          <w:rFonts w:hint="eastAsia"/>
        </w:rPr>
      </w:pPr>
    </w:p>
    <w:p w14:paraId="36206AB0">
      <w:pPr>
        <w:pStyle w:val="4"/>
      </w:pPr>
      <w:r>
        <w:t>3. 独立性保障</w:t>
      </w:r>
    </w:p>
    <w:p w14:paraId="31B5F018">
      <w:pPr>
        <w:rPr>
          <w:rFonts w:hint="eastAsia"/>
        </w:rPr>
      </w:pPr>
    </w:p>
    <w:p w14:paraId="13CD5C88">
      <w:r>
        <w:t>《审计法》第五条规定：</w:t>
      </w:r>
      <w:r>
        <w:rPr>
          <w:b/>
        </w:rPr>
        <w:t>“审计机关依照法律规定独立行使审计监督权，不受其他行政机关、社会团体和个人的干涉。”</w:t>
      </w:r>
    </w:p>
    <w:p w14:paraId="128BF47B">
      <w:pPr>
        <w:rPr>
          <w:rFonts w:hint="eastAsia"/>
        </w:rPr>
      </w:pPr>
    </w:p>
    <w:p w14:paraId="0C88E0F2">
      <w:pPr>
        <w:rPr>
          <w:rFonts w:hint="eastAsia"/>
        </w:rPr>
      </w:pPr>
    </w:p>
    <w:p w14:paraId="593EB7E4">
      <w:pPr>
        <w:pStyle w:val="3"/>
      </w:pPr>
      <w:r>
        <w:t>三、审计监督范围（全覆盖）</w:t>
      </w:r>
    </w:p>
    <w:p w14:paraId="5D069707">
      <w:pPr>
        <w:rPr>
          <w:rFonts w:hint="eastAsia"/>
        </w:rPr>
      </w:pPr>
    </w:p>
    <w:p w14:paraId="65D838EC">
      <w:pPr>
        <w:rPr>
          <w:rFonts w:hint="eastAsia"/>
        </w:rPr>
      </w:pPr>
      <w:r>
        <w:rPr>
          <w:rFonts w:hint="eastAsia"/>
        </w:rPr>
        <w:t>根据《审计法》第三章及《关于实行审计全覆盖的实施意见》，审计监督覆盖以下领域：</w:t>
      </w:r>
    </w:p>
    <w:p w14:paraId="0F8A025E">
      <w:pPr>
        <w:rPr>
          <w:rFonts w:hint="eastAsia"/>
        </w:rPr>
      </w:pPr>
    </w:p>
    <w:p w14:paraId="0FF1F53D">
      <w:pPr>
        <w:pStyle w:val="4"/>
      </w:pPr>
      <w:r>
        <w:t>1. 公共资金</w:t>
      </w:r>
    </w:p>
    <w:p w14:paraId="265B1DFA">
      <w:pPr>
        <w:numPr>
          <w:ilvl w:val="0"/>
          <w:numId w:val="2"/>
        </w:numPr>
        <w:spacing w:before="0"/>
        <w:ind w:left="720" w:hanging="360"/>
      </w:pPr>
      <w:r>
        <w:t>预算执行情况和决算（中央和地方各级政府）</w:t>
      </w:r>
    </w:p>
    <w:p w14:paraId="48F6016A">
      <w:pPr>
        <w:numPr>
          <w:ilvl w:val="0"/>
          <w:numId w:val="2"/>
        </w:numPr>
        <w:spacing w:after="0"/>
        <w:ind w:left="720" w:hanging="360"/>
      </w:pPr>
      <w:r>
        <w:t>决算草案及其他财政收支</w:t>
      </w:r>
    </w:p>
    <w:p w14:paraId="6FCD1982">
      <w:pPr>
        <w:rPr>
          <w:rFonts w:hint="eastAsia"/>
        </w:rPr>
      </w:pPr>
    </w:p>
    <w:p w14:paraId="5842F610">
      <w:pPr>
        <w:pStyle w:val="4"/>
      </w:pPr>
      <w:r>
        <w:t>2. 国有资产</w:t>
      </w:r>
    </w:p>
    <w:p w14:paraId="5935147F">
      <w:pPr>
        <w:numPr>
          <w:ilvl w:val="0"/>
          <w:numId w:val="3"/>
        </w:numPr>
        <w:spacing w:before="0"/>
        <w:ind w:left="720" w:hanging="360"/>
      </w:pPr>
      <w:r>
        <w:t>国有企业、国有金融机构的资产、负债、损益</w:t>
      </w:r>
    </w:p>
    <w:p w14:paraId="52B6A1AF">
      <w:pPr>
        <w:numPr>
          <w:ilvl w:val="0"/>
          <w:numId w:val="3"/>
        </w:numPr>
        <w:spacing w:after="0"/>
        <w:ind w:left="720" w:hanging="360"/>
      </w:pPr>
      <w:r>
        <w:t>国有资本占控股或主导地位的企业、金融机构</w:t>
      </w:r>
    </w:p>
    <w:p w14:paraId="04AE8F51">
      <w:pPr>
        <w:rPr>
          <w:rFonts w:hint="eastAsia"/>
        </w:rPr>
      </w:pPr>
    </w:p>
    <w:p w14:paraId="01F2C5C8">
      <w:pPr>
        <w:pStyle w:val="4"/>
      </w:pPr>
      <w:r>
        <w:t>3. 国有资源</w:t>
      </w:r>
    </w:p>
    <w:p w14:paraId="0AF0BB76">
      <w:pPr>
        <w:numPr>
          <w:ilvl w:val="0"/>
          <w:numId w:val="4"/>
        </w:numPr>
        <w:spacing w:before="0"/>
        <w:ind w:left="720" w:hanging="360"/>
      </w:pPr>
      <w:r>
        <w:t>国有土地、矿产、森林、水资源等自然资源</w:t>
      </w:r>
    </w:p>
    <w:p w14:paraId="0C0ADC52">
      <w:pPr>
        <w:numPr>
          <w:ilvl w:val="0"/>
          <w:numId w:val="4"/>
        </w:numPr>
        <w:spacing w:after="0"/>
        <w:ind w:left="720" w:hanging="360"/>
      </w:pPr>
      <w:r>
        <w:t>国有资产的保值增值情况</w:t>
      </w:r>
    </w:p>
    <w:p w14:paraId="08E0C68C">
      <w:pPr>
        <w:rPr>
          <w:rFonts w:hint="eastAsia"/>
        </w:rPr>
      </w:pPr>
    </w:p>
    <w:p w14:paraId="075919A0">
      <w:pPr>
        <w:pStyle w:val="4"/>
      </w:pPr>
      <w:r>
        <w:t>4. 领导干部经济责任</w:t>
      </w:r>
    </w:p>
    <w:p w14:paraId="71FD330E">
      <w:pPr>
        <w:numPr>
          <w:ilvl w:val="0"/>
          <w:numId w:val="5"/>
        </w:numPr>
        <w:spacing w:before="0"/>
        <w:ind w:left="720" w:hanging="360"/>
      </w:pPr>
      <w:r>
        <w:t>党政主要领导干部任期经济责任履行情况</w:t>
      </w:r>
    </w:p>
    <w:p w14:paraId="15EAAD95">
      <w:pPr>
        <w:numPr>
          <w:ilvl w:val="0"/>
          <w:numId w:val="5"/>
        </w:numPr>
        <w:spacing w:after="0"/>
        <w:ind w:left="720" w:hanging="360"/>
      </w:pPr>
      <w:r>
        <w:t>国有企业领导人员经济责任（党政同责、同责同审）</w:t>
      </w:r>
    </w:p>
    <w:p w14:paraId="2F1995FD">
      <w:pPr>
        <w:rPr>
          <w:rFonts w:hint="eastAsia"/>
        </w:rPr>
      </w:pPr>
    </w:p>
    <w:p w14:paraId="14AD71FA">
      <w:pPr>
        <w:pStyle w:val="4"/>
      </w:pPr>
      <w:r>
        <w:t>5. 其他法定事项</w:t>
      </w:r>
    </w:p>
    <w:p w14:paraId="0E9E6AD3">
      <w:pPr>
        <w:numPr>
          <w:ilvl w:val="0"/>
          <w:numId w:val="6"/>
        </w:numPr>
        <w:spacing w:before="0"/>
        <w:ind w:left="720" w:hanging="360"/>
      </w:pPr>
      <w:r>
        <w:t>政府投资项目、社会保障基金、国际组织贷款项目等</w:t>
      </w:r>
    </w:p>
    <w:p w14:paraId="3737A193">
      <w:pPr>
        <w:numPr>
          <w:ilvl w:val="0"/>
          <w:numId w:val="6"/>
        </w:numPr>
        <w:spacing w:after="0"/>
        <w:ind w:left="720" w:hanging="360"/>
      </w:pPr>
      <w:r>
        <w:t>国家重大经济社会政策措施落实情况</w:t>
      </w:r>
    </w:p>
    <w:p w14:paraId="2E6F6297">
      <w:pPr>
        <w:rPr>
          <w:rFonts w:hint="eastAsia"/>
        </w:rPr>
      </w:pPr>
    </w:p>
    <w:p w14:paraId="4C972C86">
      <w:pPr>
        <w:rPr>
          <w:rFonts w:hint="eastAsia"/>
        </w:rPr>
      </w:pPr>
      <w:r>
        <w:rPr>
          <w:rFonts w:hint="eastAsia"/>
        </w:rPr>
        <w:t>**全覆盖目标**：“对重点部门、单位要每年审计，其他审计对象1个周期内至少审计1次，对重点地区、部门、单位以及关键岗位的领导干部任期内至少审计1次。”</w:t>
      </w:r>
    </w:p>
    <w:p w14:paraId="10A98AF6">
      <w:pPr>
        <w:rPr>
          <w:rFonts w:hint="eastAsia"/>
        </w:rPr>
      </w:pPr>
    </w:p>
    <w:p w14:paraId="0481C263">
      <w:pPr>
        <w:rPr>
          <w:rFonts w:hint="eastAsia"/>
        </w:rPr>
      </w:pPr>
    </w:p>
    <w:p w14:paraId="1FA94C91">
      <w:pPr>
        <w:pStyle w:val="3"/>
      </w:pPr>
      <w:r>
        <w:t>四、审计机关权限</w:t>
      </w:r>
    </w:p>
    <w:p w14:paraId="4D7D9589">
      <w:pPr>
        <w:rPr>
          <w:rFonts w:hint="eastAsia"/>
        </w:rPr>
      </w:pPr>
    </w:p>
    <w:tbl>
      <w:tblPr>
        <w:tblW w:w="83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78"/>
        <w:gridCol w:w="5770"/>
        <w:gridCol w:w="1256"/>
      </w:tblGrid>
      <w:tr w14:paraId="1AF51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278" w:type="dxa"/>
            <w:tcMar>
              <w:left w:w="108" w:type="dxa"/>
              <w:right w:w="108" w:type="dxa"/>
            </w:tcMar>
            <w:vAlign w:val="center"/>
          </w:tcPr>
          <w:p w14:paraId="3B8F3A68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权限类型</w:t>
            </w:r>
          </w:p>
        </w:tc>
        <w:tc>
          <w:tcPr>
            <w:tcW w:w="5770" w:type="dxa"/>
            <w:tcMar>
              <w:left w:w="108" w:type="dxa"/>
              <w:right w:w="108" w:type="dxa"/>
            </w:tcMar>
            <w:vAlign w:val="center"/>
          </w:tcPr>
          <w:p w14:paraId="7A35DEE9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具体内容</w:t>
            </w:r>
          </w:p>
        </w:tc>
        <w:tc>
          <w:tcPr>
            <w:tcW w:w="1256" w:type="dxa"/>
            <w:tcMar>
              <w:left w:w="108" w:type="dxa"/>
              <w:right w:w="108" w:type="dxa"/>
            </w:tcMar>
            <w:vAlign w:val="center"/>
          </w:tcPr>
          <w:p w14:paraId="3BF5E3D6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法律依据</w:t>
            </w:r>
          </w:p>
        </w:tc>
      </w:tr>
      <w:tr w14:paraId="062AC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278" w:type="dxa"/>
            <w:tcMar>
              <w:left w:w="108" w:type="dxa"/>
              <w:right w:w="108" w:type="dxa"/>
            </w:tcMar>
            <w:vAlign w:val="center"/>
          </w:tcPr>
          <w:p w14:paraId="5B36EB9E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资料获取权</w:t>
            </w:r>
          </w:p>
        </w:tc>
        <w:tc>
          <w:tcPr>
            <w:tcW w:w="5770" w:type="dxa"/>
            <w:tcMar>
              <w:left w:w="108" w:type="dxa"/>
              <w:right w:w="108" w:type="dxa"/>
            </w:tcMar>
            <w:vAlign w:val="center"/>
          </w:tcPr>
          <w:p w14:paraId="52B1A93A">
            <w:pPr>
              <w:snapToGrid w:val="0"/>
              <w:ind w:left="0" w:leftChars="0" w:right="0" w:rightChars="0" w:firstLine="0" w:firstLineChars="0"/>
              <w:jc w:val="left"/>
            </w:pPr>
            <w:r>
              <w:t>要求提供财务、会计、业务、管理等资料（含电子数据）</w:t>
            </w:r>
          </w:p>
        </w:tc>
        <w:tc>
          <w:tcPr>
            <w:tcW w:w="1256" w:type="dxa"/>
            <w:tcMar>
              <w:left w:w="108" w:type="dxa"/>
              <w:right w:w="108" w:type="dxa"/>
            </w:tcMar>
            <w:vAlign w:val="center"/>
          </w:tcPr>
          <w:p w14:paraId="3D12A41B">
            <w:pPr>
              <w:snapToGrid w:val="0"/>
              <w:ind w:left="0" w:leftChars="0" w:right="0" w:rightChars="0" w:firstLine="0" w:firstLineChars="0"/>
              <w:jc w:val="left"/>
            </w:pPr>
            <w:r>
              <w:t>审计法第34条</w:t>
            </w:r>
          </w:p>
        </w:tc>
      </w:tr>
      <w:tr w14:paraId="5FB21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278" w:type="dxa"/>
            <w:tcMar>
              <w:left w:w="108" w:type="dxa"/>
              <w:right w:w="108" w:type="dxa"/>
            </w:tcMar>
            <w:vAlign w:val="center"/>
          </w:tcPr>
          <w:p w14:paraId="1C88D1B6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检查权</w:t>
            </w:r>
          </w:p>
        </w:tc>
        <w:tc>
          <w:tcPr>
            <w:tcW w:w="5770" w:type="dxa"/>
            <w:tcMar>
              <w:left w:w="108" w:type="dxa"/>
              <w:right w:w="108" w:type="dxa"/>
            </w:tcMar>
            <w:vAlign w:val="center"/>
          </w:tcPr>
          <w:p w14:paraId="2A9B74DC">
            <w:pPr>
              <w:snapToGrid w:val="0"/>
              <w:ind w:left="0" w:leftChars="0" w:right="0" w:rightChars="0" w:firstLine="0" w:firstLineChars="0"/>
              <w:jc w:val="left"/>
            </w:pPr>
            <w:r>
              <w:t>检查资料、资产、信息系统的安全性可靠性</w:t>
            </w:r>
          </w:p>
        </w:tc>
        <w:tc>
          <w:tcPr>
            <w:tcW w:w="1256" w:type="dxa"/>
            <w:tcMar>
              <w:left w:w="108" w:type="dxa"/>
              <w:right w:w="108" w:type="dxa"/>
            </w:tcMar>
            <w:vAlign w:val="center"/>
          </w:tcPr>
          <w:p w14:paraId="317C2547">
            <w:pPr>
              <w:snapToGrid w:val="0"/>
              <w:ind w:left="0" w:leftChars="0" w:right="0" w:rightChars="0" w:firstLine="0" w:firstLineChars="0"/>
              <w:jc w:val="left"/>
            </w:pPr>
            <w:r>
              <w:t>审计法第36条</w:t>
            </w:r>
          </w:p>
        </w:tc>
      </w:tr>
      <w:tr w14:paraId="5669A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278" w:type="dxa"/>
            <w:tcMar>
              <w:left w:w="108" w:type="dxa"/>
              <w:right w:w="108" w:type="dxa"/>
            </w:tcMar>
            <w:vAlign w:val="center"/>
          </w:tcPr>
          <w:p w14:paraId="62FDB088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调查权</w:t>
            </w:r>
          </w:p>
        </w:tc>
        <w:tc>
          <w:tcPr>
            <w:tcW w:w="5770" w:type="dxa"/>
            <w:tcMar>
              <w:left w:w="108" w:type="dxa"/>
              <w:right w:w="108" w:type="dxa"/>
            </w:tcMar>
            <w:vAlign w:val="center"/>
          </w:tcPr>
          <w:p w14:paraId="78C1D8FC">
            <w:pPr>
              <w:snapToGrid w:val="0"/>
              <w:ind w:left="0" w:leftChars="0" w:right="0" w:rightChars="0" w:firstLine="0" w:firstLineChars="0"/>
              <w:jc w:val="left"/>
            </w:pPr>
            <w:r>
              <w:t>向有关单位和个人调查取证</w:t>
            </w:r>
          </w:p>
        </w:tc>
        <w:tc>
          <w:tcPr>
            <w:tcW w:w="1256" w:type="dxa"/>
            <w:tcMar>
              <w:left w:w="108" w:type="dxa"/>
              <w:right w:w="108" w:type="dxa"/>
            </w:tcMar>
            <w:vAlign w:val="center"/>
          </w:tcPr>
          <w:p w14:paraId="4C8A1C68">
            <w:pPr>
              <w:snapToGrid w:val="0"/>
              <w:ind w:left="0" w:leftChars="0" w:right="0" w:rightChars="0" w:firstLine="0" w:firstLineChars="0"/>
              <w:jc w:val="left"/>
            </w:pPr>
            <w:r>
              <w:t>审计法第37条</w:t>
            </w:r>
          </w:p>
        </w:tc>
      </w:tr>
      <w:tr w14:paraId="6A3CF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278" w:type="dxa"/>
            <w:tcMar>
              <w:left w:w="108" w:type="dxa"/>
              <w:right w:w="108" w:type="dxa"/>
            </w:tcMar>
            <w:vAlign w:val="center"/>
          </w:tcPr>
          <w:p w14:paraId="1466AE88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账户查询权</w:t>
            </w:r>
          </w:p>
        </w:tc>
        <w:tc>
          <w:tcPr>
            <w:tcW w:w="5770" w:type="dxa"/>
            <w:tcMar>
              <w:left w:w="108" w:type="dxa"/>
              <w:right w:w="108" w:type="dxa"/>
            </w:tcMar>
            <w:vAlign w:val="center"/>
          </w:tcPr>
          <w:p w14:paraId="3AEC39F9">
            <w:pPr>
              <w:snapToGrid w:val="0"/>
              <w:ind w:left="0" w:leftChars="0" w:right="0" w:rightChars="0" w:firstLine="0" w:firstLineChars="0"/>
              <w:jc w:val="left"/>
            </w:pPr>
            <w:r>
              <w:t>经批准查询被审计单位在金融机构的账户；有证据证明公款私存的，可查询个人存款</w:t>
            </w:r>
          </w:p>
        </w:tc>
        <w:tc>
          <w:tcPr>
            <w:tcW w:w="1256" w:type="dxa"/>
            <w:tcMar>
              <w:left w:w="108" w:type="dxa"/>
              <w:right w:w="108" w:type="dxa"/>
            </w:tcMar>
            <w:vAlign w:val="center"/>
          </w:tcPr>
          <w:p w14:paraId="4CC8944E">
            <w:pPr>
              <w:snapToGrid w:val="0"/>
              <w:ind w:left="0" w:leftChars="0" w:right="0" w:rightChars="0" w:firstLine="0" w:firstLineChars="0"/>
              <w:jc w:val="left"/>
            </w:pPr>
            <w:r>
              <w:t>审计法第37条</w:t>
            </w:r>
          </w:p>
        </w:tc>
      </w:tr>
      <w:tr w14:paraId="68D9A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278" w:type="dxa"/>
            <w:tcMar>
              <w:left w:w="108" w:type="dxa"/>
              <w:right w:w="108" w:type="dxa"/>
            </w:tcMar>
            <w:vAlign w:val="center"/>
          </w:tcPr>
          <w:p w14:paraId="290CD508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封存权</w:t>
            </w:r>
          </w:p>
        </w:tc>
        <w:tc>
          <w:tcPr>
            <w:tcW w:w="5770" w:type="dxa"/>
            <w:tcMar>
              <w:left w:w="108" w:type="dxa"/>
              <w:right w:w="108" w:type="dxa"/>
            </w:tcMar>
            <w:vAlign w:val="center"/>
          </w:tcPr>
          <w:p w14:paraId="00E25F70">
            <w:pPr>
              <w:snapToGrid w:val="0"/>
              <w:ind w:left="0" w:leftChars="0" w:right="0" w:rightChars="0" w:firstLine="0" w:firstLineChars="0"/>
              <w:jc w:val="left"/>
            </w:pPr>
            <w:r>
              <w:t>必要时封存有关资料和违规取得的资产</w:t>
            </w:r>
          </w:p>
        </w:tc>
        <w:tc>
          <w:tcPr>
            <w:tcW w:w="1256" w:type="dxa"/>
            <w:tcMar>
              <w:left w:w="108" w:type="dxa"/>
              <w:right w:w="108" w:type="dxa"/>
            </w:tcMar>
            <w:vAlign w:val="center"/>
          </w:tcPr>
          <w:p w14:paraId="3D931842">
            <w:pPr>
              <w:snapToGrid w:val="0"/>
              <w:ind w:left="0" w:leftChars="0" w:right="0" w:rightChars="0" w:firstLine="0" w:firstLineChars="0"/>
              <w:jc w:val="left"/>
            </w:pPr>
            <w:r>
              <w:t>审计法第38条</w:t>
            </w:r>
          </w:p>
        </w:tc>
      </w:tr>
      <w:tr w14:paraId="1BC63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278" w:type="dxa"/>
            <w:tcMar>
              <w:left w:w="108" w:type="dxa"/>
              <w:right w:w="108" w:type="dxa"/>
            </w:tcMar>
            <w:vAlign w:val="center"/>
          </w:tcPr>
          <w:p w14:paraId="01EB3863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暂停拨付权</w:t>
            </w:r>
          </w:p>
        </w:tc>
        <w:tc>
          <w:tcPr>
            <w:tcW w:w="5770" w:type="dxa"/>
            <w:tcMar>
              <w:left w:w="108" w:type="dxa"/>
              <w:right w:w="108" w:type="dxa"/>
            </w:tcMar>
            <w:vAlign w:val="center"/>
          </w:tcPr>
          <w:p w14:paraId="47402AE8">
            <w:pPr>
              <w:snapToGrid w:val="0"/>
              <w:ind w:left="0" w:leftChars="0" w:right="0" w:rightChars="0" w:firstLine="0" w:firstLineChars="0"/>
              <w:jc w:val="left"/>
            </w:pPr>
            <w:r>
              <w:t>制止无效时，通知财政等部门暂停拨付相关款项</w:t>
            </w:r>
          </w:p>
        </w:tc>
        <w:tc>
          <w:tcPr>
            <w:tcW w:w="1256" w:type="dxa"/>
            <w:tcMar>
              <w:left w:w="108" w:type="dxa"/>
              <w:right w:w="108" w:type="dxa"/>
            </w:tcMar>
            <w:vAlign w:val="center"/>
          </w:tcPr>
          <w:p w14:paraId="30599F79">
            <w:pPr>
              <w:snapToGrid w:val="0"/>
              <w:ind w:left="0" w:leftChars="0" w:right="0" w:rightChars="0" w:firstLine="0" w:firstLineChars="0"/>
              <w:jc w:val="left"/>
            </w:pPr>
            <w:r>
              <w:t>审计法第38条</w:t>
            </w:r>
          </w:p>
        </w:tc>
      </w:tr>
      <w:tr w14:paraId="74F7C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278" w:type="dxa"/>
            <w:tcMar>
              <w:left w:w="108" w:type="dxa"/>
              <w:right w:w="108" w:type="dxa"/>
            </w:tcMar>
            <w:vAlign w:val="center"/>
          </w:tcPr>
          <w:p w14:paraId="3E78496B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处理处罚权</w:t>
            </w:r>
          </w:p>
        </w:tc>
        <w:tc>
          <w:tcPr>
            <w:tcW w:w="5770" w:type="dxa"/>
            <w:tcMar>
              <w:left w:w="108" w:type="dxa"/>
              <w:right w:w="108" w:type="dxa"/>
            </w:tcMar>
            <w:vAlign w:val="center"/>
          </w:tcPr>
          <w:p w14:paraId="22FAFE56">
            <w:pPr>
              <w:snapToGrid w:val="0"/>
              <w:ind w:left="0" w:leftChars="0" w:right="0" w:rightChars="0" w:firstLine="0" w:firstLineChars="0"/>
              <w:jc w:val="left"/>
            </w:pPr>
            <w:r>
              <w:t>在法定职权范围内作出审计决定</w:t>
            </w:r>
          </w:p>
        </w:tc>
        <w:tc>
          <w:tcPr>
            <w:tcW w:w="1256" w:type="dxa"/>
            <w:tcMar>
              <w:left w:w="108" w:type="dxa"/>
              <w:right w:w="108" w:type="dxa"/>
            </w:tcMar>
            <w:vAlign w:val="center"/>
          </w:tcPr>
          <w:p w14:paraId="5A7E2310">
            <w:pPr>
              <w:snapToGrid w:val="0"/>
              <w:ind w:left="0" w:leftChars="0" w:right="0" w:rightChars="0" w:firstLine="0" w:firstLineChars="0"/>
              <w:jc w:val="left"/>
            </w:pPr>
            <w:r>
              <w:t>审计法第3条</w:t>
            </w:r>
          </w:p>
        </w:tc>
      </w:tr>
      <w:tr w14:paraId="224A8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278" w:type="dxa"/>
            <w:tcMar>
              <w:left w:w="108" w:type="dxa"/>
              <w:right w:w="108" w:type="dxa"/>
            </w:tcMar>
            <w:vAlign w:val="center"/>
          </w:tcPr>
          <w:p w14:paraId="18E85E43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结果公布权</w:t>
            </w:r>
          </w:p>
        </w:tc>
        <w:tc>
          <w:tcPr>
            <w:tcW w:w="5770" w:type="dxa"/>
            <w:tcMar>
              <w:left w:w="108" w:type="dxa"/>
              <w:right w:w="108" w:type="dxa"/>
            </w:tcMar>
            <w:vAlign w:val="center"/>
          </w:tcPr>
          <w:p w14:paraId="475290E4">
            <w:pPr>
              <w:snapToGrid w:val="0"/>
              <w:ind w:left="0" w:leftChars="0" w:right="0" w:rightChars="0" w:firstLine="0" w:firstLineChars="0"/>
              <w:jc w:val="left"/>
            </w:pPr>
            <w:r>
              <w:t>向政府有关部门通报或向社会公布审计结果</w:t>
            </w:r>
          </w:p>
        </w:tc>
        <w:tc>
          <w:tcPr>
            <w:tcW w:w="1256" w:type="dxa"/>
            <w:tcMar>
              <w:left w:w="108" w:type="dxa"/>
              <w:right w:w="108" w:type="dxa"/>
            </w:tcMar>
            <w:vAlign w:val="center"/>
          </w:tcPr>
          <w:p w14:paraId="1A77832A">
            <w:pPr>
              <w:snapToGrid w:val="0"/>
              <w:ind w:left="0" w:leftChars="0" w:right="0" w:rightChars="0" w:firstLine="0" w:firstLineChars="0"/>
              <w:jc w:val="left"/>
            </w:pPr>
            <w:r>
              <w:t>审计法第40条</w:t>
            </w:r>
          </w:p>
        </w:tc>
      </w:tr>
      <w:tr w14:paraId="7A24E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278" w:type="dxa"/>
            <w:tcMar>
              <w:left w:w="108" w:type="dxa"/>
              <w:right w:w="108" w:type="dxa"/>
            </w:tcMar>
            <w:vAlign w:val="center"/>
          </w:tcPr>
          <w:p w14:paraId="696A56F6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协助请求权</w:t>
            </w:r>
          </w:p>
        </w:tc>
        <w:tc>
          <w:tcPr>
            <w:tcW w:w="5770" w:type="dxa"/>
            <w:tcMar>
              <w:left w:w="108" w:type="dxa"/>
              <w:right w:w="108" w:type="dxa"/>
            </w:tcMar>
            <w:vAlign w:val="center"/>
          </w:tcPr>
          <w:p w14:paraId="0E64158E">
            <w:pPr>
              <w:snapToGrid w:val="0"/>
              <w:ind w:left="0" w:leftChars="0" w:right="0" w:rightChars="0" w:firstLine="0" w:firstLineChars="0"/>
              <w:jc w:val="left"/>
            </w:pPr>
            <w:r>
              <w:t>提请公安、税务、市场监管等部门予以协助</w:t>
            </w:r>
          </w:p>
        </w:tc>
        <w:tc>
          <w:tcPr>
            <w:tcW w:w="1256" w:type="dxa"/>
            <w:tcMar>
              <w:left w:w="108" w:type="dxa"/>
              <w:right w:w="108" w:type="dxa"/>
            </w:tcMar>
            <w:vAlign w:val="center"/>
          </w:tcPr>
          <w:p w14:paraId="27577D32">
            <w:pPr>
              <w:snapToGrid w:val="0"/>
              <w:ind w:left="0" w:leftChars="0" w:right="0" w:rightChars="0" w:firstLine="0" w:firstLineChars="0"/>
              <w:jc w:val="left"/>
            </w:pPr>
            <w:r>
              <w:t>审计法第41条</w:t>
            </w:r>
          </w:p>
        </w:tc>
      </w:tr>
    </w:tbl>
    <w:p w14:paraId="0DE4D791">
      <w:pPr>
        <w:rPr>
          <w:rFonts w:hint="eastAsia"/>
        </w:rPr>
      </w:pPr>
    </w:p>
    <w:p w14:paraId="39CD6A32">
      <w:pPr>
        <w:rPr>
          <w:rFonts w:hint="eastAsia"/>
        </w:rPr>
      </w:pPr>
    </w:p>
    <w:p w14:paraId="503008F5">
      <w:pPr>
        <w:pStyle w:val="3"/>
      </w:pPr>
      <w:r>
        <w:t>五、审计程序</w:t>
      </w:r>
    </w:p>
    <w:p w14:paraId="4F5FCDD0">
      <w:pPr>
        <w:rPr>
          <w:rFonts w:hint="eastAsia"/>
        </w:rPr>
      </w:pPr>
    </w:p>
    <w:p w14:paraId="28B48318">
      <w:pPr>
        <w:rPr>
          <w:rFonts w:hint="eastAsia"/>
        </w:rPr>
      </w:pPr>
      <w:r>
        <w:rPr>
          <w:rFonts w:hint="eastAsia"/>
        </w:rPr>
        <w:t>根据《审计法》第五章，审计程序分为以下步骤：</w:t>
      </w:r>
    </w:p>
    <w:p w14:paraId="729BED46">
      <w:pPr>
        <w:rPr>
          <w:rFonts w:hint="eastAsia"/>
        </w:rPr>
      </w:pPr>
    </w:p>
    <w:p w14:paraId="7A4124B5">
      <w:r>
        <w:t>1. 计划阶段</w:t>
      </w:r>
    </w:p>
    <w:p w14:paraId="5A91BFC1">
      <w:r>
        <w:t>└── 编制年度审计项目计划，报经批准</w:t>
      </w:r>
    </w:p>
    <w:p w14:paraId="6EDDF3D0">
      <w:pPr>
        <w:rPr>
          <w:rFonts w:hint="eastAsia"/>
        </w:rPr>
      </w:pPr>
      <w:r>
        <w:rPr>
          <w:rFonts w:hint="eastAsia"/>
        </w:rPr>
        <w:t xml:space="preserve">   </w:t>
      </w:r>
    </w:p>
    <w:p w14:paraId="156F4E70">
      <w:pPr>
        <w:numPr>
          <w:ilvl w:val="0"/>
          <w:numId w:val="7"/>
        </w:numPr>
        <w:spacing w:before="0"/>
        <w:ind w:left="720" w:hanging="360"/>
      </w:pPr>
      <w:r>
        <w:t>通知阶段</w:t>
      </w:r>
    </w:p>
    <w:p w14:paraId="10B4CFA3">
      <w:pPr>
        <w:spacing w:before="0" w:after="0"/>
        <w:ind w:left="720"/>
      </w:pPr>
      <w:r>
        <w:t>└── 实施审计3日前送达审计通知书（特殊情况可直接持通知审计）</w:t>
      </w:r>
    </w:p>
    <w:p w14:paraId="088D68A8">
      <w:pPr>
        <w:rPr>
          <w:rFonts w:hint="eastAsia"/>
        </w:rPr>
      </w:pPr>
      <w:r>
        <w:rPr>
          <w:rFonts w:hint="eastAsia"/>
        </w:rPr>
        <w:t xml:space="preserve">   </w:t>
      </w:r>
    </w:p>
    <w:p w14:paraId="4D334365">
      <w:pPr>
        <w:numPr>
          <w:ilvl w:val="0"/>
          <w:numId w:val="8"/>
        </w:numPr>
        <w:spacing w:before="0"/>
        <w:ind w:left="720" w:hanging="360"/>
      </w:pPr>
      <w:r>
        <w:t>实施阶段</w:t>
      </w:r>
    </w:p>
    <w:p w14:paraId="05722B01">
      <w:pPr>
        <w:spacing w:before="0" w:after="0"/>
        <w:ind w:left="720"/>
      </w:pPr>
      <w:r>
        <w:t>└── 审查资料、调查取证、编制工作底稿</w:t>
      </w:r>
    </w:p>
    <w:p w14:paraId="1E8D9857">
      <w:pPr>
        <w:rPr>
          <w:rFonts w:hint="eastAsia"/>
        </w:rPr>
      </w:pPr>
      <w:r>
        <w:rPr>
          <w:rFonts w:hint="eastAsia"/>
        </w:rPr>
        <w:t xml:space="preserve">   </w:t>
      </w:r>
    </w:p>
    <w:p w14:paraId="1F555ECD">
      <w:pPr>
        <w:numPr>
          <w:ilvl w:val="0"/>
          <w:numId w:val="9"/>
        </w:numPr>
        <w:spacing w:before="0"/>
        <w:ind w:left="720" w:hanging="360"/>
      </w:pPr>
      <w:r>
        <w:t>报告阶段</w:t>
      </w:r>
    </w:p>
    <w:p w14:paraId="7F164BCC">
      <w:pPr>
        <w:spacing w:before="0" w:after="0"/>
        <w:ind w:left="720"/>
      </w:pPr>
      <w:r>
        <w:t>└── 审计组提出审计报告，书面征求被审计单位意见（10日内反馈）</w:t>
      </w:r>
    </w:p>
    <w:p w14:paraId="7FA70D37">
      <w:pPr>
        <w:rPr>
          <w:rFonts w:hint="eastAsia"/>
        </w:rPr>
      </w:pPr>
      <w:r>
        <w:rPr>
          <w:rFonts w:hint="eastAsia"/>
        </w:rPr>
        <w:t xml:space="preserve">   </w:t>
      </w:r>
    </w:p>
    <w:p w14:paraId="620432D1">
      <w:pPr>
        <w:numPr>
          <w:ilvl w:val="0"/>
          <w:numId w:val="10"/>
        </w:numPr>
        <w:spacing w:before="0"/>
        <w:ind w:left="720" w:hanging="360"/>
      </w:pPr>
      <w:r>
        <w:t>出具结论</w:t>
      </w:r>
    </w:p>
    <w:p w14:paraId="5011C787">
      <w:pPr>
        <w:spacing w:before="0" w:after="0"/>
        <w:ind w:left="720"/>
      </w:pPr>
      <w:r>
        <w:t>└── 审计机关出具正式审计报告、审计决定</w:t>
      </w:r>
    </w:p>
    <w:p w14:paraId="19ED5D6D">
      <w:pPr>
        <w:rPr>
          <w:rFonts w:hint="eastAsia"/>
        </w:rPr>
      </w:pPr>
      <w:r>
        <w:rPr>
          <w:rFonts w:hint="eastAsia"/>
        </w:rPr>
        <w:t xml:space="preserve">   </w:t>
      </w:r>
    </w:p>
    <w:p w14:paraId="5C2A7C4F">
      <w:pPr>
        <w:numPr>
          <w:ilvl w:val="0"/>
          <w:numId w:val="11"/>
        </w:numPr>
        <w:spacing w:before="0"/>
        <w:ind w:left="720" w:hanging="360"/>
      </w:pPr>
      <w:r>
        <w:t>整改阶段</w:t>
      </w:r>
    </w:p>
    <w:p w14:paraId="4310A4D7">
      <w:pPr>
        <w:spacing w:before="0" w:after="0"/>
        <w:ind w:left="720"/>
      </w:pPr>
      <w:r>
        <w:t>└── 被审计单位落实整改，审计机关跟踪检查</w:t>
      </w:r>
    </w:p>
    <w:p w14:paraId="2FD66904">
      <w:pPr>
        <w:rPr>
          <w:rFonts w:hint="eastAsia"/>
        </w:rPr>
      </w:pPr>
      <w:r>
        <w:rPr>
          <w:rFonts w:hint="eastAsia"/>
        </w:rPr>
        <w:t xml:space="preserve">   </w:t>
      </w:r>
    </w:p>
    <w:p w14:paraId="253B77C0">
      <w:pPr>
        <w:numPr>
          <w:ilvl w:val="0"/>
          <w:numId w:val="12"/>
        </w:numPr>
        <w:spacing w:before="0"/>
        <w:ind w:left="720" w:hanging="360"/>
      </w:pPr>
      <w:r>
        <w:t>结果运用</w:t>
      </w:r>
    </w:p>
    <w:p w14:paraId="711C18F3">
      <w:pPr>
        <w:spacing w:before="0" w:after="0"/>
        <w:ind w:left="720"/>
      </w:pPr>
      <w:r>
        <w:t>└── 审计结果作为干部考核、任免、奖惩的重要依据</w:t>
      </w:r>
    </w:p>
    <w:p w14:paraId="2BC7C5A0">
      <w:pPr>
        <w:rPr>
          <w:rFonts w:hint="eastAsia"/>
        </w:rPr>
      </w:pPr>
    </w:p>
    <w:p w14:paraId="60D66C46">
      <w:pPr>
        <w:rPr>
          <w:rFonts w:hint="eastAsia"/>
        </w:rPr>
      </w:pPr>
    </w:p>
    <w:p w14:paraId="4E6CC668">
      <w:pPr>
        <w:pStyle w:val="3"/>
      </w:pPr>
      <w:r>
        <w:t>六、审计结果运用与问责</w:t>
      </w:r>
    </w:p>
    <w:p w14:paraId="35872084">
      <w:pPr>
        <w:rPr>
          <w:rFonts w:hint="eastAsia"/>
        </w:rPr>
      </w:pPr>
    </w:p>
    <w:p w14:paraId="0CD2ECE1">
      <w:pPr>
        <w:rPr>
          <w:rFonts w:hint="eastAsia"/>
        </w:rPr>
      </w:pPr>
      <w:r>
        <w:rPr>
          <w:rFonts w:hint="eastAsia"/>
        </w:rPr>
        <w:t>《框架意见》明确了审计结果的多维度运用机制：</w:t>
      </w:r>
    </w:p>
    <w:p w14:paraId="7A32536E">
      <w:pPr>
        <w:rPr>
          <w:rFonts w:hint="eastAsia"/>
        </w:rPr>
      </w:pPr>
    </w:p>
    <w:p w14:paraId="63E43BAC">
      <w:pPr>
        <w:numPr>
          <w:ilvl w:val="0"/>
          <w:numId w:val="13"/>
        </w:numPr>
        <w:spacing w:before="0"/>
        <w:ind w:left="720" w:hanging="360"/>
      </w:pPr>
      <w:r>
        <w:rPr>
          <w:b/>
        </w:rPr>
        <w:t>干部管理</w:t>
      </w:r>
      <w:r>
        <w:t>：审计结果及整改情况作为考核、任免、奖惩领导干部的重要依据</w:t>
      </w:r>
    </w:p>
    <w:p w14:paraId="546BFD52">
      <w:pPr>
        <w:numPr>
          <w:ilvl w:val="0"/>
          <w:numId w:val="13"/>
        </w:numPr>
        <w:ind w:left="720" w:hanging="360"/>
      </w:pPr>
      <w:r>
        <w:rPr>
          <w:b/>
        </w:rPr>
        <w:t>追责问责</w:t>
      </w:r>
      <w:r>
        <w:t>：对整改不力、屡审屡犯的，约谈主要负责人并严格追责</w:t>
      </w:r>
    </w:p>
    <w:p w14:paraId="519573D8">
      <w:pPr>
        <w:numPr>
          <w:ilvl w:val="0"/>
          <w:numId w:val="13"/>
        </w:numPr>
        <w:ind w:left="720" w:hanging="360"/>
      </w:pPr>
      <w:r>
        <w:rPr>
          <w:b/>
        </w:rPr>
        <w:t>人大监督</w:t>
      </w:r>
      <w:r>
        <w:t>：人大常委会建立听取和审议审计查出突出问题整改情况报告机制</w:t>
      </w:r>
    </w:p>
    <w:p w14:paraId="6EDB8A6E">
      <w:pPr>
        <w:numPr>
          <w:ilvl w:val="0"/>
          <w:numId w:val="13"/>
        </w:numPr>
        <w:ind w:left="720" w:hanging="360"/>
      </w:pPr>
      <w:r>
        <w:rPr>
          <w:b/>
        </w:rPr>
        <w:t>社会监督</w:t>
      </w:r>
      <w:r>
        <w:t>：审计机关依法公告审计结果，被审计单位公告整改结果</w:t>
      </w:r>
    </w:p>
    <w:p w14:paraId="09CDE96A">
      <w:pPr>
        <w:numPr>
          <w:ilvl w:val="0"/>
          <w:numId w:val="13"/>
        </w:numPr>
        <w:spacing w:after="0"/>
        <w:ind w:left="720" w:hanging="360"/>
      </w:pPr>
      <w:r>
        <w:rPr>
          <w:b/>
        </w:rPr>
        <w:t>制度完善</w:t>
      </w:r>
      <w:r>
        <w:t>：对审计发现的典型性、普遍性问题，完善相关制度规定</w:t>
      </w:r>
    </w:p>
    <w:p w14:paraId="28C6497A">
      <w:pPr>
        <w:rPr>
          <w:rFonts w:hint="eastAsia"/>
        </w:rPr>
      </w:pPr>
    </w:p>
    <w:p w14:paraId="0D285A29">
      <w:pPr>
        <w:rPr>
          <w:rFonts w:hint="eastAsia"/>
        </w:rPr>
      </w:pPr>
    </w:p>
    <w:p w14:paraId="75288CC9">
      <w:pPr>
        <w:pStyle w:val="3"/>
      </w:pPr>
      <w:r>
        <w:t>七、对审计机关的监督</w:t>
      </w:r>
    </w:p>
    <w:p w14:paraId="6A1A2D22">
      <w:pPr>
        <w:rPr>
          <w:rFonts w:hint="eastAsia"/>
        </w:rPr>
      </w:pPr>
    </w:p>
    <w:p w14:paraId="7FA16050">
      <w:pPr>
        <w:rPr>
          <w:rFonts w:hint="eastAsia"/>
        </w:rPr>
      </w:pPr>
      <w:r>
        <w:rPr>
          <w:rFonts w:hint="eastAsia"/>
        </w:rPr>
        <w:t>为防止“灯下黑”，制度设计了多重监督机制：</w:t>
      </w:r>
    </w:p>
    <w:p w14:paraId="2558FEE2">
      <w:pPr>
        <w:rPr>
          <w:rFonts w:hint="eastAsia"/>
        </w:rPr>
      </w:pPr>
    </w:p>
    <w:p w14:paraId="2C84C2B0">
      <w:pPr>
        <w:numPr>
          <w:ilvl w:val="0"/>
          <w:numId w:val="14"/>
        </w:numPr>
        <w:spacing w:before="0"/>
        <w:ind w:left="720" w:hanging="360"/>
      </w:pPr>
      <w:r>
        <w:rPr>
          <w:b/>
        </w:rPr>
        <w:t>党委、人大监督</w:t>
      </w:r>
      <w:r>
        <w:t>：定期组织开展审计法律法规执行情况检查</w:t>
      </w:r>
    </w:p>
    <w:p w14:paraId="2A14B0CB">
      <w:pPr>
        <w:numPr>
          <w:ilvl w:val="0"/>
          <w:numId w:val="14"/>
        </w:numPr>
        <w:ind w:left="720" w:hanging="360"/>
      </w:pPr>
      <w:r>
        <w:rPr>
          <w:b/>
        </w:rPr>
        <w:t>外部审计制度</w:t>
      </w:r>
      <w:r>
        <w:t>：探索建立对审计机关的外部审计制度</w:t>
      </w:r>
    </w:p>
    <w:p w14:paraId="401193DA">
      <w:pPr>
        <w:numPr>
          <w:ilvl w:val="0"/>
          <w:numId w:val="14"/>
        </w:numPr>
        <w:ind w:left="720" w:hanging="360"/>
      </w:pPr>
      <w:r>
        <w:rPr>
          <w:b/>
        </w:rPr>
        <w:t>经济责任审计</w:t>
      </w:r>
      <w:r>
        <w:t>：对审计机关主要领导干部进行经济责任审计</w:t>
      </w:r>
    </w:p>
    <w:p w14:paraId="57DA63E3">
      <w:pPr>
        <w:numPr>
          <w:ilvl w:val="0"/>
          <w:numId w:val="14"/>
        </w:numPr>
        <w:ind w:left="720" w:hanging="360"/>
      </w:pPr>
      <w:r>
        <w:rPr>
          <w:b/>
        </w:rPr>
        <w:t>特约审计员</w:t>
      </w:r>
      <w:r>
        <w:t>：聘请民主党派和无党派人士担任特约审计员</w:t>
      </w:r>
    </w:p>
    <w:p w14:paraId="42B04D81">
      <w:pPr>
        <w:numPr>
          <w:ilvl w:val="0"/>
          <w:numId w:val="14"/>
        </w:numPr>
        <w:spacing w:after="0"/>
        <w:ind w:left="720" w:hanging="360"/>
      </w:pPr>
      <w:r>
        <w:rPr>
          <w:b/>
        </w:rPr>
        <w:t>自我约束</w:t>
      </w:r>
      <w:r>
        <w:t>：审计人员不得参加可能影响独立履职的活动，不得干预被审计单位正常生产经营</w:t>
      </w:r>
    </w:p>
    <w:p w14:paraId="0B9BAED8">
      <w:pPr>
        <w:rPr>
          <w:rFonts w:hint="eastAsia"/>
        </w:rPr>
      </w:pPr>
    </w:p>
    <w:p w14:paraId="25A89C9E">
      <w:pPr>
        <w:rPr>
          <w:rFonts w:hint="eastAsia"/>
        </w:rPr>
      </w:pPr>
    </w:p>
    <w:p w14:paraId="543BFE04">
      <w:pPr>
        <w:pStyle w:val="3"/>
      </w:pPr>
      <w:r>
        <w:t>八、国家审计与企业内部审计的关键区别</w:t>
      </w:r>
    </w:p>
    <w:p w14:paraId="2927349F">
      <w:pPr>
        <w:rPr>
          <w:rFonts w:hint="eastAsia"/>
        </w:rPr>
      </w:pPr>
    </w:p>
    <w:tbl>
      <w:tblPr>
        <w:tblW w:w="83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09"/>
        <w:gridCol w:w="4313"/>
        <w:gridCol w:w="2882"/>
      </w:tblGrid>
      <w:tr w14:paraId="4CD48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109" w:type="dxa"/>
            <w:tcMar>
              <w:left w:w="108" w:type="dxa"/>
              <w:right w:w="108" w:type="dxa"/>
            </w:tcMar>
            <w:vAlign w:val="center"/>
          </w:tcPr>
          <w:p w14:paraId="714AAEC5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维度</w:t>
            </w:r>
          </w:p>
        </w:tc>
        <w:tc>
          <w:tcPr>
            <w:tcW w:w="4313" w:type="dxa"/>
            <w:tcMar>
              <w:left w:w="108" w:type="dxa"/>
              <w:right w:w="108" w:type="dxa"/>
            </w:tcMar>
            <w:vAlign w:val="center"/>
          </w:tcPr>
          <w:p w14:paraId="6773F074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国家审计</w:t>
            </w:r>
          </w:p>
        </w:tc>
        <w:tc>
          <w:tcPr>
            <w:tcW w:w="2882" w:type="dxa"/>
            <w:tcMar>
              <w:left w:w="108" w:type="dxa"/>
              <w:right w:w="108" w:type="dxa"/>
            </w:tcMar>
            <w:vAlign w:val="center"/>
          </w:tcPr>
          <w:p w14:paraId="6BB48561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企业内部审计</w:t>
            </w:r>
          </w:p>
        </w:tc>
      </w:tr>
      <w:tr w14:paraId="7E1A5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109" w:type="dxa"/>
            <w:tcMar>
              <w:left w:w="108" w:type="dxa"/>
              <w:right w:w="108" w:type="dxa"/>
            </w:tcMar>
            <w:vAlign w:val="center"/>
          </w:tcPr>
          <w:p w14:paraId="7DBC6CDE">
            <w:pPr>
              <w:snapToGrid w:val="0"/>
            </w:pPr>
            <w:r>
              <w:rPr>
                <w:b/>
              </w:rPr>
              <w:t>法律依据</w:t>
            </w:r>
          </w:p>
        </w:tc>
        <w:tc>
          <w:tcPr>
            <w:tcW w:w="4313" w:type="dxa"/>
            <w:tcMar>
              <w:left w:w="108" w:type="dxa"/>
              <w:right w:w="108" w:type="dxa"/>
            </w:tcMar>
            <w:vAlign w:val="center"/>
          </w:tcPr>
          <w:p w14:paraId="51DDD5A1">
            <w:pPr>
              <w:snapToGrid w:val="0"/>
            </w:pPr>
            <w:r>
              <w:t>宪法、审计法</w:t>
            </w:r>
          </w:p>
        </w:tc>
        <w:tc>
          <w:tcPr>
            <w:tcW w:w="2882" w:type="dxa"/>
            <w:tcMar>
              <w:left w:w="108" w:type="dxa"/>
              <w:right w:w="108" w:type="dxa"/>
            </w:tcMar>
            <w:vAlign w:val="center"/>
          </w:tcPr>
          <w:p w14:paraId="7F8E2B54">
            <w:pPr>
              <w:snapToGrid w:val="0"/>
            </w:pPr>
            <w:r>
              <w:t>公司法、企业内部控制规范</w:t>
            </w:r>
          </w:p>
        </w:tc>
      </w:tr>
      <w:tr w14:paraId="5BF00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109" w:type="dxa"/>
            <w:tcMar>
              <w:left w:w="108" w:type="dxa"/>
              <w:right w:w="108" w:type="dxa"/>
            </w:tcMar>
            <w:vAlign w:val="center"/>
          </w:tcPr>
          <w:p w14:paraId="7B06A912">
            <w:pPr>
              <w:snapToGrid w:val="0"/>
            </w:pPr>
            <w:r>
              <w:rPr>
                <w:b/>
              </w:rPr>
              <w:t>审计主体</w:t>
            </w:r>
          </w:p>
        </w:tc>
        <w:tc>
          <w:tcPr>
            <w:tcW w:w="4313" w:type="dxa"/>
            <w:tcMar>
              <w:left w:w="108" w:type="dxa"/>
              <w:right w:w="108" w:type="dxa"/>
            </w:tcMar>
            <w:vAlign w:val="center"/>
          </w:tcPr>
          <w:p w14:paraId="4FF0A3C1">
            <w:pPr>
              <w:snapToGrid w:val="0"/>
            </w:pPr>
            <w:r>
              <w:t>国家审计机关</w:t>
            </w:r>
          </w:p>
        </w:tc>
        <w:tc>
          <w:tcPr>
            <w:tcW w:w="2882" w:type="dxa"/>
            <w:tcMar>
              <w:left w:w="108" w:type="dxa"/>
              <w:right w:w="108" w:type="dxa"/>
            </w:tcMar>
            <w:vAlign w:val="center"/>
          </w:tcPr>
          <w:p w14:paraId="74146ECD">
            <w:pPr>
              <w:snapToGrid w:val="0"/>
            </w:pPr>
            <w:r>
              <w:t>企业内设审计部门</w:t>
            </w:r>
          </w:p>
        </w:tc>
      </w:tr>
      <w:tr w14:paraId="7EFC0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109" w:type="dxa"/>
            <w:tcMar>
              <w:left w:w="108" w:type="dxa"/>
              <w:right w:w="108" w:type="dxa"/>
            </w:tcMar>
            <w:vAlign w:val="center"/>
          </w:tcPr>
          <w:p w14:paraId="0F0D1E48">
            <w:pPr>
              <w:snapToGrid w:val="0"/>
            </w:pPr>
            <w:r>
              <w:rPr>
                <w:b/>
              </w:rPr>
              <w:t>审计对象</w:t>
            </w:r>
          </w:p>
        </w:tc>
        <w:tc>
          <w:tcPr>
            <w:tcW w:w="4313" w:type="dxa"/>
            <w:tcMar>
              <w:left w:w="108" w:type="dxa"/>
              <w:right w:w="108" w:type="dxa"/>
            </w:tcMar>
            <w:vAlign w:val="center"/>
          </w:tcPr>
          <w:p w14:paraId="65752935">
            <w:pPr>
              <w:snapToGrid w:val="0"/>
            </w:pPr>
            <w:r>
              <w:t>政府、国企、公共资金</w:t>
            </w:r>
          </w:p>
        </w:tc>
        <w:tc>
          <w:tcPr>
            <w:tcW w:w="2882" w:type="dxa"/>
            <w:tcMar>
              <w:left w:w="108" w:type="dxa"/>
              <w:right w:w="108" w:type="dxa"/>
            </w:tcMar>
            <w:vAlign w:val="center"/>
          </w:tcPr>
          <w:p w14:paraId="06F8FAEB">
            <w:pPr>
              <w:snapToGrid w:val="0"/>
            </w:pPr>
            <w:r>
              <w:t>企业内部各部门、子公司</w:t>
            </w:r>
          </w:p>
        </w:tc>
      </w:tr>
      <w:tr w14:paraId="2983A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109" w:type="dxa"/>
            <w:tcMar>
              <w:left w:w="108" w:type="dxa"/>
              <w:right w:w="108" w:type="dxa"/>
            </w:tcMar>
            <w:vAlign w:val="center"/>
          </w:tcPr>
          <w:p w14:paraId="2FF3FEC6">
            <w:pPr>
              <w:snapToGrid w:val="0"/>
            </w:pPr>
            <w:r>
              <w:rPr>
                <w:b/>
              </w:rPr>
              <w:t>法律效力</w:t>
            </w:r>
          </w:p>
        </w:tc>
        <w:tc>
          <w:tcPr>
            <w:tcW w:w="4313" w:type="dxa"/>
            <w:tcMar>
              <w:left w:w="108" w:type="dxa"/>
              <w:right w:w="108" w:type="dxa"/>
            </w:tcMar>
            <w:vAlign w:val="center"/>
          </w:tcPr>
          <w:p w14:paraId="32E0F61A">
            <w:pPr>
              <w:snapToGrid w:val="0"/>
            </w:pPr>
            <w:r>
              <w:t>具有强制执行力</w:t>
            </w:r>
          </w:p>
        </w:tc>
        <w:tc>
          <w:tcPr>
            <w:tcW w:w="2882" w:type="dxa"/>
            <w:tcMar>
              <w:left w:w="108" w:type="dxa"/>
              <w:right w:w="108" w:type="dxa"/>
            </w:tcMar>
            <w:vAlign w:val="center"/>
          </w:tcPr>
          <w:p w14:paraId="3151D2C0">
            <w:pPr>
              <w:snapToGrid w:val="0"/>
            </w:pPr>
            <w:r>
              <w:t>向管理层/董事会报告</w:t>
            </w:r>
          </w:p>
        </w:tc>
      </w:tr>
      <w:tr w14:paraId="6294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109" w:type="dxa"/>
            <w:tcMar>
              <w:left w:w="108" w:type="dxa"/>
              <w:right w:w="108" w:type="dxa"/>
            </w:tcMar>
            <w:vAlign w:val="center"/>
          </w:tcPr>
          <w:p w14:paraId="03E7C4C2">
            <w:pPr>
              <w:snapToGrid w:val="0"/>
            </w:pPr>
            <w:r>
              <w:rPr>
                <w:b/>
              </w:rPr>
              <w:t>经费保障</w:t>
            </w:r>
          </w:p>
        </w:tc>
        <w:tc>
          <w:tcPr>
            <w:tcW w:w="4313" w:type="dxa"/>
            <w:tcMar>
              <w:left w:w="108" w:type="dxa"/>
              <w:right w:w="108" w:type="dxa"/>
            </w:tcMar>
            <w:vAlign w:val="center"/>
          </w:tcPr>
          <w:p w14:paraId="0FB815E7">
            <w:pPr>
              <w:snapToGrid w:val="0"/>
            </w:pPr>
            <w:r>
              <w:t>列入财政预算</w:t>
            </w:r>
          </w:p>
        </w:tc>
        <w:tc>
          <w:tcPr>
            <w:tcW w:w="2882" w:type="dxa"/>
            <w:tcMar>
              <w:left w:w="108" w:type="dxa"/>
              <w:right w:w="108" w:type="dxa"/>
            </w:tcMar>
            <w:vAlign w:val="center"/>
          </w:tcPr>
          <w:p w14:paraId="402D8581">
            <w:pPr>
              <w:snapToGrid w:val="0"/>
            </w:pPr>
            <w:r>
              <w:t>公司预算</w:t>
            </w:r>
          </w:p>
        </w:tc>
      </w:tr>
      <w:tr w14:paraId="7F066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109" w:type="dxa"/>
            <w:tcMar>
              <w:left w:w="108" w:type="dxa"/>
              <w:right w:w="108" w:type="dxa"/>
            </w:tcMar>
            <w:vAlign w:val="center"/>
          </w:tcPr>
          <w:p w14:paraId="7A92DF2D">
            <w:pPr>
              <w:snapToGrid w:val="0"/>
            </w:pPr>
            <w:r>
              <w:rPr>
                <w:b/>
              </w:rPr>
              <w:t>报告对象</w:t>
            </w:r>
          </w:p>
        </w:tc>
        <w:tc>
          <w:tcPr>
            <w:tcW w:w="4313" w:type="dxa"/>
            <w:tcMar>
              <w:left w:w="108" w:type="dxa"/>
              <w:right w:w="108" w:type="dxa"/>
            </w:tcMar>
            <w:vAlign w:val="center"/>
          </w:tcPr>
          <w:p w14:paraId="7A5CBDEE">
            <w:pPr>
              <w:snapToGrid w:val="0"/>
            </w:pPr>
            <w:r>
              <w:t>本级人民政府、人大常委会、上级审计机关</w:t>
            </w:r>
          </w:p>
        </w:tc>
        <w:tc>
          <w:tcPr>
            <w:tcW w:w="2882" w:type="dxa"/>
            <w:tcMar>
              <w:left w:w="108" w:type="dxa"/>
              <w:right w:w="108" w:type="dxa"/>
            </w:tcMar>
            <w:vAlign w:val="center"/>
          </w:tcPr>
          <w:p w14:paraId="71C8A8C2">
            <w:pPr>
              <w:snapToGrid w:val="0"/>
            </w:pPr>
            <w:r>
              <w:t>审计委员会、总经理</w:t>
            </w:r>
          </w:p>
        </w:tc>
      </w:tr>
    </w:tbl>
    <w:p w14:paraId="467491CF">
      <w:pPr>
        <w:rPr>
          <w:rFonts w:hint="eastAsia"/>
        </w:rPr>
      </w:pPr>
    </w:p>
    <w:p w14:paraId="55BEB052">
      <w:pPr>
        <w:rPr>
          <w:rFonts w:hint="eastAsia"/>
        </w:rPr>
      </w:pPr>
    </w:p>
    <w:p w14:paraId="1CE8DC96">
      <w:pPr>
        <w:pStyle w:val="3"/>
      </w:pPr>
      <w:r>
        <w:t>结语</w:t>
      </w:r>
    </w:p>
    <w:p w14:paraId="77FE9EEC">
      <w:pPr>
        <w:rPr>
          <w:rFonts w:hint="eastAsia"/>
        </w:rPr>
      </w:pPr>
    </w:p>
    <w:p w14:paraId="2B7FD2E6">
      <w:pPr>
        <w:rPr>
          <w:rFonts w:hint="eastAsia"/>
        </w:rPr>
      </w:pPr>
      <w:r>
        <w:rPr>
          <w:rFonts w:hint="eastAsia"/>
        </w:rPr>
        <w:t>中国的国家审计制度以“集中统一、全面覆盖、权威高效”为目标，通过宪法确立地位、审计法细化权责、政策文件深化改革，构建了一套完整的国家监督体系。该制度的核心特点是：**依法独立、党政同责、全覆盖审计、结果运用闭环**。</w:t>
      </w:r>
    </w:p>
    <w:p w14:paraId="7D339CE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991FE6"/>
    <w:multiLevelType w:val="singleLevel"/>
    <w:tmpl w:val="95991FE6"/>
    <w:lvl w:ilvl="0" w:tentative="0">
      <w:start w:val="3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A4A391A2"/>
    <w:multiLevelType w:val="singleLevel"/>
    <w:tmpl w:val="A4A391A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B5FE2490"/>
    <w:multiLevelType w:val="singleLevel"/>
    <w:tmpl w:val="B5FE249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BDB30767"/>
    <w:multiLevelType w:val="singleLevel"/>
    <w:tmpl w:val="BDB30767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">
    <w:nsid w:val="F27B0DBA"/>
    <w:multiLevelType w:val="singleLevel"/>
    <w:tmpl w:val="F27B0DBA"/>
    <w:lvl w:ilvl="0" w:tentative="0">
      <w:start w:val="2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5">
    <w:nsid w:val="FAC7706E"/>
    <w:multiLevelType w:val="singleLevel"/>
    <w:tmpl w:val="FAC7706E"/>
    <w:lvl w:ilvl="0" w:tentative="0">
      <w:start w:val="4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6">
    <w:nsid w:val="00A2ACE6"/>
    <w:multiLevelType w:val="singleLevel"/>
    <w:tmpl w:val="00A2ACE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112A9A2E"/>
    <w:multiLevelType w:val="singleLevel"/>
    <w:tmpl w:val="112A9A2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1C64B1DC"/>
    <w:multiLevelType w:val="singleLevel"/>
    <w:tmpl w:val="1C64B1D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4A9AB693"/>
    <w:multiLevelType w:val="singleLevel"/>
    <w:tmpl w:val="4A9AB693"/>
    <w:lvl w:ilvl="0" w:tentative="0">
      <w:start w:val="5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0">
    <w:nsid w:val="545790BE"/>
    <w:multiLevelType w:val="singleLevel"/>
    <w:tmpl w:val="545790BE"/>
    <w:lvl w:ilvl="0" w:tentative="0">
      <w:start w:val="6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1">
    <w:nsid w:val="5971827B"/>
    <w:multiLevelType w:val="singleLevel"/>
    <w:tmpl w:val="5971827B"/>
    <w:lvl w:ilvl="0" w:tentative="0">
      <w:start w:val="7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2">
    <w:nsid w:val="6DA38A9E"/>
    <w:multiLevelType w:val="singleLevel"/>
    <w:tmpl w:val="6DA38A9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70E5DDCA"/>
    <w:multiLevelType w:val="singleLevel"/>
    <w:tmpl w:val="70E5DDC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13"/>
  </w:num>
  <w:num w:numId="2">
    <w:abstractNumId w:val="8"/>
  </w:num>
  <w:num w:numId="3">
    <w:abstractNumId w:val="1"/>
  </w:num>
  <w:num w:numId="4">
    <w:abstractNumId w:val="6"/>
  </w:num>
  <w:num w:numId="5">
    <w:abstractNumId w:val="2"/>
  </w:num>
  <w:num w:numId="6">
    <w:abstractNumId w:val="12"/>
  </w:num>
  <w:num w:numId="7">
    <w:abstractNumId w:val="4"/>
  </w:num>
  <w:num w:numId="8">
    <w:abstractNumId w:val="0"/>
  </w:num>
  <w:num w:numId="9">
    <w:abstractNumId w:val="5"/>
  </w:num>
  <w:num w:numId="10">
    <w:abstractNumId w:val="9"/>
  </w:num>
  <w:num w:numId="11">
    <w:abstractNumId w:val="10"/>
  </w:num>
  <w:num w:numId="12">
    <w:abstractNumId w:val="11"/>
  </w:num>
  <w:num w:numId="13">
    <w:abstractNumId w:val="3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58780F"/>
    <w:rsid w:val="1DE3504A"/>
    <w:rsid w:val="5D297DF7"/>
    <w:rsid w:val="5E58780F"/>
    <w:rsid w:val="657E2C91"/>
    <w:rsid w:val="71573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outlineLvl w:val="0"/>
    </w:pPr>
    <w:rPr>
      <w:rFonts w:ascii="宋体" w:hAnsi="宋体" w:eastAsia="宋体" w:cs="宋体"/>
      <w:b/>
      <w:kern w:val="44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宋体" w:hAnsi="宋体" w:eastAsia="宋体" w:cs="宋体"/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360" w:lineRule="auto"/>
      <w:outlineLvl w:val="2"/>
    </w:pPr>
    <w:rPr>
      <w:rFonts w:ascii="宋体" w:hAnsi="宋体" w:eastAsia="宋体" w:cs="宋体"/>
      <w:b/>
      <w:sz w:val="32"/>
      <w:szCs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2026-04-26T08:51:00Z</dcterms:created>
  <dc:creator>'</dc:creator>
  <cp:lastModifiedBy>'</cp:lastModifiedBy>
  <dcterms:modified xsi:type="dcterms:W3CDTF">2026-04-26T08:52:48Z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B8D600669DDD45158B393F945D2BE343_11</vt:lpwstr>
  </property>
  <property fmtid="{D5CDD505-2E9C-101B-9397-08002B2CF9AE}" pid="4" name="KSOTemplateDocerSaveRecord">
    <vt:lpwstr>eyJoZGlkIjoiZTU4OGRkM2JjNjUyMjg1ZTljZjZkNTk1MjJkMzgwYjYiLCJ1c2VySWQiOiI0MDU3NzMwMzQifQ==</vt:lpwstr>
  </property>
</Properties>
</file>