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jc w:val="center"/>
        <w:rPr>
          <w:i w:val="0"/>
          <w:iCs w:val="0"/>
          <w:caps w:val="0"/>
          <w:color w:val="auto"/>
          <w:spacing w:val="0"/>
          <w:sz w:val="21"/>
          <w:szCs w:val="21"/>
          <w:bdr w:val="none" w:color="auto" w:sz="0" w:space="0"/>
          <w:shd w:val="clear" w:fill="FFFFFF"/>
        </w:rPr>
      </w:pPr>
      <w:r>
        <w:rPr>
          <w:rFonts w:hint="eastAsia"/>
          <w:i w:val="0"/>
          <w:iCs w:val="0"/>
          <w:caps w:val="0"/>
          <w:color w:val="auto"/>
          <w:spacing w:val="0"/>
          <w:sz w:val="21"/>
          <w:szCs w:val="21"/>
          <w:bdr w:val="none" w:color="auto" w:sz="0" w:space="0"/>
          <w:shd w:val="clear" w:fill="FFFFFF"/>
        </w:rPr>
        <w:t>《民间非营利组织会计制度》</w:t>
      </w:r>
      <w:bookmarkStart w:id="222" w:name="_GoBack"/>
      <w:bookmarkEnd w:id="222"/>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i w:val="0"/>
          <w:iCs w:val="0"/>
          <w:caps w:val="0"/>
          <w:color w:val="auto"/>
          <w:spacing w:val="0"/>
          <w:sz w:val="18"/>
          <w:szCs w:val="18"/>
          <w:bdr w:val="none" w:color="auto" w:sz="0" w:space="0"/>
          <w:shd w:val="clear" w:fill="FFFFFF"/>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r>
        <w:rPr>
          <w:i w:val="0"/>
          <w:iCs w:val="0"/>
          <w:caps w:val="0"/>
          <w:color w:val="auto"/>
          <w:spacing w:val="0"/>
          <w:sz w:val="18"/>
          <w:szCs w:val="18"/>
          <w:bdr w:val="none" w:color="auto" w:sz="0" w:space="0"/>
          <w:shd w:val="clear" w:fill="FFFFFF"/>
        </w:rPr>
        <w:t>第一条</w:t>
      </w:r>
    </w:p>
    <w:p>
      <w:pPr>
        <w:keepNext w:val="0"/>
        <w:keepLines w:val="0"/>
        <w:widowControl/>
        <w:suppressLineNumbers w:val="0"/>
        <w:shd w:val="clear" w:fill="FFFFFF"/>
        <w:spacing w:after="150" w:afterAutospacing="0" w:line="240" w:lineRule="atLeast"/>
        <w:ind w:left="0" w:firstLine="420"/>
        <w:jc w:val="left"/>
        <w:rPr>
          <w:rFonts w:hint="eastAsia"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为了规范民间非营利组织的会计核算，保证会计信息的真实、完整，根据《中华人民共和国会计法》及国家其他有关法律、法规的规定，制定本制度。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0" w:name="1_2"/>
      <w:bookmarkEnd w:id="0"/>
      <w:bookmarkStart w:id="1" w:name="sub2370155_1_2"/>
      <w:bookmarkEnd w:id="1"/>
      <w:bookmarkStart w:id="2" w:name="第二条"/>
      <w:bookmarkEnd w:id="2"/>
      <w:bookmarkStart w:id="3" w:name="1-2"/>
      <w:bookmarkEnd w:id="3"/>
      <w:r>
        <w:rPr>
          <w:i w:val="0"/>
          <w:iCs w:val="0"/>
          <w:caps w:val="0"/>
          <w:color w:val="auto"/>
          <w:spacing w:val="0"/>
          <w:sz w:val="18"/>
          <w:szCs w:val="18"/>
          <w:bdr w:val="none" w:color="auto" w:sz="0" w:space="0"/>
          <w:shd w:val="clear" w:fill="FFFFFF"/>
        </w:rPr>
        <w:t>第二条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本制度适用于在中华人民共和国境内依法设立的符合本制度规定特征的民间非营利组织。民间非营利组织包括依照国家法律、行政法规登记的社会团体、基金会、</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"https://baike.baidu.com/item/%E6%B0%91%E5%8A%9E%E9%9D%9E%E4%BC%81%E4%B8%9A%E5%8D%95%E4%BD%8D"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民办非企业单位</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和寺院、宫观、</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"https://baike.baidu.com/item/%E6%B8%85%E7%9C%9F%E5%AF%BA"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清真寺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、教堂等。</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适用本制度的民间非营利组织应当同时具备以下特征：</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（一）该组织不以营利为目的和宗旨；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（二）资源提供者向该组织投入资源并不得以取得经济回报为目的；</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（三）资源提供者不享有该组织的所有权。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4" w:name="1_3"/>
      <w:bookmarkEnd w:id="4"/>
      <w:bookmarkStart w:id="5" w:name="sub2370155_1_3"/>
      <w:bookmarkEnd w:id="5"/>
      <w:bookmarkStart w:id="6" w:name="第三条"/>
      <w:bookmarkEnd w:id="6"/>
      <w:bookmarkStart w:id="7" w:name="1-3"/>
      <w:bookmarkEnd w:id="7"/>
      <w:r>
        <w:rPr>
          <w:i w:val="0"/>
          <w:iCs w:val="0"/>
          <w:caps w:val="0"/>
          <w:color w:val="auto"/>
          <w:spacing w:val="0"/>
          <w:sz w:val="18"/>
          <w:szCs w:val="18"/>
          <w:bdr w:val="none" w:color="auto" w:sz="0" w:space="0"/>
          <w:shd w:val="clear" w:fill="FFFFFF"/>
        </w:rPr>
        <w:t>第三条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会计核算应当以民间非营利组织的交易或者事项为对象，记录和反映该组织本身的各项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"https://baike.baidu.com/item/%E7%BB%8F%E6%B5%8E%E4%B8%9A%E5%8A%A1"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经济业务</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8" w:name="1_4"/>
      <w:bookmarkEnd w:id="8"/>
      <w:bookmarkStart w:id="9" w:name="sub2370155_1_4"/>
      <w:bookmarkEnd w:id="9"/>
      <w:bookmarkStart w:id="10" w:name="第四条"/>
      <w:bookmarkEnd w:id="10"/>
      <w:bookmarkStart w:id="11" w:name="1-4"/>
      <w:bookmarkEnd w:id="11"/>
      <w:r>
        <w:rPr>
          <w:i w:val="0"/>
          <w:iCs w:val="0"/>
          <w:caps w:val="0"/>
          <w:color w:val="auto"/>
          <w:spacing w:val="0"/>
          <w:sz w:val="18"/>
          <w:szCs w:val="18"/>
          <w:bdr w:val="none" w:color="auto" w:sz="0" w:space="0"/>
          <w:shd w:val="clear" w:fill="FFFFFF"/>
        </w:rPr>
        <w:t>第四条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会计核算应当以民间非营利组织的持续经营为前提。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2" w:name="1_5"/>
      <w:bookmarkEnd w:id="12"/>
      <w:bookmarkStart w:id="13" w:name="sub2370155_1_5"/>
      <w:bookmarkEnd w:id="13"/>
      <w:bookmarkStart w:id="14" w:name="第五条"/>
      <w:bookmarkEnd w:id="14"/>
      <w:bookmarkStart w:id="15" w:name="1-5"/>
      <w:bookmarkEnd w:id="15"/>
      <w:r>
        <w:rPr>
          <w:i w:val="0"/>
          <w:iCs w:val="0"/>
          <w:caps w:val="0"/>
          <w:color w:val="auto"/>
          <w:spacing w:val="0"/>
          <w:sz w:val="18"/>
          <w:szCs w:val="18"/>
          <w:bdr w:val="none" w:color="auto" w:sz="0" w:space="0"/>
          <w:shd w:val="clear" w:fill="FFFFFF"/>
        </w:rPr>
        <w:t>第五条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会计核算应当划分</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"https://baike.baidu.com/item/%E4%BC%9A%E8%AE%A1%E6%9C%9F%E9%97%B4"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会计期间</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，分期结算账目和编制 </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"https://baike.baidu.com/item/%E8%B4%A2%E5%8A%A1%E4%BC%9A%E8%AE%A1%E6%8A%A5%E5%91%8A"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财务会计报告</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6" w:name="1_6"/>
      <w:bookmarkEnd w:id="16"/>
      <w:bookmarkStart w:id="17" w:name="sub2370155_1_6"/>
      <w:bookmarkEnd w:id="17"/>
      <w:bookmarkStart w:id="18" w:name="第六条"/>
      <w:bookmarkEnd w:id="18"/>
      <w:bookmarkStart w:id="19" w:name="1-6"/>
      <w:bookmarkEnd w:id="19"/>
      <w:r>
        <w:rPr>
          <w:i w:val="0"/>
          <w:iCs w:val="0"/>
          <w:caps w:val="0"/>
          <w:color w:val="auto"/>
          <w:spacing w:val="0"/>
          <w:sz w:val="18"/>
          <w:szCs w:val="18"/>
          <w:bdr w:val="none" w:color="auto" w:sz="0" w:space="0"/>
          <w:shd w:val="clear" w:fill="FFFFFF"/>
        </w:rPr>
        <w:t>第六条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会计核算应当以人民币作为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"https://baike.baidu.com/item/%E8%AE%B0%E8%B4%A6%E6%9C%AC%E4%BD%8D%E5%B8%81"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记账本位币</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。业务收支以人民币以外的货币为主的民间非营利组织，可以选定其中一种货币作为记账本位币，但是编制的财务会计报告应当折算为人民币。</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民间非营利组织在核算外币业务时，应当设置相应的外币</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"https://baike.baidu.com/item/%E8%B4%A6%E6%88%B7"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账户</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。外币账户包括外币现金、外币银行存款、以外币结算的债权和债务账户等，这些账户应当与非外币的各该相同账户分别设置，并分别核算。</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发生外币业务时，应当将有关外币金额折算为记账本位币金额记账。除另有规定外，所有与外币业务有关的账户，应当采用业务发生时的汇率。当汇率波动较小时，也可以采用业务发生当期期初的汇率进行折算。</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各种外币</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"https://baike.baidu.com/item/%E8%B4%A6%E6%88%B7"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账户</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的外币</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"https://baike.baidu.com/item/%E4%BD%99%E9%A2%9D"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余额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，期末时应当按照期末汇率折合为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"https://baike.baidu.com/item/%E8%AE%B0%E8%B4%A6%E6%9C%AC%E4%BD%8D%E5%B8%81"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记账本位币</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。按照期末汇率折合的记账本位币金额与账面记账本位币金额之间的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，作为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"https://baike.baidu.com/item/%E6%B1%87%E5%85%91%E6%8D%9F%E7%9B%8A"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汇兑损益</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计入当期费用。但是，属于在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"https://baike.baidu.com/item/%E5%80%9F%E6%AC%BE%E8%B4%B9%E7%94%A8"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借款费用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应予</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"https://baike.baidu.com/item/%E8%B5%84%E6%9C%AC%E5%8C%96"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资本化</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的期间内发生的与购建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有关的外币专门借款本金及其利息所产生的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"https://baike.baidu.com/item/%E6%B1%87%E5%85%91%E5%B7%AE%E9%A2%9D"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汇兑差额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，应当予以资本化，计入固定资产成本。借款费用应予资本化的期间依照本制度第三十五条加以确定。</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本制度所称外币业务，是指以记账本位币以外的货币进行的款项收付、往来结算等业务。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本制度所称的专门借款，是指为购建固定资产而专门借入的款项。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20" w:name="1_7"/>
      <w:bookmarkEnd w:id="20"/>
      <w:bookmarkStart w:id="21" w:name="sub2370155_1_7"/>
      <w:bookmarkEnd w:id="21"/>
      <w:bookmarkStart w:id="22" w:name="第七条"/>
      <w:bookmarkEnd w:id="22"/>
      <w:bookmarkStart w:id="23" w:name="1-7"/>
      <w:bookmarkEnd w:id="23"/>
      <w:r>
        <w:rPr>
          <w:i w:val="0"/>
          <w:iCs w:val="0"/>
          <w:caps w:val="0"/>
          <w:color w:val="auto"/>
          <w:spacing w:val="0"/>
          <w:sz w:val="18"/>
          <w:szCs w:val="18"/>
          <w:bdr w:val="none" w:color="auto" w:sz="0" w:space="0"/>
          <w:shd w:val="clear" w:fill="FFFFFF"/>
        </w:rPr>
        <w:t>第七条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会计核算应当以</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"https://baike.baidu.com/item/%E6%9D%83%E8%B4%A3%E5%8F%91%E7%94%9F%E5%88%B6"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权责发生制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为基础。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24" w:name="1_8"/>
      <w:bookmarkEnd w:id="24"/>
      <w:bookmarkStart w:id="25" w:name="sub2370155_1_8"/>
      <w:bookmarkEnd w:id="25"/>
      <w:bookmarkStart w:id="26" w:name="第八条"/>
      <w:bookmarkEnd w:id="26"/>
      <w:bookmarkStart w:id="27" w:name="1-8"/>
      <w:bookmarkEnd w:id="27"/>
      <w:r>
        <w:rPr>
          <w:i w:val="0"/>
          <w:iCs w:val="0"/>
          <w:caps w:val="0"/>
          <w:color w:val="auto"/>
          <w:spacing w:val="0"/>
          <w:sz w:val="18"/>
          <w:szCs w:val="18"/>
          <w:bdr w:val="none" w:color="auto" w:sz="0" w:space="0"/>
          <w:shd w:val="clear" w:fill="FFFFFF"/>
        </w:rPr>
        <w:t>第八条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民间非营利组织在会计核算时，应当遵循以下基本原则：</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（一）会计核算应当以实际发生的交易或者事项为依据，如实反映民间非营利组织的财务状况、业务活动情况和现金流量等信息。</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（二）会计核算所提供的信息应当能够满足</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"https://baike.baidu.com/item/%E4%BC%9A%E8%AE%A1%E4%BF%A1%E6%81%AF"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会计信息</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使用者（如捐赠人、会员、监管者）等的需要。</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（三）会计核算应当按照交易或者事项的实质进行，而不应当仅仅按照它们的法律形式作为其依据。</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（四）</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"https://baike.baidu.com/item/%E4%BC%9A%E8%AE%A1%E6%94%BF%E7%AD%96"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会计政策</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前后各期应当保持一致，不得随意变更。如有必要变更，应当在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"https://baike.baidu.com/item/%E4%BC%9A%E8%AE%A1%E6%8A%A5%E8%A1%A8%E9%99%84%E6%B3%A8"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会计报表附注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中披露变更的内容和理由、变更的累积影响数，以及累积影响数不能合理确定的理由等。</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（五）会计核算应当按照规定的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"https://baike.baidu.com/item/%E4%BC%9A%E8%AE%A1%E5%A4%84%E7%90%86%E6%96%B9%E6%B3%95"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会计处理方法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进行，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"https://baike.baidu.com/item/%E4%BC%9A%E8%AE%A1%E4%BF%A1%E6%81%AF"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会计信息</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应当口径一致、相互可比。</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（六）会计核算应当及时进行，不得提前或延后。</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（七）会计核算和编制的财务会计报告应当清晰明了，便于理解和使用。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（八）在会计核算中，所发生的费用应当与其相关的收入相配比，同一</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"https://baike.baidu.com/item/%E4%BC%9A%E8%AE%A1%E6%9C%9F%E9%97%B4"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会计期间</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内的各项收入和与其相关的费用，应当在该会计期间内确认。</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（九）资产在取得时应当按照实际成本计量，但本制度有特别规定的，按照特别规定的计量基础进行计量。其后，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"https://baike.baidu.com/item/%E8%B5%84%E4%BA%A7%E8%B4%A6%E9%9D%A2%E4%BB%B7%E5%80%BC"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资产账面价值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的调整，应当按照本制度的规定执行。除法律、行政法规和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"https://baike.baidu.com/item/%E5%9B%BD%E5%AE%B6%E7%BB%9F%E4%B8%80%E7%9A%84%E4%BC%9A%E8%AE%A1%E5%88%B6%E5%BA%A6"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国家统一的会计制度</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另有规定的外，民间非营利组织一律不得自行调整资产账面价值。</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（十）会计核算应当遵循</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"https://baike.baidu.com/item/%E8%B0%A8%E6%85%8E%E6%80%A7%E5%8E%9F%E5%88%99"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谨慎性原则</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（十一）会计核算应当合理划分应当计入当期费用的支出和应当予以</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"https://baike.baidu.com/item/%E8%B5%84%E6%9C%AC%E5%8C%96"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资本化</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的支出。</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（十二）会计核算应当遵循</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"https://baike.baidu.com/item/%E9%87%8D%E8%A6%81%E6%80%A7%E5%8E%9F%E5%88%99"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重要性原则</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的要求，对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、负债、净资产、收入、费用等有较大影响，并进而影响财务会计报告使用者据以作出合理判断的重要</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"https://baike.baidu.com/item/%E4%BC%9A%E8%AE%A1%E4%BA%8B%E9%A1%B9"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会计事项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，必须按照规定的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"https://baike.baidu.com/item/%E4%BC%9A%E8%AE%A1%E6%96%B9%E6%B3%95"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会计方法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和程序进行处理，并在财务会计报告中予以充分披露；对于非重要的会计事项，在不影响</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"https://baike.baidu.com/item/%E4%BC%9A%E8%AE%A1%E4%BF%A1%E6%81%AF"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会计信息</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真实性和不至于误导会计信息使用者作出正确判断的前提下，可适当简化处理。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28" w:name="1_9"/>
      <w:bookmarkEnd w:id="28"/>
      <w:bookmarkStart w:id="29" w:name="sub2370155_1_9"/>
      <w:bookmarkEnd w:id="29"/>
      <w:bookmarkStart w:id="30" w:name="第九条"/>
      <w:bookmarkEnd w:id="30"/>
      <w:bookmarkStart w:id="31" w:name="1-9"/>
      <w:bookmarkEnd w:id="31"/>
      <w:r>
        <w:rPr>
          <w:i w:val="0"/>
          <w:iCs w:val="0"/>
          <w:caps w:val="0"/>
          <w:color w:val="auto"/>
          <w:spacing w:val="0"/>
          <w:sz w:val="18"/>
          <w:szCs w:val="18"/>
          <w:bdr w:val="none" w:color="auto" w:sz="0" w:space="0"/>
          <w:shd w:val="clear" w:fill="FFFFFF"/>
        </w:rPr>
        <w:t>第九条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会计记账应当采用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"https://baike.baidu.com/item/%E5%80%9F%E8%B4%B7%E8%AE%B0%E8%B4%A6%E6%B3%95"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借贷记账法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32" w:name="1_10"/>
      <w:bookmarkEnd w:id="32"/>
      <w:bookmarkStart w:id="33" w:name="sub2370155_1_10"/>
      <w:bookmarkEnd w:id="33"/>
      <w:bookmarkStart w:id="34" w:name="第十条"/>
      <w:bookmarkEnd w:id="34"/>
      <w:bookmarkStart w:id="35" w:name="1-10"/>
      <w:bookmarkEnd w:id="35"/>
      <w:r>
        <w:rPr>
          <w:i w:val="0"/>
          <w:iCs w:val="0"/>
          <w:caps w:val="0"/>
          <w:color w:val="auto"/>
          <w:spacing w:val="0"/>
          <w:sz w:val="18"/>
          <w:szCs w:val="18"/>
          <w:bdr w:val="none" w:color="auto" w:sz="0" w:space="0"/>
          <w:shd w:val="clear" w:fill="FFFFFF"/>
        </w:rPr>
        <w:t>第十条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"https://baike.baidu.com/item/%E4%BC%9A%E8%AE%A1%E8%AE%B0%E5%BD%95"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会计记录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的文字应当使用中文。在民族自治地区，会计记录可以同时使用当地通用的一种民族文字。境外民间非营利组织在中华人民共和国境内依法设立的代表处、办事处等机构也可以同时使用一种外国文字记账。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36" w:name="1_11"/>
      <w:bookmarkEnd w:id="36"/>
      <w:bookmarkStart w:id="37" w:name="sub2370155_1_11"/>
      <w:bookmarkEnd w:id="37"/>
      <w:bookmarkStart w:id="38" w:name="第十一条"/>
      <w:bookmarkEnd w:id="38"/>
      <w:bookmarkStart w:id="39" w:name="1-11"/>
      <w:bookmarkEnd w:id="39"/>
      <w:r>
        <w:rPr>
          <w:i w:val="0"/>
          <w:iCs w:val="0"/>
          <w:caps w:val="0"/>
          <w:color w:val="auto"/>
          <w:spacing w:val="0"/>
          <w:sz w:val="18"/>
          <w:szCs w:val="18"/>
          <w:bdr w:val="none" w:color="auto" w:sz="0" w:space="0"/>
          <w:shd w:val="clear" w:fill="FFFFFF"/>
        </w:rPr>
        <w:t>第十一条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民间非营利组织应当根据有关</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"https://baike.baidu.com/item/%E4%BC%9A%E8%AE%A1%E6%B3%95%E5%BE%8B"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会计法律</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、行政法规和本制度的规定，在不违反本制度的前提下，结合其具体情况，制定会计核算办法。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40" w:name="1_12"/>
      <w:bookmarkEnd w:id="40"/>
      <w:bookmarkStart w:id="41" w:name="sub2370155_1_12"/>
      <w:bookmarkEnd w:id="41"/>
      <w:bookmarkStart w:id="42" w:name="第十二条"/>
      <w:bookmarkEnd w:id="42"/>
      <w:bookmarkStart w:id="43" w:name="1-12"/>
      <w:bookmarkEnd w:id="43"/>
      <w:r>
        <w:rPr>
          <w:i w:val="0"/>
          <w:iCs w:val="0"/>
          <w:caps w:val="0"/>
          <w:color w:val="auto"/>
          <w:spacing w:val="0"/>
          <w:sz w:val="18"/>
          <w:szCs w:val="18"/>
          <w:bdr w:val="none" w:color="auto" w:sz="0" w:space="0"/>
          <w:shd w:val="clear" w:fill="FFFFFF"/>
        </w:rPr>
        <w:t>第十二条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民间非营利组织填制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"https://baike.baidu.com/item/%E4%BC%9A%E8%AE%A1%E5%87%AD%E8%AF%81"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会计凭证</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、登记</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"https://baike.baidu.com/item/%E4%BC%9A%E8%AE%A1%E8%B4%A6%E7%B0%BF"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会计账簿</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、管理会计档案等要求，按照《中华人民共和国会计法》、《会计基础工作规范》和《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"https://baike.baidu.com/item/%E4%BC%9A%E8%AE%A1%E6%A1%A3%E6%A1%88%E7%AE%A1%E7%90%86%E5%8A%9E%E6%B3%95"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会计档案管理办法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》等的规定执行。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44" w:name="1_13"/>
      <w:bookmarkEnd w:id="44"/>
      <w:bookmarkStart w:id="45" w:name="sub2370155_1_13"/>
      <w:bookmarkEnd w:id="45"/>
      <w:bookmarkStart w:id="46" w:name="第十三条"/>
      <w:bookmarkEnd w:id="46"/>
      <w:bookmarkStart w:id="47" w:name="1-13"/>
      <w:bookmarkEnd w:id="47"/>
      <w:r>
        <w:rPr>
          <w:i w:val="0"/>
          <w:iCs w:val="0"/>
          <w:caps w:val="0"/>
          <w:color w:val="auto"/>
          <w:spacing w:val="0"/>
          <w:sz w:val="18"/>
          <w:szCs w:val="18"/>
          <w:bdr w:val="none" w:color="auto" w:sz="0" w:space="0"/>
          <w:shd w:val="clear" w:fill="FFFFFF"/>
        </w:rPr>
        <w:t>第十三条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民间非营利组织应当根据国家有关法律、行政法规和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"https://baike.baidu.com/item/%E5%86%85%E9%83%A8%E4%BC%9A%E8%AE%A1%E6%8E%A7%E5%88%B6"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内部会计控制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规范，结合本单位的业务活动特点，制定相适应的内部会计控制制度，以加强内部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"https://baike.baidu.com/item/%E4%BC%9A%E8%AE%A1%E7%9B%91%E7%9D%A3"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会计监督</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，提高</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"https://baike.baidu.com/item/%E4%BC%9A%E8%AE%A1%E4%BF%A1%E6%81%AF%E8%B4%A8%E9%87%8F"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会计信息质量</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和管理水平。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50" w:beforeAutospacing="0" w:after="150" w:afterAutospacing="0" w:line="240" w:lineRule="atLeast"/>
        <w:ind w:left="-300" w:right="0"/>
        <w:rPr>
          <w:color w:val="auto"/>
          <w:sz w:val="18"/>
          <w:szCs w:val="18"/>
        </w:rPr>
      </w:pPr>
      <w:bookmarkStart w:id="48" w:name="2"/>
      <w:bookmarkEnd w:id="48"/>
      <w:bookmarkStart w:id="49" w:name="sub2370155_2"/>
      <w:bookmarkEnd w:id="49"/>
      <w:bookmarkStart w:id="50" w:name="资产"/>
      <w:bookmarkEnd w:id="50"/>
      <w:r>
        <w:rPr>
          <w:i w:val="0"/>
          <w:iCs w:val="0"/>
          <w:caps w:val="0"/>
          <w:color w:val="auto"/>
          <w:spacing w:val="0"/>
          <w:sz w:val="18"/>
          <w:szCs w:val="18"/>
          <w:bdr w:val="none" w:color="auto" w:sz="0" w:space="0"/>
          <w:shd w:val="clear" w:fill="FFFFFF"/>
        </w:rPr>
        <w:t>资产</w:t>
      </w:r>
    </w:p>
    <w:p>
      <w:pPr>
        <w:keepNext w:val="0"/>
        <w:keepLines w:val="0"/>
        <w:widowControl/>
        <w:suppressLineNumbers w:val="0"/>
        <w:pBdr>
          <w:left w:val="single" w:color="4F9CEE" w:sz="48" w:space="0"/>
        </w:pBdr>
        <w:shd w:val="clear" w:fill="FFFFFF"/>
        <w:spacing w:before="350" w:beforeAutospacing="0" w:after="150" w:afterAutospacing="0" w:line="240" w:lineRule="atLeast"/>
        <w:ind w:left="-300" w:right="0" w:firstLine="0"/>
        <w:jc w:val="left"/>
        <w:rPr>
          <w:rFonts w:ascii="微软雅黑" w:hAnsi="微软雅黑" w:eastAsia="微软雅黑" w:cs="微软雅黑"/>
          <w:i w:val="0"/>
          <w:iCs w:val="0"/>
          <w:caps w:val="0"/>
          <w:color w:val="auto"/>
          <w:spacing w:val="0"/>
          <w:sz w:val="18"/>
          <w:szCs w:val="18"/>
        </w:rPr>
      </w:pP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begin"/>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instrText xml:space="preserve"> HYPERLINK "https://baike.baidu.com/item/%E6%B0%91%E9%97%B4%E9%9D%9E%E8%90%A5%E5%88%A9%E7%BB%84%E7%BB%87%E4%BC%9A%E8%AE%A1%E5%88%B6%E5%BA%A6/javascript:;" </w:instrText>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separate"/>
      </w:r>
      <w:r>
        <w:rPr>
          <w:rStyle w:val="6"/>
          <w:rFonts w:ascii="宋体" w:hAnsi="宋体" w:eastAsia="宋体" w:cs="宋体"/>
          <w:i w:val="0"/>
          <w:iCs w:val="0"/>
          <w:caps w:val="0"/>
          <w:color w:val="auto"/>
          <w:spacing w:val="0"/>
          <w:sz w:val="18"/>
          <w:szCs w:val="18"/>
          <w:u w:val="none"/>
          <w:bdr w:val="none" w:color="auto" w:sz="0" w:space="0"/>
          <w:shd w:val="clear" w:fill="FFFFFF"/>
        </w:rPr>
        <w:t>编辑</w:t>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end"/>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begin"/>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instrText xml:space="preserve"> HYPERLINK "https://baike.baidu.com/item/%E6%B0%91%E9%97%B4%E9%9D%9E%E8%90%A5%E5%88%A9%E7%BB%84%E7%BB%87%E4%BC%9A%E8%AE%A1%E5%88%B6%E5%BA%A6/javascript:;" </w:instrText>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separate"/>
      </w:r>
      <w:r>
        <w:rPr>
          <w:rStyle w:val="6"/>
          <w:rFonts w:ascii="宋体" w:hAnsi="宋体" w:eastAsia="宋体" w:cs="宋体"/>
          <w:i w:val="0"/>
          <w:iCs w:val="0"/>
          <w:caps w:val="0"/>
          <w:color w:val="auto"/>
          <w:spacing w:val="0"/>
          <w:sz w:val="18"/>
          <w:szCs w:val="18"/>
          <w:u w:val="none"/>
          <w:bdr w:val="none" w:color="auto" w:sz="0" w:space="0"/>
          <w:shd w:val="clear" w:fill="FFFFFF"/>
        </w:rPr>
        <w:t> 语音</w:t>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51" w:name="2_1"/>
      <w:bookmarkEnd w:id="51"/>
      <w:bookmarkStart w:id="52" w:name="sub2370155_2_1"/>
      <w:bookmarkEnd w:id="52"/>
      <w:bookmarkStart w:id="53" w:name="第十四条"/>
      <w:bookmarkEnd w:id="53"/>
      <w:bookmarkStart w:id="54" w:name="2-1"/>
      <w:bookmarkEnd w:id="54"/>
      <w:r>
        <w:rPr>
          <w:i w:val="0"/>
          <w:iCs w:val="0"/>
          <w:caps w:val="0"/>
          <w:color w:val="auto"/>
          <w:spacing w:val="0"/>
          <w:sz w:val="18"/>
          <w:szCs w:val="18"/>
          <w:bdr w:val="none" w:color="auto" w:sz="0" w:space="0"/>
          <w:shd w:val="clear" w:fill="FFFFFF"/>
        </w:rPr>
        <w:t>第十四条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资产，是指过去的交易或者事项形成并由民间非营利组织拥有或者控制的资源，该资源预期会给民间非营利组织带来经济利益或者服务潜力。资产应当按其流动性分为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"https://baike.baidu.com/item/%E6%B5%81%E5%8A%A8%E8%B5%84%E4%BA%A7"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流动资产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、长期投资、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"https://baike.baidu.com/item/%E6%97%A0%E5%BD%A2%E8%B5%84%E4%BA%A7"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无形资产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和受托代理资产等。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55" w:name="2_2"/>
      <w:bookmarkEnd w:id="55"/>
      <w:bookmarkStart w:id="56" w:name="sub2370155_2_2"/>
      <w:bookmarkEnd w:id="56"/>
      <w:bookmarkStart w:id="57" w:name="第十五条"/>
      <w:bookmarkEnd w:id="57"/>
      <w:bookmarkStart w:id="58" w:name="2-2"/>
      <w:bookmarkEnd w:id="58"/>
      <w:r>
        <w:rPr>
          <w:i w:val="0"/>
          <w:iCs w:val="0"/>
          <w:caps w:val="0"/>
          <w:color w:val="auto"/>
          <w:spacing w:val="0"/>
          <w:sz w:val="18"/>
          <w:szCs w:val="18"/>
          <w:bdr w:val="none" w:color="auto" w:sz="0" w:space="0"/>
          <w:shd w:val="clear" w:fill="FFFFFF"/>
        </w:rPr>
        <w:t>第十五条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民间非营利组织应当定期或者至少于半年年度终了，对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"https://baike.baidu.com/item/%E5%BA%94%E6%94%B6%E6%AC%BE%E9%A1%B9"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应收款项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"https://baike.baidu.com/item/%E5%AD%98%E8%B4%A7"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存货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、长期投资等</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是否发生了减值进行检查，如果这些资产发生了减值，应当计提</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"https://baike.baidu.com/item/%E5%87%8F%E5%80%BC%E5%87%86%E5%A4%87"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减值准备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，确认减值损失，并计入当期费用。对于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"https://baike.baidu.com/item/%E6%97%A0%E5%BD%A2%E8%B5%84%E4%BA%A7"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无形资产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"https://baike.baidu.com/item/%E5%85%B6%E4%BB%96%E8%B5%84%E4%BA%A7"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其他资产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，如果发生了重大减值，也应当计提减值准备，确认减值损失，并计入当期费用。如果已计提减值准备的资产价值在以后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"https://baike.baidu.com/item/%E4%BC%9A%E8%AE%A1%E6%9C%9F%E9%97%B4"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会计期间</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得以恢复，则应当在该资产已计提减值准备的范围内部分或全部转回已确认的减值损失，</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"https://baike.baidu.com/item/%E5%86%B2%E5%87%8F"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冲减</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当期费用。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59" w:name="2_3"/>
      <w:bookmarkEnd w:id="59"/>
      <w:bookmarkStart w:id="60" w:name="sub2370155_2_3"/>
      <w:bookmarkEnd w:id="60"/>
      <w:bookmarkStart w:id="61" w:name="第十六条"/>
      <w:bookmarkEnd w:id="61"/>
      <w:bookmarkStart w:id="62" w:name="2-3"/>
      <w:bookmarkEnd w:id="62"/>
      <w:r>
        <w:rPr>
          <w:i w:val="0"/>
          <w:iCs w:val="0"/>
          <w:caps w:val="0"/>
          <w:color w:val="auto"/>
          <w:spacing w:val="0"/>
          <w:sz w:val="18"/>
          <w:szCs w:val="18"/>
          <w:bdr w:val="none" w:color="auto" w:sz="0" w:space="0"/>
          <w:shd w:val="clear" w:fill="FFFFFF"/>
        </w:rPr>
        <w:t>第十六条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对于民间非营利组织接受捐赠的现金资产，应当按照实际收到的金额入账。对于民间非营利组织接受捐赠的非现金资产，如接受捐赠的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、存货、长期投资、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"https://baike.baidu.com/item/%E6%97%A0%E5%BD%A2%E8%B5%84%E4%BA%A7"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无形资产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等，应当按照以下方法确定其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"https://baike.baidu.com/item/%E5%85%A5%E8%B4%A6%E4%BB%B7%E5%80%BC"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入账价值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（一）如果捐赠方提供了有关凭据（如发票、报关单、有关协议等）的，应当按照凭据上标明的金额，作为入账价值。如果凭据上表明的金额与受赠资产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"https://baike.baidu.com/item/%E5%85%AC%E5%85%81%E4%BB%B7%E5%80%BC"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公允价值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相差较大的，受赠资产应当以其公允价值作为其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"https://baike.baidu.com/item/%E5%AE%9E%E9%99%85%E6%88%90%E6%9C%AC"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实际成本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（二）如果捐赠方没有提供有关凭据的，受赠资产应当以其公允价值作为入账价值。</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对于民间非营利组织接受的劳务捐赠，不予确认，但应当在会计报表附注中作相关披露。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63" w:name="2_4"/>
      <w:bookmarkEnd w:id="63"/>
      <w:bookmarkStart w:id="64" w:name="sub2370155_2_4"/>
      <w:bookmarkEnd w:id="64"/>
      <w:bookmarkStart w:id="65" w:name="第十七条"/>
      <w:bookmarkEnd w:id="65"/>
      <w:bookmarkStart w:id="66" w:name="2-4"/>
      <w:bookmarkEnd w:id="66"/>
      <w:r>
        <w:rPr>
          <w:i w:val="0"/>
          <w:iCs w:val="0"/>
          <w:caps w:val="0"/>
          <w:color w:val="auto"/>
          <w:spacing w:val="0"/>
          <w:sz w:val="18"/>
          <w:szCs w:val="18"/>
          <w:bdr w:val="none" w:color="auto" w:sz="0" w:space="0"/>
          <w:shd w:val="clear" w:fill="FFFFFF"/>
        </w:rPr>
        <w:t>第十七条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本制度中所称的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"https://baike.baidu.com/item/%E5%85%AC%E5%85%81%E4%BB%B7%E5%80%BC"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公允价值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是指在公平交易中，熟悉情况的交易双方，自愿进行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交换或者债务清偿的金额。公允价值的确定顺序如下：</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（一）如果同类或者类似资产存在活跃市场的，应当按照同类或者类似资产的市场价格确定公允价值；</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（二）如果同类或类似资产不存在活跃市场，或者无法找到同类或者类似资产的，应当采用合理的计价方法确定资产的公允价值。</w:t>
      </w:r>
    </w:p>
    <w:p>
      <w:pPr>
        <w:keepNext w:val="0"/>
        <w:keepLines w:val="0"/>
        <w:widowControl/>
        <w:suppressLineNumbers w:val="0"/>
        <w:pBdr>
          <w:top w:val="single" w:color="E0E0E0" w:sz="4" w:space="0"/>
          <w:left w:val="single" w:color="E0E0E0" w:sz="4" w:space="0"/>
          <w:bottom w:val="single" w:color="E0E0E0" w:sz="4" w:space="0"/>
          <w:right w:val="single" w:color="E0E0E0" w:sz="4" w:space="0"/>
        </w:pBdr>
        <w:shd w:val="clear" w:fill="FFFFFF"/>
        <w:spacing w:before="0" w:beforeAutospacing="0" w:after="30" w:afterAutospacing="0" w:line="240" w:lineRule="atLeast"/>
        <w:ind w:left="200" w:right="0" w:firstLine="420"/>
        <w:jc w:val="left"/>
        <w:rPr>
          <w:rFonts w:hint="default" w:ascii="Arial" w:hAnsi="Arial" w:cs="Arial"/>
          <w:i w:val="0"/>
          <w:iCs w:val="0"/>
          <w:caps w:val="0"/>
          <w:color w:val="auto"/>
          <w:spacing w:val="0"/>
          <w:sz w:val="18"/>
          <w:szCs w:val="18"/>
        </w:rPr>
      </w:pPr>
      <w:r>
        <w:rPr>
          <w:rFonts w:hint="eastAsia" w:ascii="宋体" w:hAnsi="宋体" w:eastAsia="宋体" w:cs="宋体"/>
          <w:i w:val="0"/>
          <w:iCs w:val="0"/>
          <w:caps w:val="0"/>
          <w:color w:val="auto"/>
          <w:spacing w:val="0"/>
          <w:kern w:val="0"/>
          <w:sz w:val="18"/>
          <w:szCs w:val="18"/>
          <w:bdr w:val="none" w:color="auto" w:sz="0" w:space="0"/>
          <w:shd w:val="clear" w:fill="FFFFFF"/>
          <w:lang w:val="en-US" w:eastAsia="zh-CN" w:bidi="ar"/>
        </w:rPr>
        <w:t>民间非营利组织会计制度</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在本制度规定应当采用公允价值的情况下，如果有确凿的证据表明资产的公允价值确实无法可靠计量，则民间非营利组织应当设置辅助账，单独登记所取得资产的名称、数量、来源、用途等情况，并在会计报表附注中作相关披露。在以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"https://baike.baidu.com/item/%E4%BC%9A%E8%AE%A1%E6%9C%9F%E9%97%B4"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会计期间</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，如果该资产的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"https://baike.baidu.com/item/%E5%85%AC%E5%85%81%E4%BB%B7%E5%80%BC"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公允价值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能够可靠计量，则民间非营利组织应当在该资产能够可靠计量的会计期间确认，并以公允价值予以计量。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67" w:name="2_5"/>
      <w:bookmarkEnd w:id="67"/>
      <w:bookmarkStart w:id="68" w:name="sub2370155_2_5"/>
      <w:bookmarkEnd w:id="68"/>
      <w:bookmarkStart w:id="69" w:name="第十八条"/>
      <w:bookmarkEnd w:id="69"/>
      <w:bookmarkStart w:id="70" w:name="2-5"/>
      <w:bookmarkEnd w:id="70"/>
      <w:r>
        <w:rPr>
          <w:i w:val="0"/>
          <w:iCs w:val="0"/>
          <w:caps w:val="0"/>
          <w:color w:val="auto"/>
          <w:spacing w:val="0"/>
          <w:sz w:val="18"/>
          <w:szCs w:val="18"/>
          <w:bdr w:val="none" w:color="auto" w:sz="0" w:space="0"/>
          <w:shd w:val="clear" w:fill="FFFFFF"/>
        </w:rPr>
        <w:t>第十八条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民间非营利组织如发生非货币性交易，应当按照以下原则处理：</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（一）以换出资产的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，加上应支付的相关</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"https://baike.baidu.com/item/%E7%A8%8E%E8%B4%B9"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税费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，作为换入资产的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"https://baike.baidu.com/item/%E5%85%A5%E8%B4%A6%E4%BB%B7%E5%80%BC"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入账价值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（二）非货币性交易中如果发生</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"https://baike.baidu.com/item/%E8%A1%A5%E4%BB%B7"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补价</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，应区别不同情况处理：</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1.支付补价的民间非营利组织，应以换出资产的账面价值加上补价和应支付的相关税费，作为换入资产的入账价值。</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2.收到补价的民间非营利组织，应按以下公式确定换入资产的入账价值和应确认的收入或费用：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换入资产入账价值=换出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"https://baike.baidu.com/item/%E8%B5%84%E4%BA%A7%E8%B4%A6%E9%9D%A2%E4%BB%B7%E5%80%BC"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资产账面价值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－（补价÷换出资产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"https://baike.baidu.com/item/%E5%85%AC%E5%85%81%E4%BB%B7%E5%80%BC"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公允价值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）×换出资产账面价值－（补价÷换出资产公允价值）×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"https://baike.baidu.com/item/%E5%BA%94%E4%BA%A4%E7%A8%8E%E9%87%91"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应交税金</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+应支付的相关</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"https://baike.baidu.com/item/%E7%A8%8E%E8%B4%B9"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税费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应确认的收入或费用=补价×[1－（换出资产账面价值+应交税金）÷换出资产公允价值]</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（三）在非货币性交易中，如果同时换入多项资产，应按换入各项资产的公允价值占换入资产公允价值总额的比例，对换出资产的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总额和应支付的相关税费进行分配，以确定各项换入资产的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"https://baike.baidu.com/item/%E5%85%A5%E8%B4%A6%E4%BB%B7%E5%80%BC"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入账价值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本制度所称非货币性交易是指交易双方以</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"https://baike.baidu.com/item/%E9%9D%9E%E8%B4%A7%E5%B8%81%E6%80%A7%E8%B5%84%E4%BA%A7"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非货币性资产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进行的交换，这种交换不涉及或只涉及少量的货币性资产（即</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"https://baike.baidu.com/item/%E8%A1%A5%E4%BB%B7"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补价</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）。其中，货币性资产是指持有的现金及将以固定或可确定金额的货币收取的资产；非货币性资产是指货币性资产以外的资产。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71" w:name="2_6"/>
      <w:bookmarkEnd w:id="71"/>
      <w:bookmarkStart w:id="72" w:name="sub2370155_2_6"/>
      <w:bookmarkEnd w:id="72"/>
      <w:bookmarkStart w:id="73" w:name="第十九条"/>
      <w:bookmarkEnd w:id="73"/>
      <w:bookmarkStart w:id="74" w:name="2-6"/>
      <w:bookmarkEnd w:id="74"/>
      <w:r>
        <w:rPr>
          <w:i w:val="0"/>
          <w:iCs w:val="0"/>
          <w:caps w:val="0"/>
          <w:color w:val="auto"/>
          <w:spacing w:val="0"/>
          <w:sz w:val="18"/>
          <w:szCs w:val="18"/>
          <w:bdr w:val="none" w:color="auto" w:sz="0" w:space="0"/>
          <w:shd w:val="clear" w:fill="FFFFFF"/>
        </w:rPr>
        <w:t>第十九条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"https://baike.baidu.com/item/%E6%B5%81%E5%8A%A8%E8%B5%84%E4%BA%A7"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流动资产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是指预期可在1年内（含1年）变现或者耗用的资产，主要包括现金、银行存款、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"https://baike.baidu.com/item/%E5%BA%94%E6%94%B6%E6%AC%BE%E9%A1%B9"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应收款项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"https://baike.baidu.com/item/%E9%A2%84%E4%BB%98%E8%B4%A6%E6%AC%BE"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预付账款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"https://baike.baidu.com/item/%E5%AD%98%E8%B4%A7"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存货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"https://baike.baidu.com/item/%E5%BE%85%E6%91%8A%E8%B4%B9%E7%94%A8"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待摊费用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75" w:name="2_7"/>
      <w:bookmarkEnd w:id="75"/>
      <w:bookmarkStart w:id="76" w:name="sub2370155_2_7"/>
      <w:bookmarkEnd w:id="76"/>
      <w:bookmarkStart w:id="77" w:name="第二十条"/>
      <w:bookmarkEnd w:id="77"/>
      <w:bookmarkStart w:id="78" w:name="2-7"/>
      <w:bookmarkEnd w:id="78"/>
      <w:r>
        <w:rPr>
          <w:i w:val="0"/>
          <w:iCs w:val="0"/>
          <w:caps w:val="0"/>
          <w:color w:val="auto"/>
          <w:spacing w:val="0"/>
          <w:sz w:val="18"/>
          <w:szCs w:val="18"/>
          <w:bdr w:val="none" w:color="auto" w:sz="0" w:space="0"/>
          <w:shd w:val="clear" w:fill="FFFFFF"/>
        </w:rPr>
        <w:t>第二十条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民间非营利组织应当设置现金和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"https://baike.baidu.com/item/%E9%93%B6%E8%A1%8C%E5%AD%98%E6%AC%BE%E6%97%A5%E8%AE%B0%E8%B4%A6"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银行存款日记账</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。按照业务发生顺序逐日逐笔登记。有外币现金和存款的民间非营利组织，还应当分别按人民币和外币进行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"https://baike.baidu.com/item/%E6%98%8E%E7%BB%86%E6%A0%B8%E7%AE%97"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明细核算</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现金的核算应当做到</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"https://baike.baidu.com/item/%E6%97%A5%E6%B8%85%E6%9C%88%E7%BB%93"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日清月结</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"https://baike.baidu.com/item/%E8%B4%A6%E9%9D%A2%E4%BD%99%E9%A2%9D"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账面余额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必须与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"https://baike.baidu.com/item/%E5%BA%93%E5%AD%98"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库存</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数相符；银行存款的账面余额应当与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"https://baike.baidu.com/item/%E9%93%B6%E8%A1%8C%E5%AF%B9%E8%B4%A6%E5%8D%95"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银行对账单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定期核对，并与按月编制的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"https://baike.baidu.com/item/%E9%93%B6%E8%A1%8C%E5%AD%98%E6%AC%BE%E4%BD%99%E9%A2%9D%E8%B0%83%E8%8A%82%E8%A1%A8"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银行存款余额调节表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调节相符。</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本制度所称的账面余额，是指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"https://baike.baidu.com/item/%E4%BC%9A%E8%AE%A1%E7%A7%91%E7%9B%AE"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会计科目</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的账面实际余额，不扣除作为该科目备抵的项目（如累计折旧、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"https://baike.baidu.com/item/%E8%B5%84%E4%BA%A7%E5%87%8F%E5%80%BC%E5%87%86%E5%A4%87"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资产减值准备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79" w:name="2_8"/>
      <w:bookmarkEnd w:id="79"/>
      <w:bookmarkStart w:id="80" w:name="sub2370155_2_8"/>
      <w:bookmarkEnd w:id="80"/>
      <w:bookmarkStart w:id="81" w:name="第二十一条"/>
      <w:bookmarkEnd w:id="81"/>
      <w:bookmarkStart w:id="82" w:name="2-8"/>
      <w:bookmarkEnd w:id="82"/>
      <w:r>
        <w:rPr>
          <w:i w:val="0"/>
          <w:iCs w:val="0"/>
          <w:caps w:val="0"/>
          <w:color w:val="auto"/>
          <w:spacing w:val="0"/>
          <w:sz w:val="18"/>
          <w:szCs w:val="18"/>
          <w:bdr w:val="none" w:color="auto" w:sz="0" w:space="0"/>
          <w:shd w:val="clear" w:fill="FFFFFF"/>
        </w:rPr>
        <w:t>第二十一条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是指能够随时变现并且持有时间不准备超过1年（含1年）的投资，包括股票、债券投资等。</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（一）短期投资在取得时应当按照投资成本计量。短期投资取得时的投资成本按以下方法确定：</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1．以现金购入的短期投资，按照实际支付的全部价款，包括税金、手续费等相关</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"https://baike.baidu.com/item/%E7%A8%8E%E8%B4%B9"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税费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作为其投资成本。实际支付的价款中包含的已宣告但尚未领取的现金股利或已到付息期但尚未领取的债券利息，应当作为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"https://baike.baidu.com/item/%E5%BA%94%E6%94%B6%E6%AC%BE%E9%A1%B9"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应收款项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单独核算，不构成短期投资成本。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2．接受捐赠的短期投资，按照本制度第十六条的规定确定其投资成本。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3．通过非货币性交易换入的短期投资，按照本制度第十八条的规定确定其投资成本。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的利息或现金股利应当于实际收到时冲减投资的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，但在购买时已计入应收款项的现金股利或者利息除外。</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（三）在期末，民间非营利组织应当按照本制度第十五条的规定对短期投资是否发生了减值进行检查。如果短期投资的市价低于其账面价值，应当按照市价低于账面价值的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计提</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"https://baike.baidu.com/item/%E7%9F%AD%E6%9C%9F%E6%8A%95%E8%B5%84%E8%B7%8C%E4%BB%B7%E5%87%86%E5%A4%87"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短期投资跌价准备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，确认短期投资跌价损失并计入当期费用。如果短期投资的市价高于其账面价值，应当在该短期投资期初已计提跌价准备的范围内转回市价高于账面价值的差额，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"https://baike.baidu.com/item/%E5%86%B2%E5%87%8F"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冲减</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当期费用。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（四）处置短期投资时，应当将实际取得价款与短期投资账面价值的差额确认当期投资损益。</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本制度所称的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，是指某会计科目的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"https://baike.baidu.com/item/%E8%B4%A6%E9%9D%A2%E4%BD%99%E9%A2%9D"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账面余额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减去相关的备抵项目后的净额。</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民间非营利组织的委托贷款和委托投资（包括委托理财）应当区分期限长短，分别作为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和长期投资核算和列报。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83" w:name="2_9"/>
      <w:bookmarkEnd w:id="83"/>
      <w:bookmarkStart w:id="84" w:name="sub2370155_2_9"/>
      <w:bookmarkEnd w:id="84"/>
      <w:bookmarkStart w:id="85" w:name="第二十二条"/>
      <w:bookmarkEnd w:id="85"/>
      <w:bookmarkStart w:id="86" w:name="2-9"/>
      <w:bookmarkEnd w:id="86"/>
      <w:r>
        <w:rPr>
          <w:i w:val="0"/>
          <w:iCs w:val="0"/>
          <w:caps w:val="0"/>
          <w:color w:val="auto"/>
          <w:spacing w:val="0"/>
          <w:sz w:val="18"/>
          <w:szCs w:val="18"/>
          <w:bdr w:val="none" w:color="auto" w:sz="0" w:space="0"/>
          <w:shd w:val="clear" w:fill="FFFFFF"/>
        </w:rPr>
        <w:t>第二十二条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"https://baike.baidu.com/item/%E5%BA%94%E6%94%B6%E6%AC%BE%E9%A1%B9"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应收款项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是指民间非营利组织在日常业务活动过程中发生的各项应收未收债权，包括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"https://baike.baidu.com/item/%E5%BA%94%E6%94%B6%E7%A5%A8%E6%8D%AE"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应收票据</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"https://baike.baidu.com/item/%E5%BA%94%E6%94%B6%E8%B4%A6%E6%AC%BE"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应收账款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"https://baike.baidu.com/item/%E5%85%B6%E4%BB%96%E5%BA%94%E6%94%B6%E6%AC%BE"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其他应收款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（一）应收款项应当按照实际发生额入账，并按照往来单位或个人等设置</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"https://baike.baidu.com/item/%E6%98%8E%E7%BB%86%E8%B4%A6"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明细账</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，进行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"https://baike.baidu.com/item/%E6%98%8E%E7%BB%86%E6%A0%B8%E7%AE%97"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明细核算</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（二）期末，应当分析应收款项的可收回性，对预计可能产生的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"https://baike.baidu.com/item/%E5%9D%8F%E8%B4%A6%E6%8D%9F%E5%A4%B1"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坏账损失</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计提</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"https://baike.baidu.com/item/%E5%9D%8F%E8%B4%A6%E5%87%86%E5%A4%87"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坏账准备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，确认坏账损失并计入当期费用。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87" w:name="2_10"/>
      <w:bookmarkEnd w:id="87"/>
      <w:bookmarkStart w:id="88" w:name="sub2370155_2_10"/>
      <w:bookmarkEnd w:id="88"/>
      <w:bookmarkStart w:id="89" w:name="第二十三条"/>
      <w:bookmarkEnd w:id="89"/>
      <w:bookmarkStart w:id="90" w:name="2-10"/>
      <w:bookmarkEnd w:id="90"/>
      <w:r>
        <w:rPr>
          <w:i w:val="0"/>
          <w:iCs w:val="0"/>
          <w:caps w:val="0"/>
          <w:color w:val="auto"/>
          <w:spacing w:val="0"/>
          <w:sz w:val="18"/>
          <w:szCs w:val="18"/>
          <w:bdr w:val="none" w:color="auto" w:sz="0" w:space="0"/>
          <w:shd w:val="clear" w:fill="FFFFFF"/>
        </w:rPr>
        <w:t>第二十三条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"https://baike.baidu.com/item/%E9%A2%84%E4%BB%98%E8%B4%A6%E6%AC%BE"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预付账款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是指民间非营利组织预付给商品供应单位或者服务提供单位的款项。</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预付账款应当按照实际发生额入账，并按照往来单位或个人等设置明细账，进行明细核算。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91" w:name="2_11"/>
      <w:bookmarkEnd w:id="91"/>
      <w:bookmarkStart w:id="92" w:name="sub2370155_2_11"/>
      <w:bookmarkEnd w:id="92"/>
      <w:bookmarkStart w:id="93" w:name="第二十四条"/>
      <w:bookmarkEnd w:id="93"/>
      <w:bookmarkStart w:id="94" w:name="2-11"/>
      <w:bookmarkEnd w:id="94"/>
      <w:r>
        <w:rPr>
          <w:i w:val="0"/>
          <w:iCs w:val="0"/>
          <w:caps w:val="0"/>
          <w:color w:val="auto"/>
          <w:spacing w:val="0"/>
          <w:sz w:val="18"/>
          <w:szCs w:val="18"/>
          <w:bdr w:val="none" w:color="auto" w:sz="0" w:space="0"/>
          <w:shd w:val="clear" w:fill="FFFFFF"/>
        </w:rPr>
        <w:t>第二十四条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"https://baike.baidu.com/item/%E5%AD%98%E8%B4%A7"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存货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是指民间非营利组织在日常业务活动过程中持有以备出售或捐赠的，或者为了出售或捐赠仍处在生产过程中的，或者将在生产、提供服务或日常管理过程中耗用的材料、物资、商品等。</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（一）存货在取得时，应当以其实际成本入账。</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"https://baike.baidu.com/item/%E5%AD%98%E8%B4%A7%E6%88%90%E6%9C%AC"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存货成本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包括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"https://baike.baidu.com/item/%E9%87%87%E8%B4%AD%E6%88%90%E6%9C%AC"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采购成本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"https://baike.baidu.com/item/%E5%8A%A0%E5%B7%A5%E6%88%90%E6%9C%AC"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加工成本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和其他成本。其中，采购成本一般包括实际支付的采购价款、相关</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"https://baike.baidu.com/item/%E7%A8%8E%E8%B4%B9"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税费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、运输费、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"https://baike.baidu.com/item/%E8%A3%85%E5%8D%B8%E8%B4%B9"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装卸费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、保险费以及其他可直接归属于存货采购的费用。加工成本包括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"https://baike.baidu.com/item/%E7%9B%B4%E6%8E%A5%E4%BA%BA%E5%B7%A5"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直接人工</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以及按照合理方法分配的与存货加工有关的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"https://baike.baidu.com/item/%E9%97%B4%E6%8E%A5%E8%B4%B9%E7%94%A8"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间接费用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。其他成本是指除采购成本、加工成本以外的，使存货达到目前场所和状态所发生的其他支出。接受捐赠的存货，按照本制度第十六条的规定期 定其成本。通过非货币性交易换入的存货，按照本制度第十八条的规定确定其成本。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"https://baike.baidu.com/item/%E5%AD%98%E8%B4%A7"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存货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在发出时，应当根据实际情况采用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"https://baike.baidu.com/item/%E4%B8%AA%E5%88%AB%E8%AE%A1%E4%BB%B7%E6%B3%95"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个别计价法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"https://baike.baidu.com/item/%E5%85%88%E8%BF%9B%E5%85%88%E5%87%BA%E6%B3%95"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先进先出法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、或者</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"https://baike.baidu.com/item/%E5%8A%A0%E6%9D%83%E5%B9%B3%E5%9D%87%E6%B3%95"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加权平均法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，确定发出存货的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"https://baike.baidu.com/item/%E5%AE%9E%E9%99%85%E6%88%90%E6%9C%AC"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实际成本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（三）存货应当定期进行清查盘点，每年至少盘点一次。对于发生的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"https://baike.baidu.com/item/%E7%9B%98%E7%9B%88"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盘盈</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"https://baike.baidu.com/item/%E7%9B%98%E4%BA%8F"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盘亏</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以及变质、毁损等存货，应当及时查明原因，并根据民间</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"https://baike.baidu.com/item/%E9%9D%9E%E8%90%A5%E5%88%A9%E7%BB%84%E7%BB%87%E7%9A%84%E7%AE%A1%E7%90%86"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非营利组织的管理</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权限，经理事会、</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"https://baike.baidu.com/item/%E8%91%A3%E4%BA%8B%E4%BC%9A"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董事会</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或类似权力机构批准后，在期末结账前处理完毕。对于盘盈的存货，应当按照其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"https://baike.baidu.com/item/%E5%85%AC%E5%85%81%E4%BB%B7%E5%80%BC"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公允价值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入账，并确认为当期收入；对于盘亏或者毁损的存货，应先扣除残料价值、可以收回的保险赔偿和过失人的赔偿等，将净损失确认为当期费用。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（四）期末，民间非营利组织应当按照本制度第十五条的规定对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"https://baike.baidu.com/item/%E5%AD%98%E8%B4%A7"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存货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是否发生了减值进行检查。如果</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"https://baike.baidu.com/item/%E5%AD%98%E8%B4%A7%E7%9A%84%E5%8F%AF%E5%8F%98%E7%8E%B0%E5%87%80%E5%80%BC"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存货的可变现净值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低于其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，应当按照可变现净值低于账面价值的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计提</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"https://baike.baidu.com/item/%E5%AD%98%E8%B4%A7%E8%B7%8C%E4%BB%B7%E5%87%86%E5%A4%87"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存货跌价准备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，确认存货跌价损失并计入当期费用。如果存货的可变现净值高于其账面价值，应当在该存货期初已计提跌价准备的范围内转回可变现净值高于账面价值的差额，冲减当期费用。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本制度所称的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"https://baike.baidu.com/item/%E5%8F%AF%E5%8F%98%E7%8E%B0%E5%87%80%E5%80%BC"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可变现净值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，是指在正常业务活动中，以存货的估计售价减去至完工将要发生的成本以及销售所必需的费用后的金额。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95" w:name="2_12"/>
      <w:bookmarkEnd w:id="95"/>
      <w:bookmarkStart w:id="96" w:name="sub2370155_2_12"/>
      <w:bookmarkEnd w:id="96"/>
      <w:bookmarkStart w:id="97" w:name="第二十五条"/>
      <w:bookmarkEnd w:id="97"/>
      <w:bookmarkStart w:id="98" w:name="2-12"/>
      <w:bookmarkEnd w:id="98"/>
      <w:r>
        <w:rPr>
          <w:i w:val="0"/>
          <w:iCs w:val="0"/>
          <w:caps w:val="0"/>
          <w:color w:val="auto"/>
          <w:spacing w:val="0"/>
          <w:sz w:val="18"/>
          <w:szCs w:val="18"/>
          <w:bdr w:val="none" w:color="auto" w:sz="0" w:space="0"/>
          <w:shd w:val="clear" w:fill="FFFFFF"/>
        </w:rPr>
        <w:t>第二十五条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"https://baike.baidu.com/item/%E5%BE%85%E6%91%8A%E8%B4%B9%E7%94%A8"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待摊费用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是指民间非营利组织已经支出，但应当由本期和以后各期分别负担的、分摊期在1年以内（含1年）的各项费用，如预付保险费、预付租金等。</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待摊费用应当按其受益期限在1年内分期平均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"https://baike.baidu.com/item/%E6%91%8A%E9%94%80"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摊销</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，计入有关费用。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99" w:name="2_13"/>
      <w:bookmarkEnd w:id="99"/>
      <w:bookmarkStart w:id="100" w:name="sub2370155_2_13"/>
      <w:bookmarkEnd w:id="100"/>
      <w:bookmarkStart w:id="101" w:name="第二十六条"/>
      <w:bookmarkEnd w:id="101"/>
      <w:bookmarkStart w:id="102" w:name="2-13"/>
      <w:bookmarkEnd w:id="102"/>
      <w:r>
        <w:rPr>
          <w:i w:val="0"/>
          <w:iCs w:val="0"/>
          <w:caps w:val="0"/>
          <w:color w:val="auto"/>
          <w:spacing w:val="0"/>
          <w:sz w:val="18"/>
          <w:szCs w:val="18"/>
          <w:bdr w:val="none" w:color="auto" w:sz="0" w:space="0"/>
          <w:shd w:val="clear" w:fill="FFFFFF"/>
        </w:rPr>
        <w:t>第二十六条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长期投资是指除</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以外的投资，包括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"https://baike.baidu.com/item/%E9%95%BF%E6%9C%9F%E8%82%A1%E6%9D%83%E6%8A%95%E8%B5%84"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长期股权投资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"https://baike.baidu.com/item/%E9%95%BF%E6%9C%9F%E5%80%BA%E6%9D%83%E6%8A%95%E8%B5%84"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长期债权投资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03" w:name="2_14"/>
      <w:bookmarkEnd w:id="103"/>
      <w:bookmarkStart w:id="104" w:name="sub2370155_2_14"/>
      <w:bookmarkEnd w:id="104"/>
      <w:bookmarkStart w:id="105" w:name="第二十七条"/>
      <w:bookmarkEnd w:id="105"/>
      <w:bookmarkStart w:id="106" w:name="2-14"/>
      <w:bookmarkEnd w:id="106"/>
      <w:r>
        <w:rPr>
          <w:i w:val="0"/>
          <w:iCs w:val="0"/>
          <w:caps w:val="0"/>
          <w:color w:val="auto"/>
          <w:spacing w:val="0"/>
          <w:sz w:val="18"/>
          <w:szCs w:val="18"/>
          <w:bdr w:val="none" w:color="auto" w:sz="0" w:space="0"/>
          <w:shd w:val="clear" w:fill="FFFFFF"/>
        </w:rPr>
        <w:t>第二十七条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长期股权投资应当按照以下原则核算：</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（一）长期股权投资在取得时，应当按取得时的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"https://baike.baidu.com/item/%E5%AE%9E%E9%99%85%E6%88%90%E6%9C%AC"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实际成本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作为初始投资成本。初始投资成本按以下方法确定：</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1．以现金购入的长期股权投资，按照实际支付的全部价款，包括税金、手续费等相关费用，作为初始投资成本。实际支付的价款中包含的已宣告但尚未领取的现金股利，应当作为应收款项单独核算，不构成初始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2．接受捐赠的长期股权投资，按照本制度第十六条的规定，确定其初始投资成本。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3．通过非货币性交易换入的长期股权投资，按照本制度第十八条的规定确定其初始投资成本。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（二）长期股权投资应当区别不同情况，分别采用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"https://baike.baidu.com/item/%E6%88%90%E6%9C%AC%E6%B3%95"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成本法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或者</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"https://baike.baidu.com/item/%E6%9D%83%E7%9B%8A%E6%B3%95"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权益法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核算。如果民间非营利组织对被投资单位无控制、无</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"https://baike.baidu.com/item/%E5%85%B1%E5%90%8C%E6%8E%A7%E5%88%B6"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共同控制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且</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"https://baike.baidu.com/item/%E9%87%8D%E5%A4%A7%E5%BD%B1%E5%93%8D"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重大影响</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，长期股权投资应当采用成本法进行核算；如果民间非营利组织对被投资单位具有控制、共同控制或重大影响，长期股权投资应当采用权益法进行核算。</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采用成本法核算时，被投资单位经股东大会或者类似权利机构批准宣告发放的利润或现金股利，作为当期投资收益。</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采用权益法核算时，按应当享有或应当分担的被投资单位当年实现的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"https://baike.baidu.com/item/%E5%87%80%E5%88%A9%E6%B6%A6"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净利润</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或发生的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"https://baike.baidu.com/item/%E5%87%80%E4%BA%8F%E6%8D%9F"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净亏损</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的份额调整投资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，并作为当期投资损益。按被投资单位宣告分派的利润或现金股利计算分得的部分，减少投资账面价值。</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被投资单位宣告分派的股票股利，不作账务处理，但应当设置辅助账，进行数量登记。</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本制度所称的控制，是指有权决定被投资单位的财务和经营政策，并能据以从该单位的经济活动中获得利益；本制度所称的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"https://baike.baidu.com/item/%E5%85%B1%E5%90%8C%E6%8E%A7%E5%88%B6"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共同控制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，是指按合同约定对某项经济活动所共有的控制；本制度所称的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"https://baike.baidu.com/item/%E9%87%8D%E5%A4%A7%E5%BD%B1%E5%93%8D"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重大影响</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，是指对被投资单位的财务和经营政策有参与决策的权力，但并不决定这些政策。</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（三）处置长期股权投资时，应当将实际取得价款与投资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确认为当期投资损益。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07" w:name="2_15"/>
      <w:bookmarkEnd w:id="107"/>
      <w:bookmarkStart w:id="108" w:name="sub2370155_2_15"/>
      <w:bookmarkEnd w:id="108"/>
      <w:bookmarkStart w:id="109" w:name="第二十八条"/>
      <w:bookmarkEnd w:id="109"/>
      <w:bookmarkStart w:id="110" w:name="2-15"/>
      <w:bookmarkEnd w:id="110"/>
      <w:r>
        <w:rPr>
          <w:i w:val="0"/>
          <w:iCs w:val="0"/>
          <w:caps w:val="0"/>
          <w:color w:val="auto"/>
          <w:spacing w:val="0"/>
          <w:sz w:val="18"/>
          <w:szCs w:val="18"/>
          <w:bdr w:val="none" w:color="auto" w:sz="0" w:space="0"/>
          <w:shd w:val="clear" w:fill="FFFFFF"/>
        </w:rPr>
        <w:t>第二十八条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"https://baike.baidu.com/item/%E9%95%BF%E6%9C%9F%E5%80%BA%E6%9D%83%E6%8A%95%E8%B5%84"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长期债权投资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应当按照以下原则核算：</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（一）长期债权投资在取得时，应当按取得时的实际成本作为初始投资成本。初始投资成本按以下方法确定：</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1．以现金购入的长期债权投资，按照实际支付的全部价款，包括税金、手续费等相关费用，作为初始投资成本。实际支付的价款中包含的已到付息期但尚未领取的债券利息，应当作为应收款项单独核算，不构成初始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2．接受捐赠取得的长期债权投资，按照本制度第十六条的规定确定其初始投资成本。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3．通过非货币性交易换入的长期债权投资，按照本制度第十八条的规定确定其初始投资成本。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"https://baike.baidu.com/item/%E9%95%BF%E6%9C%9F%E5%80%BA%E6%9D%83%E6%8A%95%E8%B5%84"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长期债权投资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应当按照票面价值与票面利率按期计算确认利息收入。</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"https://baike.baidu.com/item/%E9%95%BF%E6%9C%9F%E5%80%BA%E5%88%B8%E6%8A%95%E8%B5%84"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长期债券投资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的初始投资成本与债券面值之间的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，应当在债券存续期间，按照直线法，于确认相关债券利息收入时予以</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"https://baike.baidu.com/item/%E6%91%8A%E9%94%80"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摊销</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（三）持有</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"https://baike.baidu.com/item/%E5%8F%AF%E8%BD%AC%E6%8D%A2%E5%85%AC%E5%8F%B8%E5%80%BA%E5%88%B8"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可转换公司债券</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的民间非营利组织，可转换公司债券在购买以及转换为股份之前，应当按一般债券投资进行处理。当民间非营利组织行使转换权利，将其持有的债券投资转换为股份时，应当按其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减去收到的现金后的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"https://baike.baidu.com/item/%E4%BD%99%E9%A2%9D"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余额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，作为股权投资的初始投资成本。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（四）处置长期债权投资时，应当将实际取得价款与投资账面价值的差额，确认为当期投资损益。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11" w:name="2_16"/>
      <w:bookmarkEnd w:id="111"/>
      <w:bookmarkStart w:id="112" w:name="sub2370155_2_16"/>
      <w:bookmarkEnd w:id="112"/>
      <w:bookmarkStart w:id="113" w:name="第二十九条"/>
      <w:bookmarkEnd w:id="113"/>
      <w:bookmarkStart w:id="114" w:name="2-16"/>
      <w:bookmarkEnd w:id="114"/>
      <w:r>
        <w:rPr>
          <w:i w:val="0"/>
          <w:iCs w:val="0"/>
          <w:caps w:val="0"/>
          <w:color w:val="auto"/>
          <w:spacing w:val="0"/>
          <w:sz w:val="18"/>
          <w:szCs w:val="18"/>
          <w:bdr w:val="none" w:color="auto" w:sz="0" w:space="0"/>
          <w:shd w:val="clear" w:fill="FFFFFF"/>
        </w:rPr>
        <w:t>第二十九条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民间非营利组织改变投资目的，将</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"https://baike.baidu.com/item/%E7%9F%AD%E6%9C%9F%E6%8A%95%E8%B5%84"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短期投资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划转为长期投资，应当按短期投资的成本与市价孰低结转。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15" w:name="2_17"/>
      <w:bookmarkEnd w:id="115"/>
      <w:bookmarkStart w:id="116" w:name="sub2370155_2_17"/>
      <w:bookmarkEnd w:id="116"/>
      <w:bookmarkStart w:id="117" w:name="第三十条"/>
      <w:bookmarkEnd w:id="117"/>
      <w:bookmarkStart w:id="118" w:name="2-17"/>
      <w:bookmarkEnd w:id="118"/>
      <w:r>
        <w:rPr>
          <w:i w:val="0"/>
          <w:iCs w:val="0"/>
          <w:caps w:val="0"/>
          <w:color w:val="auto"/>
          <w:spacing w:val="0"/>
          <w:sz w:val="18"/>
          <w:szCs w:val="18"/>
          <w:bdr w:val="none" w:color="auto" w:sz="0" w:space="0"/>
          <w:shd w:val="clear" w:fill="FFFFFF"/>
        </w:rPr>
        <w:t>第三十条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期末，民间非营利组织应当按照本制度第十五条的规定对长期投资是否发生了减值进行检查。如果长期投资的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"https://baike.baidu.com/item/%E5%8F%AF%E6%94%B6%E5%9B%9E%E9%87%91%E9%A2%9D"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可收回金额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低于其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，应当按照可收回金额低于账面价值的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计提</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"https://baike.baidu.com/item/%E9%95%BF%E6%9C%9F%E6%8A%95%E8%B5%84%E5%87%8F%E5%80%BC%E5%87%86%E5%A4%87"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长期投资减值准备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，确认长期投资减值损失并计入当期费用。如果长期投资的可收回金额高于其账面价值，应当在该长期投资期初已计提减值准备的范围内转回可收回金额高于账面价值的差额，冲减当期费用。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本制度所称可收回金额是指资产的销售净价与预期从该资产的持续使用和使用寿命结束时的处置中形成的预计未来现金流量的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"https://baike.baidu.com/item/%E7%8E%B0%E5%80%BC"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现值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两者之中的较高者，其中销售净价指销售价值减资产处置费用后的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"https://baike.baidu.com/item/%E4%BD%99%E9%A2%9D"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余额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19" w:name="2_18"/>
      <w:bookmarkEnd w:id="119"/>
      <w:bookmarkStart w:id="120" w:name="sub2370155_2_18"/>
      <w:bookmarkEnd w:id="120"/>
      <w:bookmarkStart w:id="121" w:name="第三十一条"/>
      <w:bookmarkEnd w:id="121"/>
      <w:bookmarkStart w:id="122" w:name="2-18"/>
      <w:bookmarkEnd w:id="122"/>
      <w:r>
        <w:rPr>
          <w:i w:val="0"/>
          <w:iCs w:val="0"/>
          <w:caps w:val="0"/>
          <w:color w:val="auto"/>
          <w:spacing w:val="0"/>
          <w:sz w:val="18"/>
          <w:szCs w:val="18"/>
          <w:bdr w:val="none" w:color="auto" w:sz="0" w:space="0"/>
          <w:shd w:val="clear" w:fill="FFFFFF"/>
        </w:rPr>
        <w:t>第三十一条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是指同时具有以下特征的有形资产：</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（一）为行政管理、提供服务、生产商品或者出租目的而持有的；</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（二）预计使用年限超过1年；</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（三）单位价值较高。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23" w:name="2_19"/>
      <w:bookmarkEnd w:id="123"/>
      <w:bookmarkStart w:id="124" w:name="sub2370155_2_19"/>
      <w:bookmarkEnd w:id="124"/>
      <w:bookmarkStart w:id="125" w:name="第三十二条"/>
      <w:bookmarkEnd w:id="125"/>
      <w:bookmarkStart w:id="126" w:name="2-19"/>
      <w:bookmarkEnd w:id="126"/>
      <w:r>
        <w:rPr>
          <w:i w:val="0"/>
          <w:iCs w:val="0"/>
          <w:caps w:val="0"/>
          <w:color w:val="auto"/>
          <w:spacing w:val="0"/>
          <w:sz w:val="18"/>
          <w:szCs w:val="18"/>
          <w:bdr w:val="none" w:color="auto" w:sz="0" w:space="0"/>
          <w:shd w:val="clear" w:fill="FFFFFF"/>
        </w:rPr>
        <w:t>第三十二条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在取得时，应当按取得时的实际成本入账。取得时的实际成本包括买价、包装费、运输费、交纳的有关税金等相关费用，以及为使固定资产达到预定可使用状态前所必要的支出。固定资产取得时的实际成本应当根据以下具体情况分别确定：</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（一）外购的固定资产，按照实际支付的买价、相关</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"https://baike.baidu.com/item/%E7%A8%8E%E8%B4%B9"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税费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以及为使固定资产达到预定可使用状态前所发生的可直接归属于该固定资产的其他支出（如，运输费、安装费、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"https://baike.baidu.com/item/%E8%A3%85%E5%8D%B8%E8%B4%B9"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装卸费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等）确定其成本。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如果以一笔款项购入多项没有单独标价的固定资产，按各项固定资产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"https://baike.baidu.com/item/%E5%85%AC%E5%85%81%E4%BB%B7%E5%80%BC"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公允价值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的比例对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"https://baike.baidu.com/item/%E6%80%BB%E6%88%90%E6%9C%AC"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总成本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进行分配，分别确定各项固定资产的成本。</w:t>
      </w:r>
    </w:p>
    <w:p>
      <w:pPr>
        <w:keepNext w:val="0"/>
        <w:keepLines w:val="0"/>
        <w:widowControl/>
        <w:suppressLineNumbers w:val="0"/>
        <w:pBdr>
          <w:top w:val="single" w:color="E0E0E0" w:sz="4" w:space="0"/>
          <w:left w:val="single" w:color="E0E0E0" w:sz="4" w:space="0"/>
          <w:bottom w:val="single" w:color="E0E0E0" w:sz="4" w:space="0"/>
          <w:right w:val="single" w:color="E0E0E0" w:sz="4" w:space="0"/>
        </w:pBdr>
        <w:shd w:val="clear" w:fill="FFFFFF"/>
        <w:spacing w:before="0" w:beforeAutospacing="0" w:after="30" w:afterAutospacing="0" w:line="240" w:lineRule="atLeast"/>
        <w:ind w:left="200" w:right="0" w:firstLine="420"/>
        <w:jc w:val="left"/>
        <w:rPr>
          <w:rFonts w:hint="default" w:ascii="Arial" w:hAnsi="Arial" w:cs="Arial"/>
          <w:i w:val="0"/>
          <w:iCs w:val="0"/>
          <w:caps w:val="0"/>
          <w:color w:val="auto"/>
          <w:spacing w:val="0"/>
          <w:sz w:val="18"/>
          <w:szCs w:val="18"/>
        </w:rPr>
      </w:pPr>
      <w:r>
        <w:rPr>
          <w:rFonts w:hint="eastAsia" w:ascii="宋体" w:hAnsi="宋体" w:eastAsia="宋体" w:cs="宋体"/>
          <w:i w:val="0"/>
          <w:iCs w:val="0"/>
          <w:caps w:val="0"/>
          <w:color w:val="auto"/>
          <w:spacing w:val="0"/>
          <w:kern w:val="0"/>
          <w:sz w:val="18"/>
          <w:szCs w:val="18"/>
          <w:bdr w:val="none" w:color="auto" w:sz="0" w:space="0"/>
          <w:shd w:val="clear" w:fill="FFFFFF"/>
          <w:lang w:val="en-US" w:eastAsia="zh-CN" w:bidi="ar"/>
        </w:rPr>
        <w:t>民间非营利组织会计制度</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（二）自行建造的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，按照建造该项资产达到预定可使用状态前所发生的全部必要支出确定其成本。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（三）接受捐赠的固定资产，应当按照本制度第十六条的规定确定其成本。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（四）通过非货币性交易换入的固定资产，按照本制度第十八条的规定确定其成本。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（五）融资租入的固定资产，按照租赁协议或者合同确定的价款、运输费、途中保险费、安装调试费以及融资租入固定资产达到预定可使用的状态前发生的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"https://baike.baidu.com/item/%E5%80%9F%E6%AC%BE%E8%B4%B9%E7%94%A8"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借款费用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等确定其成本。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27" w:name="2_20"/>
      <w:bookmarkEnd w:id="127"/>
      <w:bookmarkStart w:id="128" w:name="sub2370155_2_20"/>
      <w:bookmarkEnd w:id="128"/>
      <w:bookmarkStart w:id="129" w:name="第三十三条"/>
      <w:bookmarkEnd w:id="129"/>
      <w:bookmarkStart w:id="130" w:name="2-20"/>
      <w:bookmarkEnd w:id="130"/>
      <w:r>
        <w:rPr>
          <w:i w:val="0"/>
          <w:iCs w:val="0"/>
          <w:caps w:val="0"/>
          <w:color w:val="auto"/>
          <w:spacing w:val="0"/>
          <w:sz w:val="18"/>
          <w:szCs w:val="18"/>
          <w:bdr w:val="none" w:color="auto" w:sz="0" w:space="0"/>
          <w:shd w:val="clear" w:fill="FFFFFF"/>
        </w:rPr>
        <w:t>第三十三条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"https://baike.baidu.com/item/%E5%9C%A8%E5%BB%BA%E5%B7%A5%E7%A8%8B"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在建工程</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，包括施工前期准备、正在施工中的建筑工程、安装工程、技术改造工程等。工程项目较多且工程支出较大的，应当按照工程项目的性质分项核算。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31" w:name="2_21"/>
      <w:bookmarkEnd w:id="131"/>
      <w:bookmarkStart w:id="132" w:name="sub2370155_2_21"/>
      <w:bookmarkEnd w:id="132"/>
      <w:bookmarkStart w:id="133" w:name="第三十四条"/>
      <w:bookmarkEnd w:id="133"/>
      <w:bookmarkStart w:id="134" w:name="2-21"/>
      <w:bookmarkEnd w:id="134"/>
      <w:r>
        <w:rPr>
          <w:i w:val="0"/>
          <w:iCs w:val="0"/>
          <w:caps w:val="0"/>
          <w:color w:val="auto"/>
          <w:spacing w:val="0"/>
          <w:sz w:val="18"/>
          <w:szCs w:val="18"/>
          <w:bdr w:val="none" w:color="auto" w:sz="0" w:space="0"/>
          <w:shd w:val="clear" w:fill="FFFFFF"/>
        </w:rPr>
        <w:t>第三十四条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在建工程应当按照所建造工程达到预定可使用状态前实际发生的全部必要支出确定其</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"https://baike.baidu.com/item/%E5%B7%A5%E7%A8%8B%E6%88%90%E6%9C%AC"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工程成本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，并单独核算。</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"https://baike.baidu.com/item/%E5%9C%A8%E5%BB%BA%E5%B7%A5%E7%A8%8B"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在建工程</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的工程成本应当根据具体情况分别确定：</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（一）对于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"https://baike.baidu.com/item/%E8%87%AA%E8%90%A5%E5%B7%A5%E7%A8%8B"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自营工程</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，按照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"https://baike.baidu.com/item/%E7%9B%B4%E6%8E%A5%E6%9D%90%E6%96%99"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直接材料</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"https://baike.baidu.com/item/%E7%9B%B4%E6%8E%A5%E4%BA%BA%E5%B7%A5"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直接人工</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、直接机械使用费等确定其成本。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（二）对于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"https://baike.baidu.com/item/%E5%87%BA%E5%8C%85%E5%B7%A5%E7%A8%8B"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出包工程</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，按照应支付的工程价款等确定其成本。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35" w:name="2_22"/>
      <w:bookmarkEnd w:id="135"/>
      <w:bookmarkStart w:id="136" w:name="sub2370155_2_22"/>
      <w:bookmarkEnd w:id="136"/>
      <w:bookmarkStart w:id="137" w:name="第三十五条"/>
      <w:bookmarkEnd w:id="137"/>
      <w:bookmarkStart w:id="138" w:name="2-22"/>
      <w:bookmarkEnd w:id="138"/>
      <w:r>
        <w:rPr>
          <w:i w:val="0"/>
          <w:iCs w:val="0"/>
          <w:caps w:val="0"/>
          <w:color w:val="auto"/>
          <w:spacing w:val="0"/>
          <w:sz w:val="18"/>
          <w:szCs w:val="18"/>
          <w:bdr w:val="none" w:color="auto" w:sz="0" w:space="0"/>
          <w:shd w:val="clear" w:fill="FFFFFF"/>
        </w:rPr>
        <w:t>第三十五条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为购建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而发生的专门借款的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"https://baike.baidu.com/item/%E5%80%9F%E6%AC%BE%E8%B4%B9%E7%94%A8"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借款费用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在确定的允许</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"https://baike.baidu.com/item/%E8%B5%84%E6%9C%AC%E5%8C%96"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资本化</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的期间内，应当按照专门借款的借款费用的实际发生额予以资本化，计入在建工程成本。这里的借款费用包括因借款而发生的利息、辅助费用以及因外币借款而发生的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"https://baike.baidu.com/item/%E6%B1%87%E5%85%91%E5%B7%AE%E9%A2%9D"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汇兑差额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只有在以下三个条件同时具备时，因专门借款所发生的借款费用才允许开始资本化：</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（一）资产支出已经发生；</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（二）借款费用已经发生；</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（三）为使资产达到预定可使用状态所必要的购建活动已经开始。</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如果固定资产的购建活动发生非正常中断，并且中断时间连续超过3个月（含3个月），应当暂停</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"https://baike.baidu.com/item/%E5%80%9F%E6%AC%BE%E8%B4%B9%E7%94%A8"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借款费用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"https://baike.baidu.com/item/%E8%B5%84%E6%9C%AC%E5%8C%96"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资本化</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，将中断期间内所发生的借款费用确认为当期费用，直至资产的购建活动重新开始。但是，如果中断是使购建的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达到预定可使用状态所必要的程序，则借款费用的资本化应当继续进行。</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当所购建的固定资产达到预定可使用状态时，应当停止借款费用的资本化。之后所发生的借款费用应当于发生时计入当期费用。通常所购建的固定资产达到以下状态时，应当视为所购建的固定资产已经达到预定可使用状态：</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（一）固定资产的实体建造（包括安装）工作已经全部完成或者实质上已经完成；</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（二）所购建的固定资产与设计要求或者合同要求相符或者基本相符，即使有极个别与设计或者合同要求不相符的地方，也不影响其正常使用。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（三）继续发生在所购建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上的支出金额很少或者几乎不再发生。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39" w:name="2_23"/>
      <w:bookmarkEnd w:id="139"/>
      <w:bookmarkStart w:id="140" w:name="sub2370155_2_23"/>
      <w:bookmarkEnd w:id="140"/>
      <w:bookmarkStart w:id="141" w:name="第三十六条"/>
      <w:bookmarkEnd w:id="141"/>
      <w:bookmarkStart w:id="142" w:name="2-23"/>
      <w:bookmarkEnd w:id="142"/>
      <w:r>
        <w:rPr>
          <w:i w:val="0"/>
          <w:iCs w:val="0"/>
          <w:caps w:val="0"/>
          <w:color w:val="auto"/>
          <w:spacing w:val="0"/>
          <w:sz w:val="18"/>
          <w:szCs w:val="18"/>
          <w:bdr w:val="none" w:color="auto" w:sz="0" w:space="0"/>
          <w:shd w:val="clear" w:fill="FFFFFF"/>
        </w:rPr>
        <w:t>第三十六条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所购建的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已达到预定可使用状态时，应当自达到预定可使用状态之日起，将在建工程成本转入</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"https://baike.baidu.com/item/%E5%9B%BA%E5%AE%9A%E8%B5%84%E4%BA%A7%E6%A0%B8%E7%AE%97"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固定资产核算</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43" w:name="2_24"/>
      <w:bookmarkEnd w:id="143"/>
      <w:bookmarkStart w:id="144" w:name="sub2370155_2_24"/>
      <w:bookmarkEnd w:id="144"/>
      <w:bookmarkStart w:id="145" w:name="第三十七条"/>
      <w:bookmarkEnd w:id="145"/>
      <w:bookmarkStart w:id="146" w:name="2-24"/>
      <w:bookmarkEnd w:id="146"/>
      <w:r>
        <w:rPr>
          <w:i w:val="0"/>
          <w:iCs w:val="0"/>
          <w:caps w:val="0"/>
          <w:color w:val="auto"/>
          <w:spacing w:val="0"/>
          <w:sz w:val="18"/>
          <w:szCs w:val="18"/>
          <w:bdr w:val="none" w:color="auto" w:sz="0" w:space="0"/>
          <w:shd w:val="clear" w:fill="FFFFFF"/>
        </w:rPr>
        <w:t>第三十七条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"https://baike.baidu.com/item/%E8%AE%A1%E6%8F%90%E6%8A%98%E6%97%A7"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计提折旧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，在固定资产的预计使用寿命内系统地分摊固定资产的成本。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民间非营利组织应当根据固定资产的性质和消耗方式，合理地确定固定资产的预计使用年限和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"https://baike.baidu.com/item/%E9%A2%84%E8%AE%A1%E5%87%80%E6%AE%8B%E5%80%BC"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预计净残值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民间非营利组织应当按照固定资产所含经济利益或者服务潜力的预期实现方式选择</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"https://baike.baidu.com/item/%E6%8A%98%E6%97%A7%E6%96%B9%E6%B3%95"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折旧方法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，可选用的折旧方法包括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"https://baike.baidu.com/item/%E5%B9%B4%E9%99%90%E5%B9%B3%E5%9D%87%E6%B3%95"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年限平均法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"https://baike.baidu.com/item/%E5%B7%A5%E4%BD%9C%E9%87%8F%E6%B3%95"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工作量法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"https://baike.baidu.com/item/%E5%8F%8C%E5%80%8D%E4%BD%99%E9%A2%9D%E9%80%92%E5%87%8F%E6%B3%95"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双倍余额递减法</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和年数总和法。折旧方法一经确定，不得随意变更。如果由于固定资产所含经济利益或者服务潜力预期实现方式发生重大改变而确实需要变更的，应当在会计报表附注中披露相关信息。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47" w:name="2_25"/>
      <w:bookmarkEnd w:id="147"/>
      <w:bookmarkStart w:id="148" w:name="sub2370155_2_25"/>
      <w:bookmarkEnd w:id="148"/>
      <w:bookmarkStart w:id="149" w:name="第三十八条"/>
      <w:bookmarkEnd w:id="149"/>
      <w:bookmarkStart w:id="150" w:name="2-25"/>
      <w:bookmarkEnd w:id="150"/>
      <w:r>
        <w:rPr>
          <w:i w:val="0"/>
          <w:iCs w:val="0"/>
          <w:caps w:val="0"/>
          <w:color w:val="auto"/>
          <w:spacing w:val="0"/>
          <w:sz w:val="18"/>
          <w:szCs w:val="18"/>
          <w:bdr w:val="none" w:color="auto" w:sz="0" w:space="0"/>
          <w:shd w:val="clear" w:fill="FFFFFF"/>
        </w:rPr>
        <w:t>第三十八条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民间非营利组织应当按月提取折旧，当月增加的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，当月不提折旧，从下月起</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"https://baike.baidu.com/item/%E8%AE%A1%E6%8F%90%E6%8A%98%E6%97%A7"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计提折旧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；当月减少的固定资产，当月照提折旧，从下月起不提折旧。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51" w:name="2_26"/>
      <w:bookmarkEnd w:id="151"/>
      <w:bookmarkStart w:id="152" w:name="sub2370155_2_26"/>
      <w:bookmarkEnd w:id="152"/>
      <w:bookmarkStart w:id="153" w:name="第三十九条"/>
      <w:bookmarkEnd w:id="153"/>
      <w:bookmarkStart w:id="154" w:name="2-26"/>
      <w:bookmarkEnd w:id="154"/>
      <w:r>
        <w:rPr>
          <w:i w:val="0"/>
          <w:iCs w:val="0"/>
          <w:caps w:val="0"/>
          <w:color w:val="auto"/>
          <w:spacing w:val="0"/>
          <w:sz w:val="18"/>
          <w:szCs w:val="18"/>
          <w:bdr w:val="none" w:color="auto" w:sz="0" w:space="0"/>
          <w:shd w:val="clear" w:fill="FFFFFF"/>
        </w:rPr>
        <w:t>第三十九条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与</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有关的后续支出，如果使可能流入民间非营利组织的经济利益或者服务潜力超过了原先的估计，如延长了固定资产的使用寿命，或者使服务质量实质性提高，或者使商品成本实质性降低，则应当计入固定资产账面价值，但其增计后的金额不应当超过该固定资产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"https://baike.baidu.com/item/%E5%8F%AF%E6%94%B6%E5%9B%9E%E9%87%91%E9%A2%9D"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可收回金额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。其他后续支出，应当计入当期费用。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55" w:name="2_27"/>
      <w:bookmarkEnd w:id="155"/>
      <w:bookmarkStart w:id="156" w:name="sub2370155_2_27"/>
      <w:bookmarkEnd w:id="156"/>
      <w:bookmarkStart w:id="157" w:name="第四十条"/>
      <w:bookmarkEnd w:id="157"/>
      <w:bookmarkStart w:id="158" w:name="2-27"/>
      <w:bookmarkEnd w:id="158"/>
      <w:r>
        <w:rPr>
          <w:i w:val="0"/>
          <w:iCs w:val="0"/>
          <w:caps w:val="0"/>
          <w:color w:val="auto"/>
          <w:spacing w:val="0"/>
          <w:sz w:val="18"/>
          <w:szCs w:val="18"/>
          <w:bdr w:val="none" w:color="auto" w:sz="0" w:space="0"/>
          <w:shd w:val="clear" w:fill="FFFFFF"/>
        </w:rPr>
        <w:t>第四十条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民间非营利组织由于出售、报废或者毁损等原因而发生的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"https://baike.baidu.com/item/%E5%9B%BA%E5%AE%9A%E8%B5%84%E4%BA%A7%E6%B8%85%E7%90%86"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固定资产清理</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"https://baike.baidu.com/item/%E5%87%80%E6%8D%9F%E7%9B%8A"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净损益</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，应当计入当期收入或者费用。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59" w:name="2_28"/>
      <w:bookmarkEnd w:id="159"/>
      <w:bookmarkStart w:id="160" w:name="sub2370155_2_28"/>
      <w:bookmarkEnd w:id="160"/>
      <w:bookmarkStart w:id="161" w:name="第四十一条"/>
      <w:bookmarkEnd w:id="161"/>
      <w:bookmarkStart w:id="162" w:name="2-28"/>
      <w:bookmarkEnd w:id="162"/>
      <w:r>
        <w:rPr>
          <w:i w:val="0"/>
          <w:iCs w:val="0"/>
          <w:caps w:val="0"/>
          <w:color w:val="auto"/>
          <w:spacing w:val="0"/>
          <w:sz w:val="18"/>
          <w:szCs w:val="18"/>
          <w:bdr w:val="none" w:color="auto" w:sz="0" w:space="0"/>
          <w:shd w:val="clear" w:fill="FFFFFF"/>
        </w:rPr>
        <w:t>第四十一条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用于展览、教育或研究等目的的历史文物、艺术品以及其他具有文化或者历史价值并作长期或者永久保存的典藏等，作为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"https://baike.baidu.com/item/%E5%9B%BA%E5%AE%9A%E8%B5%84%E4%BA%A7%E6%A0%B8%E7%AE%97"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固定资产核算</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，但不必</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"https://baike.baidu.com/item/%E8%AE%A1%E6%8F%90%E6%8A%98%E6%97%A7"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计提折旧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"https://baike.baidu.com/item/%E8%B5%84%E4%BA%A7%E8%B4%9F%E5%80%BA%E8%A1%A8"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资产负债表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中，应当单列“文物文化资产”项目予以反映。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63" w:name="2_29"/>
      <w:bookmarkEnd w:id="163"/>
      <w:bookmarkStart w:id="164" w:name="sub2370155_2_29"/>
      <w:bookmarkEnd w:id="164"/>
      <w:bookmarkStart w:id="165" w:name="第四十二条"/>
      <w:bookmarkEnd w:id="165"/>
      <w:bookmarkStart w:id="166" w:name="2-29"/>
      <w:bookmarkEnd w:id="166"/>
      <w:r>
        <w:rPr>
          <w:i w:val="0"/>
          <w:iCs w:val="0"/>
          <w:caps w:val="0"/>
          <w:color w:val="auto"/>
          <w:spacing w:val="0"/>
          <w:sz w:val="18"/>
          <w:szCs w:val="18"/>
          <w:bdr w:val="none" w:color="auto" w:sz="0" w:space="0"/>
          <w:shd w:val="clear" w:fill="FFFFFF"/>
        </w:rPr>
        <w:t>第四十二条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应当定期或者至少每年实地盘点一次。对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"https://baike.baidu.com/item/%E7%9B%98%E7%9B%88"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盘盈</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"https://baike.baidu.com/item/%E7%9B%98%E4%BA%8F"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盘亏</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固定资产，应当及时查明原因，写出书面报告，并根据管理权限经董事会、理事会或类似权力机构批准后，在期末结账前处理完毕。盘盈的固定资产应当按照其公允价值入账，并计入当期收入；盘亏的固定资产在减去过失人或者保险公司等赔款和残料价值之后计入当期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67" w:name="2_30"/>
      <w:bookmarkEnd w:id="167"/>
      <w:bookmarkStart w:id="168" w:name="sub2370155_2_30"/>
      <w:bookmarkEnd w:id="168"/>
      <w:bookmarkStart w:id="169" w:name="第四十三条"/>
      <w:bookmarkEnd w:id="169"/>
      <w:bookmarkStart w:id="170" w:name="2-30"/>
      <w:bookmarkEnd w:id="170"/>
      <w:r>
        <w:rPr>
          <w:i w:val="0"/>
          <w:iCs w:val="0"/>
          <w:caps w:val="0"/>
          <w:color w:val="auto"/>
          <w:spacing w:val="0"/>
          <w:sz w:val="18"/>
          <w:szCs w:val="18"/>
          <w:bdr w:val="none" w:color="auto" w:sz="0" w:space="0"/>
          <w:shd w:val="clear" w:fill="FFFFFF"/>
        </w:rPr>
        <w:t>第四十三条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的购建、出售、清理、报废和内部转移等都应当办理</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"https://baike.baidu.com/item/%E4%BC%9A%E8%AE%A1%E6%89%8B%E7%BB%AD"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会计手续</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，并应当设置</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"https://baike.baidu.com/item/%E5%9B%BA%E5%AE%9A%E8%B5%84%E4%BA%A7%E6%98%8E%E7%BB%86%E8%B4%A6"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固定资产明细账</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（或者</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"https://baike.baidu.com/item/%E5%9B%BA%E5%AE%9A%E8%B5%84%E4%BA%A7%E5%8D%A1%E7%89%87"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固定资产卡片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）进行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"https://baike.baidu.com/item/%E6%98%8E%E7%BB%86%E6%A0%B8%E7%AE%97"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明细核算</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71" w:name="2_31"/>
      <w:bookmarkEnd w:id="171"/>
      <w:bookmarkStart w:id="172" w:name="sub2370155_2_31"/>
      <w:bookmarkEnd w:id="172"/>
      <w:bookmarkStart w:id="173" w:name="第四十四条"/>
      <w:bookmarkEnd w:id="173"/>
      <w:bookmarkStart w:id="174" w:name="2-31"/>
      <w:bookmarkEnd w:id="174"/>
      <w:r>
        <w:rPr>
          <w:i w:val="0"/>
          <w:iCs w:val="0"/>
          <w:caps w:val="0"/>
          <w:color w:val="auto"/>
          <w:spacing w:val="0"/>
          <w:sz w:val="18"/>
          <w:szCs w:val="18"/>
          <w:bdr w:val="none" w:color="auto" w:sz="0" w:space="0"/>
          <w:shd w:val="clear" w:fill="FFFFFF"/>
        </w:rPr>
        <w:t>第四十四条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"https://baike.baidu.com/item/%E6%97%A0%E5%BD%A2%E8%B5%84%E4%BA%A7"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无形资产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是指民间非营利组织为开展业务活动、出租给他人、或为管理目的而持有的、没有实物形态的、非货币性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，包括专利权、非专利技术、商标权、著作权、土地使用权等。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75" w:name="2_32"/>
      <w:bookmarkEnd w:id="175"/>
      <w:bookmarkStart w:id="176" w:name="sub2370155_2_32"/>
      <w:bookmarkEnd w:id="176"/>
      <w:bookmarkStart w:id="177" w:name="第四十五条"/>
      <w:bookmarkEnd w:id="177"/>
      <w:bookmarkStart w:id="178" w:name="2-32"/>
      <w:bookmarkEnd w:id="178"/>
      <w:r>
        <w:rPr>
          <w:i w:val="0"/>
          <w:iCs w:val="0"/>
          <w:caps w:val="0"/>
          <w:color w:val="auto"/>
          <w:spacing w:val="0"/>
          <w:sz w:val="18"/>
          <w:szCs w:val="18"/>
          <w:bdr w:val="none" w:color="auto" w:sz="0" w:space="0"/>
          <w:shd w:val="clear" w:fill="FFFFFF"/>
        </w:rPr>
        <w:t>第四十五条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"https://baike.baidu.com/item/%E6%97%A0%E5%BD%A2%E8%B5%84%E4%BA%A7"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无形资产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在取得时，应当按照取得时的实际成本入账。</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（一）购入的无形资产，按照实际支付的价款确定其实际成本。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自行开发并按法律程序申请取得的无形资产，按依法取得时发生的注册费、聘请律师费等费用，作为无形资产的实际成本。依法取得前，在研究与开发过程中发生的材料费用、直接参与开发人员的工资及福利费、开发过程中发生的租金、</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"https://baike.baidu.com/item/%E5%80%9F%E6%AC%BE%E8%B4%B9%E7%94%A8"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借款费用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等直接计入当期费用。</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（三）接受捐赠的无形资产，按照本制度第十六条的规定确定其实际成本。</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（四）通过非货币性交易换入的无形资产，按照本制度第十八条的规定确定其实际成本。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79" w:name="2_33"/>
      <w:bookmarkEnd w:id="179"/>
      <w:bookmarkStart w:id="180" w:name="sub2370155_2_33"/>
      <w:bookmarkEnd w:id="180"/>
      <w:bookmarkStart w:id="181" w:name="第四十六条"/>
      <w:bookmarkEnd w:id="181"/>
      <w:bookmarkStart w:id="182" w:name="2-33"/>
      <w:bookmarkEnd w:id="182"/>
      <w:r>
        <w:rPr>
          <w:i w:val="0"/>
          <w:iCs w:val="0"/>
          <w:caps w:val="0"/>
          <w:color w:val="auto"/>
          <w:spacing w:val="0"/>
          <w:sz w:val="18"/>
          <w:szCs w:val="18"/>
          <w:bdr w:val="none" w:color="auto" w:sz="0" w:space="0"/>
          <w:shd w:val="clear" w:fill="FFFFFF"/>
        </w:rPr>
        <w:t>第四十六条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"https://baike.baidu.com/item/%E6%97%A0%E5%BD%A2%E8%B5%84%E4%BA%A7"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无形资产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应当自取得当月起在预计使用年限内分期平均</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"https://baike.baidu.com/item/%E6%91%8A%E9%94%80"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摊销</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，计入当期费用。如预计使用年限超过了相关合同规定的受益年限或法律规定的有效年限，该无形资产的摊销年限按如下原则确定：</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（一）合同规定了受益年限但法律没有规定有效年限的，摊销期不应超过合同规定的受益年限；</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（二）合同没有规定受益年限但法律规定了有效年限的，摊销期不应超过法律规定的有效年限；</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（三）合同规定了受益年限，法律也规定了有效年限的，摊销期不应超过受益年限和有效年限两者之中较短者。</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如果合同没有规定受益年限，法律也没有规定有效年限的，摊销期不应超过10年。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83" w:name="2_34"/>
      <w:bookmarkEnd w:id="183"/>
      <w:bookmarkStart w:id="184" w:name="sub2370155_2_34"/>
      <w:bookmarkEnd w:id="184"/>
      <w:bookmarkStart w:id="185" w:name="第四十七条"/>
      <w:bookmarkEnd w:id="185"/>
      <w:bookmarkStart w:id="186" w:name="2-34"/>
      <w:bookmarkEnd w:id="186"/>
      <w:r>
        <w:rPr>
          <w:i w:val="0"/>
          <w:iCs w:val="0"/>
          <w:caps w:val="0"/>
          <w:color w:val="auto"/>
          <w:spacing w:val="0"/>
          <w:sz w:val="18"/>
          <w:szCs w:val="18"/>
          <w:bdr w:val="none" w:color="auto" w:sz="0" w:space="0"/>
          <w:shd w:val="clear" w:fill="FFFFFF"/>
        </w:rPr>
        <w:t>第四十七条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民间非营利组织处置无形资产，应当将实际取得的价款与该项无形资产的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"https://baike.baidu.com/item/%E8%B4%A6%E9%9D%A2%E4%BB%B7%E5%80%BC"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账面价值</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之间的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"https://baike.baidu.com/item/%E5%B7%AE%E9%A2%9D"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差额</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，计入当期收入或者费用。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87" w:name="2_35"/>
      <w:bookmarkEnd w:id="187"/>
      <w:bookmarkStart w:id="188" w:name="sub2370155_2_35"/>
      <w:bookmarkEnd w:id="188"/>
      <w:bookmarkStart w:id="189" w:name="第四十八条"/>
      <w:bookmarkEnd w:id="189"/>
      <w:bookmarkStart w:id="190" w:name="2-35"/>
      <w:bookmarkEnd w:id="190"/>
      <w:r>
        <w:rPr>
          <w:i w:val="0"/>
          <w:iCs w:val="0"/>
          <w:caps w:val="0"/>
          <w:color w:val="auto"/>
          <w:spacing w:val="0"/>
          <w:sz w:val="18"/>
          <w:szCs w:val="18"/>
          <w:bdr w:val="none" w:color="auto" w:sz="0" w:space="0"/>
          <w:shd w:val="clear" w:fill="FFFFFF"/>
        </w:rPr>
        <w:t>第四十八条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受托代理资产，是指民间非营利组织因从事受托代理交易而从委托方取得的资产。在受托代理交易过程中，民间非营利组织通常只是从委托方收到受托资产，并按照委托人的意愿将资产转赠给指定的其他组织或者个人，或者按照有关规定将资产转交给指定的其他组织或者个人，民间非营利组织本身只是在交易过程中起中介作用。无权改变受托代理资产的用途或者变更受益人。</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民间非营利组织应当对受托代理资产比照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"https://baike.baidu.com/item/%E6%8E%A5%E5%8F%97%E6%8D%90%E8%B5%A0%E8%B5%84%E4%BA%A7"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接受捐赠资产</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的原则进行确认和计量原则，但在确认一项受托代理资产时，应当同时确认一项受托代理负债。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50" w:beforeAutospacing="0" w:after="150" w:afterAutospacing="0" w:line="240" w:lineRule="atLeast"/>
        <w:ind w:left="-300" w:right="0"/>
        <w:rPr>
          <w:color w:val="auto"/>
          <w:sz w:val="18"/>
          <w:szCs w:val="18"/>
        </w:rPr>
      </w:pPr>
      <w:bookmarkStart w:id="191" w:name="3"/>
      <w:bookmarkEnd w:id="191"/>
      <w:bookmarkStart w:id="192" w:name="sub2370155_3"/>
      <w:bookmarkEnd w:id="192"/>
      <w:bookmarkStart w:id="193" w:name="负债"/>
      <w:bookmarkEnd w:id="193"/>
      <w:r>
        <w:rPr>
          <w:i w:val="0"/>
          <w:iCs w:val="0"/>
          <w:caps w:val="0"/>
          <w:color w:val="auto"/>
          <w:spacing w:val="0"/>
          <w:sz w:val="18"/>
          <w:szCs w:val="18"/>
          <w:bdr w:val="none" w:color="auto" w:sz="0" w:space="0"/>
          <w:shd w:val="clear" w:fill="FFFFFF"/>
        </w:rPr>
        <w:t>负债</w:t>
      </w:r>
    </w:p>
    <w:p>
      <w:pPr>
        <w:keepNext w:val="0"/>
        <w:keepLines w:val="0"/>
        <w:widowControl/>
        <w:suppressLineNumbers w:val="0"/>
        <w:pBdr>
          <w:left w:val="single" w:color="4F9CEE" w:sz="48" w:space="0"/>
        </w:pBdr>
        <w:shd w:val="clear" w:fill="FFFFFF"/>
        <w:spacing w:before="350" w:beforeAutospacing="0" w:after="150" w:afterAutospacing="0" w:line="240" w:lineRule="atLeast"/>
        <w:ind w:left="-300" w:right="0" w:firstLine="0"/>
        <w:jc w:val="left"/>
        <w:rPr>
          <w:rFonts w:hint="eastAsia" w:ascii="微软雅黑" w:hAnsi="微软雅黑" w:eastAsia="微软雅黑" w:cs="微软雅黑"/>
          <w:i w:val="0"/>
          <w:iCs w:val="0"/>
          <w:caps w:val="0"/>
          <w:color w:val="auto"/>
          <w:spacing w:val="0"/>
          <w:sz w:val="18"/>
          <w:szCs w:val="18"/>
        </w:rPr>
      </w:pP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begin"/>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instrText xml:space="preserve"> HYPERLINK "https://baike.baidu.com/item/%E6%B0%91%E9%97%B4%E9%9D%9E%E8%90%A5%E5%88%A9%E7%BB%84%E7%BB%87%E4%BC%9A%E8%AE%A1%E5%88%B6%E5%BA%A6/javascript:;" </w:instrText>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separate"/>
      </w:r>
      <w:r>
        <w:rPr>
          <w:rStyle w:val="6"/>
          <w:rFonts w:ascii="宋体" w:hAnsi="宋体" w:eastAsia="宋体" w:cs="宋体"/>
          <w:i w:val="0"/>
          <w:iCs w:val="0"/>
          <w:caps w:val="0"/>
          <w:color w:val="auto"/>
          <w:spacing w:val="0"/>
          <w:sz w:val="18"/>
          <w:szCs w:val="18"/>
          <w:u w:val="none"/>
          <w:bdr w:val="none" w:color="auto" w:sz="0" w:space="0"/>
          <w:shd w:val="clear" w:fill="FFFFFF"/>
        </w:rPr>
        <w:t>编辑</w:t>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end"/>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begin"/>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instrText xml:space="preserve"> HYPERLINK "https://baike.baidu.com/item/%E6%B0%91%E9%97%B4%E9%9D%9E%E8%90%A5%E5%88%A9%E7%BB%84%E7%BB%87%E4%BC%9A%E8%AE%A1%E5%88%B6%E5%BA%A6/javascript:;" </w:instrText>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separate"/>
      </w:r>
      <w:r>
        <w:rPr>
          <w:rStyle w:val="6"/>
          <w:rFonts w:ascii="宋体" w:hAnsi="宋体" w:eastAsia="宋体" w:cs="宋体"/>
          <w:i w:val="0"/>
          <w:iCs w:val="0"/>
          <w:caps w:val="0"/>
          <w:color w:val="auto"/>
          <w:spacing w:val="0"/>
          <w:sz w:val="18"/>
          <w:szCs w:val="18"/>
          <w:u w:val="none"/>
          <w:bdr w:val="none" w:color="auto" w:sz="0" w:space="0"/>
          <w:shd w:val="clear" w:fill="FFFFFF"/>
        </w:rPr>
        <w:t> 语音</w:t>
      </w:r>
      <w:r>
        <w:rPr>
          <w:rFonts w:ascii="宋体" w:hAnsi="宋体" w:eastAsia="宋体" w:cs="宋体"/>
          <w:i w:val="0"/>
          <w:iCs w:val="0"/>
          <w:caps w:val="0"/>
          <w:color w:val="auto"/>
          <w:spacing w:val="0"/>
          <w:kern w:val="0"/>
          <w:sz w:val="18"/>
          <w:szCs w:val="18"/>
          <w:u w:val="none"/>
          <w:bdr w:val="single" w:color="4F9CEE" w:sz="48"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94" w:name="3_1"/>
      <w:bookmarkEnd w:id="194"/>
      <w:bookmarkStart w:id="195" w:name="sub2370155_3_1"/>
      <w:bookmarkEnd w:id="195"/>
      <w:bookmarkStart w:id="196" w:name="第四十九条"/>
      <w:bookmarkEnd w:id="196"/>
      <w:bookmarkStart w:id="197" w:name="3-1"/>
      <w:bookmarkEnd w:id="197"/>
      <w:r>
        <w:rPr>
          <w:i w:val="0"/>
          <w:iCs w:val="0"/>
          <w:caps w:val="0"/>
          <w:color w:val="auto"/>
          <w:spacing w:val="0"/>
          <w:sz w:val="18"/>
          <w:szCs w:val="18"/>
          <w:bdr w:val="none" w:color="auto" w:sz="0" w:space="0"/>
          <w:shd w:val="clear" w:fill="FFFFFF"/>
        </w:rPr>
        <w:t>第四十九条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负债是指过去的交易或者事项形成的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"https://baike.baidu.com/item/%E7%8E%B0%E6%97%B6%E4%B9%89%E5%8A%A1"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现时义务</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，履行该义务预期会导致含有经济利益或者服务潜力的资源流出民间非营利组织。负债应当按其流动性分为流动负债、长期负债和受托代理负债等。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198" w:name="3_2"/>
      <w:bookmarkEnd w:id="198"/>
      <w:bookmarkStart w:id="199" w:name="sub2370155_3_2"/>
      <w:bookmarkEnd w:id="199"/>
      <w:bookmarkStart w:id="200" w:name="第五十条"/>
      <w:bookmarkEnd w:id="200"/>
      <w:bookmarkStart w:id="201" w:name="3-2"/>
      <w:bookmarkEnd w:id="201"/>
      <w:r>
        <w:rPr>
          <w:i w:val="0"/>
          <w:iCs w:val="0"/>
          <w:caps w:val="0"/>
          <w:color w:val="auto"/>
          <w:spacing w:val="0"/>
          <w:sz w:val="18"/>
          <w:szCs w:val="18"/>
          <w:bdr w:val="none" w:color="auto" w:sz="0" w:space="0"/>
          <w:shd w:val="clear" w:fill="FFFFFF"/>
        </w:rPr>
        <w:t>第五十条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"https://baike.baidu.com/item/%E6%88%96%E6%9C%89%E4%BA%8B%E9%A1%B9"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或有事项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是指过去的交易或者事项形成的一种状况，其结果须通过未来不确定事项的发生或不发生予以证实。</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如果与或有事项相关的义务同时符合以下条件，应当将其确认为负债，以清偿该负债所需支出的最佳估计数予以计量，并在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"https://baike.baidu.com/item/%E8%B5%84%E4%BA%A7%E8%B4%9F%E5%80%BA%E8%A1%A8"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资产负债表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中单列项目予以反映：</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（一）该义务是民间非营利组织承担的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"https://baike.baidu.com/item/%E7%8E%B0%E6%97%B6%E4%B9%89%E5%8A%A1"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现时义务</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（二）该义务的履行很可能导致含有经济利益或者服务潜力的资源流出民间非营利组织；</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（三）该义务的金额能够可靠地计量。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202" w:name="3_3"/>
      <w:bookmarkEnd w:id="202"/>
      <w:bookmarkStart w:id="203" w:name="sub2370155_3_3"/>
      <w:bookmarkEnd w:id="203"/>
      <w:bookmarkStart w:id="204" w:name="第五十一条"/>
      <w:bookmarkEnd w:id="204"/>
      <w:bookmarkStart w:id="205" w:name="3-3"/>
      <w:bookmarkEnd w:id="205"/>
      <w:r>
        <w:rPr>
          <w:i w:val="0"/>
          <w:iCs w:val="0"/>
          <w:caps w:val="0"/>
          <w:color w:val="auto"/>
          <w:spacing w:val="0"/>
          <w:sz w:val="18"/>
          <w:szCs w:val="18"/>
          <w:bdr w:val="none" w:color="auto" w:sz="0" w:space="0"/>
          <w:shd w:val="clear" w:fill="FFFFFF"/>
        </w:rPr>
        <w:t>第五十一条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流动负债是指将在1年内（含1年）偿还的负债，包括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"https://baike.baidu.com/item/%E7%9F%AD%E6%9C%9F%E5%80%9F%E6%AC%BE"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短期借款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、应付款项、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"https://baike.baidu.com/item/%E5%BA%94%E4%BB%98%E5%B7%A5%E8%B5%84"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应付工资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"https://baike.baidu.com/item/%E5%BA%94%E4%BA%A4%E7%A8%8E%E9%87%91"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应交税金</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"https://baike.baidu.com/item/%E9%A2%84%E6%94%B6%E8%B4%A6%E6%AC%BE"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预收账款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"https://baike.baidu.com/item/%E9%A2%84%E6%8F%90%E8%B4%B9%E7%94%A8"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预提费用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"https://baike.baidu.com/item/%E9%A2%84%E8%AE%A1%E8%B4%9F%E5%80%BA"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预计负债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（一）短期借款是指民间非营利组织向银行或其他金融机构等借入的期限在1年以下（含1年）的各种借款。</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（二）应付款项是指民间非营利组织在日常业务活动过程中发生的各项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"https://baike.baidu.com/item/%E5%BA%94%E4%BB%98%E7%A5%A8%E6%8D%AE"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应付票据</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"https://baike.baidu.com/item/%E5%BA%94%E4%BB%98%E8%B4%A6%E6%AC%BE"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应付账款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"https://baike.baidu.com/item/%E5%85%B6%E4%BB%96%E5%BA%94%E4%BB%98%E6%AC%BE"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其他应付款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等应付未付款项。</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（三）应付工资是指民间非营利组织应付未付的员工工资。</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（四）应交税金是指民间非营利组织应交未交的各种</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"https://baike.baidu.com/item/%E7%A8%8E%E8%B4%B9"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税费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（五）预收账款是指民间非营利组织向服务和商品购买单位预收的各种款项。</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（六）</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"https://baike.baidu.com/item/%E9%A2%84%E6%8F%90%E8%B4%B9%E7%94%A8"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预提费用</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是指民间非营利组织预先提取的已经发生但尚未支付的费用，如预提的租金、保险费、借款利息等。</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（七）</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"https://baike.baidu.com/item/%E9%A2%84%E8%AE%A1%E8%B4%9F%E5%80%BA"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预计负债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是指民间非营利组织对因</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"https://baike.baidu.com/item/%E6%88%96%E6%9C%89%E4%BA%8B%E9%A1%B9"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或有事项</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所产生的</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"https://baike.baidu.com/item/%E7%8E%B0%E6%97%B6%E4%B9%89%E5%8A%A1"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现时义务</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而确认的负债。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206" w:name="3_4"/>
      <w:bookmarkEnd w:id="206"/>
      <w:bookmarkStart w:id="207" w:name="sub2370155_3_4"/>
      <w:bookmarkEnd w:id="207"/>
      <w:bookmarkStart w:id="208" w:name="第五十二条"/>
      <w:bookmarkEnd w:id="208"/>
      <w:bookmarkStart w:id="209" w:name="3-4"/>
      <w:bookmarkEnd w:id="209"/>
      <w:r>
        <w:rPr>
          <w:i w:val="0"/>
          <w:iCs w:val="0"/>
          <w:caps w:val="0"/>
          <w:color w:val="auto"/>
          <w:spacing w:val="0"/>
          <w:sz w:val="18"/>
          <w:szCs w:val="18"/>
          <w:bdr w:val="none" w:color="auto" w:sz="0" w:space="0"/>
          <w:shd w:val="clear" w:fill="FFFFFF"/>
        </w:rPr>
        <w:t>第五十二条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各项流动负债应当按实际发生额入账。</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"https://baike.baidu.com/item/%E7%9F%AD%E6%9C%9F%E5%80%9F%E6%AC%BE"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短期借款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应当按照借款本金和确定的利率按期</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"https://baike.baidu.com/item/%E8%AE%A1%E6%8F%90%E5%88%A9%E6%81%AF"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计提利息</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，计入当期费用。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210" w:name="3_5"/>
      <w:bookmarkEnd w:id="210"/>
      <w:bookmarkStart w:id="211" w:name="sub2370155_3_5"/>
      <w:bookmarkEnd w:id="211"/>
      <w:bookmarkStart w:id="212" w:name="第五十三条"/>
      <w:bookmarkEnd w:id="212"/>
      <w:bookmarkStart w:id="213" w:name="3-5"/>
      <w:bookmarkEnd w:id="213"/>
      <w:r>
        <w:rPr>
          <w:i w:val="0"/>
          <w:iCs w:val="0"/>
          <w:caps w:val="0"/>
          <w:color w:val="auto"/>
          <w:spacing w:val="0"/>
          <w:sz w:val="18"/>
          <w:szCs w:val="18"/>
          <w:bdr w:val="none" w:color="auto" w:sz="0" w:space="0"/>
          <w:shd w:val="clear" w:fill="FFFFFF"/>
        </w:rPr>
        <w:t>第五十三条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长期负债是指偿还期限在1年以上（不含1年）的负债，包括</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"https://baike.baidu.com/item/%E9%95%BF%E6%9C%9F%E5%80%9F%E6%AC%BE"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长期借款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"https://baike.baidu.com/item/%E9%95%BF%E6%9C%9F%E5%BA%94%E4%BB%98%E6%AC%BE"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长期应付款</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和</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begin"/>
      </w:r>
      <w:r>
        <w:rPr>
          <w:rFonts w:hint="default" w:ascii="Arial" w:hAnsi="Arial" w:eastAsia="宋体" w:cs="Arial"/>
          <w:i w:val="0"/>
          <w:iCs w:val="0"/>
          <w:caps w:val="0"/>
          <w:color w:val="auto"/>
          <w:spacing w:val="0"/>
          <w:kern w:val="0"/>
          <w:sz w:val="18"/>
          <w:szCs w:val="18"/>
          <w:u w:val="none"/>
          <w:shd w:val="clear" w:fill="FFFFFF"/>
          <w:lang w:val="en-US" w:eastAsia="zh-CN" w:bidi="ar"/>
        </w:rPr>
        <w:instrText xml:space="preserve"> HYPERLINK "https://baike.baidu.com/item/%E5%85%B6%E4%BB%96%E9%95%BF%E6%9C%9F%E8%B4%9F%E5%80%BA" \t "https://baike.baidu.com/item/%E6%B0%91%E9%97%B4%E9%9D%9E%E8%90%A5%E5%88%A9%E7%BB%84%E7%BB%87%E4%BC%9A%E8%AE%A1%E5%88%B6%E5%BA%A6/_blank" </w:instrTex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separate"/>
      </w:r>
      <w:r>
        <w:rPr>
          <w:rStyle w:val="6"/>
          <w:rFonts w:hint="default" w:ascii="Arial" w:hAnsi="Arial" w:eastAsia="宋体" w:cs="Arial"/>
          <w:i w:val="0"/>
          <w:iCs w:val="0"/>
          <w:caps w:val="0"/>
          <w:color w:val="auto"/>
          <w:spacing w:val="0"/>
          <w:sz w:val="18"/>
          <w:szCs w:val="18"/>
          <w:u w:val="none"/>
          <w:shd w:val="clear" w:fill="FFFFFF"/>
        </w:rPr>
        <w:t>其他长期负债</w:t>
      </w:r>
      <w:r>
        <w:rPr>
          <w:rFonts w:hint="default" w:ascii="Arial" w:hAnsi="Arial" w:eastAsia="宋体" w:cs="Arial"/>
          <w:i w:val="0"/>
          <w:iCs w:val="0"/>
          <w:caps w:val="0"/>
          <w:color w:val="auto"/>
          <w:spacing w:val="0"/>
          <w:kern w:val="0"/>
          <w:sz w:val="18"/>
          <w:szCs w:val="18"/>
          <w:u w:val="none"/>
          <w:shd w:val="clear" w:fill="FFFFFF"/>
          <w:lang w:val="en-US" w:eastAsia="zh-CN" w:bidi="ar"/>
        </w:rPr>
        <w:fldChar w:fldCharType="end"/>
      </w:r>
      <w:r>
        <w:rPr>
          <w:rFonts w:hint="default" w:ascii="Arial" w:hAnsi="Arial" w:eastAsia="宋体" w:cs="Arial"/>
          <w:i w:val="0"/>
          <w:iCs w:val="0"/>
          <w:caps w:val="0"/>
          <w:color w:val="auto"/>
          <w:spacing w:val="0"/>
          <w:kern w:val="0"/>
          <w:sz w:val="18"/>
          <w:szCs w:val="18"/>
          <w:shd w:val="clear" w:fill="FFFFFF"/>
          <w:lang w:val="en-US" w:eastAsia="zh-CN" w:bidi="ar"/>
        </w:rPr>
        <w:t>。</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（一）长期借款是指民间非营利组织向银行或其他金融机构等借入的期限在1年以上（不含1年）的各种借款。</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（二）长期应付款主要是指民间非营利组织融资租入固定资产发生的应付租赁款。</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（三）其他长期负债是指除长期借款和长期应付款外的长期负债。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214" w:name="3_6"/>
      <w:bookmarkEnd w:id="214"/>
      <w:bookmarkStart w:id="215" w:name="sub2370155_3_6"/>
      <w:bookmarkEnd w:id="215"/>
      <w:bookmarkStart w:id="216" w:name="第五十四条"/>
      <w:bookmarkEnd w:id="216"/>
      <w:bookmarkStart w:id="217" w:name="3-6"/>
      <w:bookmarkEnd w:id="217"/>
      <w:r>
        <w:rPr>
          <w:i w:val="0"/>
          <w:iCs w:val="0"/>
          <w:caps w:val="0"/>
          <w:color w:val="auto"/>
          <w:spacing w:val="0"/>
          <w:sz w:val="18"/>
          <w:szCs w:val="18"/>
          <w:bdr w:val="none" w:color="auto" w:sz="0" w:space="0"/>
          <w:shd w:val="clear" w:fill="FFFFFF"/>
        </w:rPr>
        <w:t>第五十四条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各项长期负债应当按实际发生额入账。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00" w:beforeAutospacing="0" w:after="120" w:afterAutospacing="0" w:line="200" w:lineRule="atLeast"/>
        <w:ind w:left="0" w:right="0"/>
        <w:rPr>
          <w:color w:val="auto"/>
          <w:sz w:val="18"/>
          <w:szCs w:val="18"/>
        </w:rPr>
      </w:pPr>
      <w:bookmarkStart w:id="218" w:name="3_7"/>
      <w:bookmarkEnd w:id="218"/>
      <w:bookmarkStart w:id="219" w:name="sub2370155_3_7"/>
      <w:bookmarkEnd w:id="219"/>
      <w:bookmarkStart w:id="220" w:name="第五十五条"/>
      <w:bookmarkEnd w:id="220"/>
      <w:bookmarkStart w:id="221" w:name="3-7"/>
      <w:bookmarkEnd w:id="221"/>
      <w:r>
        <w:rPr>
          <w:i w:val="0"/>
          <w:iCs w:val="0"/>
          <w:caps w:val="0"/>
          <w:color w:val="auto"/>
          <w:spacing w:val="0"/>
          <w:sz w:val="18"/>
          <w:szCs w:val="18"/>
          <w:bdr w:val="none" w:color="auto" w:sz="0" w:space="0"/>
          <w:shd w:val="clear" w:fill="FFFFFF"/>
        </w:rPr>
        <w:t>第五十五条</w:t>
      </w:r>
    </w:p>
    <w:p>
      <w:pPr>
        <w:keepNext w:val="0"/>
        <w:keepLines w:val="0"/>
        <w:widowControl/>
        <w:suppressLineNumbers w:val="0"/>
        <w:shd w:val="clear" w:fill="FFFFFF"/>
        <w:spacing w:after="150" w:afterAutospacing="0" w:line="240" w:lineRule="atLeast"/>
        <w:ind w:left="0" w:firstLine="420"/>
        <w:jc w:val="left"/>
        <w:rPr>
          <w:rFonts w:hint="default" w:ascii="Arial" w:hAnsi="Arial" w:cs="Arial"/>
          <w:i w:val="0"/>
          <w:iCs w:val="0"/>
          <w:caps w:val="0"/>
          <w:color w:val="auto"/>
          <w:spacing w:val="0"/>
          <w:sz w:val="18"/>
          <w:szCs w:val="18"/>
        </w:rPr>
      </w:pPr>
      <w:r>
        <w:rPr>
          <w:rFonts w:hint="default" w:ascii="Arial" w:hAnsi="Arial" w:eastAsia="宋体" w:cs="Arial"/>
          <w:i w:val="0"/>
          <w:iCs w:val="0"/>
          <w:caps w:val="0"/>
          <w:color w:val="auto"/>
          <w:spacing w:val="0"/>
          <w:kern w:val="0"/>
          <w:sz w:val="18"/>
          <w:szCs w:val="18"/>
          <w:shd w:val="clear" w:fill="FFFFFF"/>
          <w:lang w:val="en-US" w:eastAsia="zh-CN" w:bidi="ar"/>
        </w:rPr>
        <w:t>受托代理负债是指民间非营利组织因从事受托代理业务、接受受托代理资产而产生的负债。受托代理负债应当按照相对应的受托代理资产的金额予以确认和计量。</w:t>
      </w:r>
    </w:p>
    <w:p>
      <w:pPr>
        <w:rPr>
          <w:color w:val="auto"/>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25EF4"/>
    <w:rsid w:val="05693CDA"/>
    <w:rsid w:val="17966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Office_11.1.0.10667_F1E327BC-269C-435d-A152-05C5408002CA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jixl2</dc:creator>
  <cp:lastModifiedBy>zhengyiiiiii</cp:lastModifiedBy>
  <dcterms:modified xsi:type="dcterms:W3CDTF">2021-08-06T07:46:48Z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D18E4BDD18A34EAB98B22C6370B36814</vt:lpwstr>
  </property>
</Properties>
</file>