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微软雅黑" w:hAnsi="微软雅黑" w:eastAsia="微软雅黑"/>
          <w:b/>
          <w:color w:val="0A2A5E"/>
          <w:sz w:val="60"/>
        </w:rPr>
        <w:t>智 启 新 质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A8801A"/>
          <w:sz w:val="28"/>
        </w:rPr>
        <w:t>人工智能赋能新质生产力 · 全景数据观察</w:t>
      </w:r>
    </w:p>
    <w:p>
      <w:pPr>
        <w:spacing w:after="600"/>
        <w:jc w:val="center"/>
      </w:pPr>
      <w:r>
        <w:rPr>
          <w:rFonts w:ascii="微软雅黑" w:hAnsi="微软雅黑" w:eastAsia="微软雅黑"/>
          <w:b/>
          <w:color w:val="0A2A5E"/>
          <w:sz w:val="38"/>
        </w:rPr>
        <w:t>网站关键亮点说明</w:t>
      </w:r>
    </w:p>
    <w:p>
      <w:pPr>
        <w:spacing w:after="800"/>
        <w:jc w:val="center"/>
      </w:pPr>
      <w:r>
        <w:rPr>
          <w:rFonts w:ascii="微软雅黑" w:hAnsi="微软雅黑" w:eastAsia="微软雅黑"/>
          <w:b w:val="0"/>
          <w:color w:val="5A6B82"/>
          <w:sz w:val="20"/>
        </w:rPr>
        <w:t>AI · NEW PRODUCTIVE FORCES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30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网站名称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智启新质 · 人工智能赋能新质生产力全景数据观察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在线地址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https://wangling1206.github.io/ai-new-productive-forces/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页面数量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4 个（总览 / 翻页演示 / 数据看板 / 数据来源）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可视化结构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堆叠式滚动叙事 · 翻页式演示 · 响应式数据看板 · 双主题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可视化形式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20 余种（12 类图表 + 8 类自研可视化）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数据来源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24 项权威来源（政府统计 / 研究机构 / 国际组织 / 权威媒体）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数据时间跨度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2019 — 2026 年，数据截至 2026 年 10 月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技术栈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HTML / CSS / 原生 JavaScript + Apache ECharts 5.5.1（本地化）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交付日期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2026 年 10 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60"/>
        <w:pBdr>
          <w:bottom w:val="single" w:sz="10" w:color="D8AE4E"/>
        </w:pBdr>
      </w:pPr>
      <w:r>
        <w:rPr>
          <w:rFonts w:ascii="微软雅黑" w:hAnsi="微软雅黑" w:eastAsia="微软雅黑"/>
          <w:b/>
          <w:color w:val="0A2A5E"/>
          <w:sz w:val="30"/>
        </w:rPr>
        <w:t>一、设计立意：为什么用"人工智能 × 新质生产力"这个命题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color w:val="1A1A1A"/>
          <w:sz w:val="21"/>
        </w:rPr>
        <w:t>新质生产力是创新起主导作用、具有高科技、高效能、高质量特征、以全要素生产率大幅提升为核心标志的先进生产力质态。而人工智能是当下唯一同时改变劳动资料（算力与算法）、劳动对象（数据要素）与劳动者（人机协同）的技术变量——这正是新质生产力"以劳动者、劳动资料、劳动对象及其优化组合的跃升为基本内涵"的当代注脚。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color w:val="1A1A1A"/>
          <w:sz w:val="21"/>
        </w:rPr>
        <w:t>因此，本网站没有停留在"人工智能很厉害"的泛泛表述上，而是建立了一条完整的论证链：底座（算力与网络）→ 规模（产业与经营主体）→ 效率（实体经济的实测改进）→ 人的维度（就业与人才结构）→ 政策路径（"人工智能+"行动）。每一环都用可核查的数据说话，并逐条标注来源与统计口径。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A8801A"/>
          <w:sz w:val="24"/>
        </w:rPr>
        <w:t>网站的三个核心判断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它是通用目的技术——</w:t>
      </w:r>
      <w:r>
        <w:rPr>
          <w:rFonts w:ascii="微软雅黑" w:hAnsi="微软雅黑" w:eastAsia="微软雅黑"/>
          <w:b w:val="0"/>
          <w:color w:val="1A1A1A"/>
          <w:sz w:val="21"/>
        </w:rPr>
        <w:t>人工智能可渗透几乎所有行业，符合新质生产力对"技术革命性突破"的要求。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它同时改变三要素——</w:t>
      </w:r>
      <w:r>
        <w:rPr>
          <w:rFonts w:ascii="微软雅黑" w:hAnsi="微软雅黑" w:eastAsia="微软雅黑"/>
          <w:b w:val="0"/>
          <w:color w:val="1A1A1A"/>
          <w:sz w:val="21"/>
        </w:rPr>
        <w:t>算力成为新的劳动资料、数据成为新的劳动对象、人机协同重塑劳动者，三者同时跃升。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它的落点是全要素生产率——</w:t>
      </w:r>
      <w:r>
        <w:rPr>
          <w:rFonts w:ascii="微软雅黑" w:hAnsi="微软雅黑" w:eastAsia="微软雅黑"/>
          <w:b w:val="0"/>
          <w:color w:val="1A1A1A"/>
          <w:sz w:val="21"/>
        </w:rPr>
        <w:t>产业规模、效率改进、就业结构三条证据链共同指向全要素生产率的系统性提升。</w:t>
      </w:r>
    </w:p>
    <w:p>
      <w:pPr>
        <w:spacing w:before="320" w:after="160"/>
        <w:pBdr>
          <w:bottom w:val="single" w:sz="10" w:color="D8AE4E"/>
        </w:pBdr>
      </w:pPr>
      <w:r>
        <w:rPr>
          <w:rFonts w:ascii="微软雅黑" w:hAnsi="微软雅黑" w:eastAsia="微软雅黑"/>
          <w:b/>
          <w:color w:val="0A2A5E"/>
          <w:sz w:val="30"/>
        </w:rPr>
        <w:t>二、网站结构总览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1361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535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核心内容</w:t>
            </w:r>
          </w:p>
        </w:tc>
        <w:tc>
          <w:tcPr>
            <w:tcW w:type="dxa" w:w="1474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承担的"结构"要求</w:t>
            </w:r>
          </w:p>
        </w:tc>
      </w:tr>
      <w:tr>
        <w:tc>
          <w:tcPr>
            <w:tcW w:type="dxa" w:w="113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总览</w:t>
            </w:r>
          </w:p>
        </w:tc>
        <w:tc>
          <w:tcPr>
            <w:tcW w:type="dxa" w:w="136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index.html</w:t>
            </w:r>
          </w:p>
        </w:tc>
        <w:tc>
          <w:tcPr>
            <w:tcW w:type="dxa" w:w="453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封面（Canvas 神经网络动态背景）→ 核心论点 → 六章滚动叙事（理论坐标 / 底座跃升 / 规模扩张 / 产业转型 / 人的维度 / 未来路径）→ 数据口径说明 → 结语</w:t>
            </w:r>
          </w:p>
        </w:tc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堆叠式结构</w:t>
            </w:r>
          </w:p>
        </w:tc>
      </w:tr>
      <w:tr>
        <w:tc>
          <w:tcPr>
            <w:tcW w:type="dxa" w:w="113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翻页演示</w:t>
            </w:r>
          </w:p>
        </w:tc>
        <w:tc>
          <w:tcPr>
            <w:tcW w:type="dxa" w:w="136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deck.html</w:t>
            </w:r>
          </w:p>
        </w:tc>
        <w:tc>
          <w:tcPr>
            <w:tcW w:type="dxa" w:w="453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17 页全屏演示，每页一种可视化；支持键盘、滚轮、触屏、目录跳转、自动播放、全屏</w:t>
            </w:r>
          </w:p>
        </w:tc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翻页式结构</w:t>
            </w:r>
          </w:p>
        </w:tc>
      </w:tr>
      <w:tr>
        <w:tc>
          <w:tcPr>
            <w:tcW w:type="dxa" w:w="113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数据看板</w:t>
            </w:r>
          </w:p>
        </w:tc>
        <w:tc>
          <w:tcPr>
            <w:tcW w:type="dxa" w:w="136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dashboard.html</w:t>
            </w:r>
          </w:p>
        </w:tc>
        <w:tc>
          <w:tcPr>
            <w:tcW w:type="dxa" w:w="453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8 张核心指标卡 + 12 组图表 + 4 张数据表；支持分类筛选、图表/数据表双视图、打印导出</w:t>
            </w:r>
          </w:p>
        </w:tc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响应式结构</w:t>
            </w:r>
          </w:p>
        </w:tc>
      </w:tr>
      <w:tr>
        <w:tc>
          <w:tcPr>
            <w:tcW w:type="dxa" w:w="113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数据来源</w:t>
            </w:r>
          </w:p>
        </w:tc>
        <w:tc>
          <w:tcPr>
            <w:tcW w:type="dxa" w:w="136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sources.html</w:t>
            </w:r>
          </w:p>
        </w:tc>
        <w:tc>
          <w:tcPr>
            <w:tcW w:type="dxa" w:w="4535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24 项来源清单（含原文链接）、来源可信度分级、5 处口径差异说明、引用格式、技术实现说明</w:t>
            </w:r>
          </w:p>
        </w:tc>
        <w:tc>
          <w:tcPr>
            <w:tcW w:type="dxa" w:w="147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方法论支撑</w:t>
            </w:r>
          </w:p>
        </w:tc>
      </w:tr>
    </w:tbl>
    <w:p>
      <w:pPr>
        <w:spacing w:after="0"/>
      </w:pPr>
    </w:p>
    <w:p>
      <w:pPr>
        <w:spacing w:before="320" w:after="160"/>
        <w:pBdr>
          <w:bottom w:val="single" w:sz="10" w:color="D8AE4E"/>
        </w:pBdr>
      </w:pPr>
      <w:r>
        <w:rPr>
          <w:rFonts w:ascii="微软雅黑" w:hAnsi="微软雅黑" w:eastAsia="微软雅黑"/>
          <w:b/>
          <w:color w:val="0A2A5E"/>
          <w:sz w:val="30"/>
        </w:rPr>
        <w:t>三、四种可视化结构（对课程要求的逐项落实）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A8801A"/>
          <w:sz w:val="24"/>
        </w:rPr>
        <w:t>1. 堆叠式结构 —— 总览页的滚动叙事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color w:val="1A1A1A"/>
          <w:sz w:val="21"/>
        </w:rPr>
        <w:t>这是网站的技术难点与视觉核心。总览页的第二章、第三章采用"滚动叙事（Scrollytelling）"结构：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右侧是一块粘性（sticky）仪表盘，内部以"堆叠"方式纵向排列四行指标（算力总规模 / 智能算力 / 5G基站 / 万卡级智算集群）。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左侧文字随滚动推进；当阅读到某一指标时，右侧堆叠列表中对应行自动高亮（金色边框 + 位移 + 透明度变化），其余行淡出。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同时，堆叠仪表盘下方的详情图会随当前指标切换：算力用渐变柱状图、智能算力用带"口径变更"标注的对比柱、5G基站用面积折线、集群用容量计量条。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点击堆叠行可直接跳转到对应步骤，形成双向联动。</w:t>
      </w:r>
    </w:p>
    <w:p>
      <w:pPr>
        <w:spacing w:after="200"/>
        <w:ind w:left="283"/>
      </w:pPr>
      <w:r>
        <w:rPr>
          <w:rFonts w:ascii="微软雅黑" w:hAnsi="微软雅黑" w:eastAsia="微软雅黑"/>
          <w:b w:val="0"/>
          <w:color w:val="5A6B82"/>
          <w:sz w:val="18"/>
        </w:rPr>
        <w:t>技术实现：IntersectionObserver 判定当前步骤 + ECharts setOption 增量切换 + 自研 SVG 迷你走势图，三者在同一容器内协同。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A8801A"/>
          <w:sz w:val="24"/>
        </w:rPr>
        <w:t>2. 翻页式结构 —— 17 页全屏演示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color w:val="1A1A1A"/>
          <w:sz w:val="21"/>
        </w:rPr>
        <w:t>翻页演示把整份报告压缩为 17 页，每页一个论点、一种可视化，适合课堂讲解与汇报场景。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导航方式：左右方向键 / 上下方向键 / 空格 / PageUp、PageDown / 鼠标滚轮 / 触屏滑动 / 底部按钮 / 目录浮层直接跳转。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快捷键：S 呼出目录、P 自动播放（7 秒一页）、F 全屏、Home / End 跳转首尾页。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视觉反馈：方向感知的滑动过渡、底部 17 段进度刻度、页码计数、顶部章节标签与页码。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A8801A"/>
          <w:sz w:val="24"/>
        </w:rPr>
        <w:t>3. 响应式结构 —— 数据看板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color w:val="1A1A1A"/>
          <w:sz w:val="21"/>
        </w:rPr>
        <w:t>数据看板采用 12 栅格自适应布局，共 12 组图表，按内容权重分配 3 / 4 / 5 / 6 / 7 / 8 栅格宽度，形成专业仪表盘式的非对称版面。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分类筛选：全部 / 基础设施 / 产业规模 / 创新与效率 / 就业与人才 / 综合对比，标签上直接显示该分类的图表数量。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双视图切换：一键在"图表"与"数据表"之间切换，数据表逐行列出来源机构的原始数值、单位与统计口径。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断点适配：1440 / 1024 / 768 / 390px 四档，卡片数与图表高度自动重排；移动端自动折叠为单列并启用汉堡菜单。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支持打印 / 导出 PDF（专门的打印样式，隐藏导航与动效）。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A8801A"/>
          <w:sz w:val="24"/>
        </w:rPr>
        <w:t>4. 双主题 —— 官方正式的配色体系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color w:val="1A1A1A"/>
          <w:sz w:val="21"/>
        </w:rPr>
        <w:t>全站提供深色与浅色两套主题，配色取政务深蓝 + 赤金 + 中国红点缀，兼顾正式感与科技感；主题选择会被记忆。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深色（默认）：深夜蓝底 + 金色高亮 + 青蓝数据色，适合投影与视频演示。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浅色：纸白底 + 深蓝标题 + 深金强调，适合打印与阅读。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A1A1A"/>
          <w:sz w:val="21"/>
        </w:rPr>
        <w:t>切换主题时，全部 ECharts 图表会同步重绘——通过把 CSS 变量解析为具体色值后再注入 canvas 实现主题联动。</w:t>
      </w:r>
    </w:p>
    <w:p>
      <w:pPr>
        <w:spacing w:before="320" w:after="160"/>
        <w:pBdr>
          <w:bottom w:val="single" w:sz="10" w:color="D8AE4E"/>
        </w:pBdr>
      </w:pPr>
      <w:r>
        <w:rPr>
          <w:rFonts w:ascii="微软雅黑" w:hAnsi="微软雅黑" w:eastAsia="微软雅黑"/>
          <w:b/>
          <w:color w:val="0A2A5E"/>
          <w:sz w:val="30"/>
        </w:rPr>
        <w:t>四、可视化形式清单（20 余种）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0A2A5E"/>
          <w:sz w:val="22"/>
        </w:rPr>
        <w:t>图表类（Apache ECharts，12 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2041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应用位置</w:t>
            </w:r>
          </w:p>
        </w:tc>
        <w:tc>
          <w:tcPr>
            <w:tcW w:type="dxa" w:w="5216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断裂柱状图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产业规模</w:t>
            </w:r>
          </w:p>
        </w:tc>
        <w:tc>
          <w:tcPr>
            <w:tcW w:type="dxa" w:w="521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用红色虚线显式标出"统计口径变更"，并保留断点与预测值虚线框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对数刻度柱状图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智能算力 / 私营AI投资</w:t>
            </w:r>
          </w:p>
        </w:tc>
        <w:tc>
          <w:tcPr>
            <w:tcW w:type="dxa" w:w="521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跨数量级数据用对数轴同图呈现，并注明"对数刻度"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双轴柱线复合图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数字经济规模</w:t>
            </w:r>
          </w:p>
        </w:tc>
        <w:tc>
          <w:tcPr>
            <w:tcW w:type="dxa" w:w="521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柱表示规模（万亿元）、折线表示占 GDP 比重（%）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面积折线图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5G基站 / 备案大模型</w:t>
            </w:r>
          </w:p>
        </w:tc>
        <w:tc>
          <w:tcPr>
            <w:tcW w:type="dxa" w:w="521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渐变面积强化增长趋势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平滑曲线图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增长倍数对比</w:t>
            </w:r>
          </w:p>
        </w:tc>
        <w:tc>
          <w:tcPr>
            <w:tcW w:type="dxa" w:w="521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突出长期趋势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堆叠柱状图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集群与算力设施</w:t>
            </w:r>
          </w:p>
        </w:tc>
        <w:tc>
          <w:tcPr>
            <w:tcW w:type="dxa" w:w="521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分类叠加对比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环形占比图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生成式AI专利分布</w:t>
            </w:r>
          </w:p>
        </w:tc>
        <w:tc>
          <w:tcPr>
            <w:tcW w:type="dxa" w:w="521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甜甜圈图呈现中美与其他地区占比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仪表盘 Gauge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生成式AI普及率</w:t>
            </w:r>
          </w:p>
        </w:tc>
        <w:tc>
          <w:tcPr>
            <w:tcW w:type="dxa" w:w="521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半环仪表呈现 50% 普及率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瀑布图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就业结构变动</w:t>
            </w:r>
          </w:p>
        </w:tc>
        <w:tc>
          <w:tcPr>
            <w:tcW w:type="dxa" w:w="521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用透明基座柱实现"新增—消失—净增"的瀑布逻辑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横向进度条组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智能制造全球位置</w:t>
            </w:r>
          </w:p>
        </w:tc>
        <w:tc>
          <w:tcPr>
            <w:tcW w:type="dxa" w:w="521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中国在密度/保有量/安装量三项指标上的相对水平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对数横向条形图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效率提升倍率</w:t>
            </w:r>
          </w:p>
        </w:tc>
        <w:tc>
          <w:tcPr>
            <w:tcW w:type="dxa" w:w="521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把"提升 X%"统一换算为倍率后横向比较</w:t>
            </w:r>
          </w:p>
        </w:tc>
      </w:tr>
      <w:tr>
        <w:tc>
          <w:tcPr>
            <w:tcW w:type="dxa" w:w="170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分类散点/条形</w:t>
            </w:r>
          </w:p>
        </w:tc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来源类型分布</w:t>
            </w:r>
          </w:p>
        </w:tc>
        <w:tc>
          <w:tcPr>
            <w:tcW w:type="dxa" w:w="521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统计 24 项来源的机构类型构成</w:t>
            </w:r>
          </w:p>
        </w:tc>
      </w:tr>
    </w:tbl>
    <w:p>
      <w:pPr>
        <w:spacing w:after="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0A2A5E"/>
          <w:sz w:val="22"/>
        </w:rPr>
        <w:t>自研可视化类（原生 SVG / Canvas / DOM，8 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6917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神经网络粒子背景</w:t>
            </w:r>
          </w:p>
        </w:tc>
        <w:tc>
          <w:tcPr>
            <w:tcW w:type="dxa" w:w="691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Canvas 绘制，节点自动漂移、按距离连线；鼠标移动时节点与指针产生金色连线，随主题变化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迷你面积走势图</w:t>
            </w:r>
          </w:p>
        </w:tc>
        <w:tc>
          <w:tcPr>
            <w:tcW w:type="dxa" w:w="691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自研 SVG 生成器，用于堆叠仪表盘的每行指标（含对数刻度支持）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容量计量条</w:t>
            </w:r>
          </w:p>
        </w:tc>
        <w:tc>
          <w:tcPr>
            <w:tcW w:type="dxa" w:w="691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自研 SVG，用于无完整时间序列的单值指标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政策时间轴</w:t>
            </w:r>
          </w:p>
        </w:tc>
        <w:tc>
          <w:tcPr>
            <w:tcW w:type="dxa" w:w="691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左右交错布局的双栏时间轴，关键节点（新质生产力提出、政治局集体学习、国发11号文）金色高亮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三阶段环形进度</w:t>
            </w:r>
          </w:p>
        </w:tc>
        <w:tc>
          <w:tcPr>
            <w:tcW w:type="dxa" w:w="691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SVG stroke-dasharray 描边动画，呈现 2027 / 2030 / 2035 三阶段目标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极坐标环形图</w:t>
            </w:r>
          </w:p>
        </w:tc>
        <w:tc>
          <w:tcPr>
            <w:tcW w:type="dxa" w:w="691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"人工智能+"六大重点行动按极坐标排布，中心为"人工智能+"枢纽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效率刻度条</w:t>
            </w:r>
          </w:p>
        </w:tc>
        <w:tc>
          <w:tcPr>
            <w:tcW w:type="dxa" w:w="691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行业案例卡内的对数刻度进度条</w:t>
            </w:r>
          </w:p>
        </w:tc>
      </w:tr>
      <w:tr>
        <w:tc>
          <w:tcPr>
            <w:tcW w:type="dxa" w:w="204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数字滚动 / 逐字浮现</w:t>
            </w:r>
          </w:p>
        </w:tc>
        <w:tc>
          <w:tcPr>
            <w:tcW w:type="dxa" w:w="691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KPI 数字的缓动计数动画、滚动触发的元素分组揭示</w:t>
            </w:r>
          </w:p>
        </w:tc>
      </w:tr>
    </w:tbl>
    <w:p>
      <w:pPr>
        <w:spacing w:after="0"/>
      </w:pPr>
    </w:p>
    <w:p>
      <w:pPr>
        <w:spacing w:before="320" w:after="160"/>
        <w:pBdr>
          <w:bottom w:val="single" w:sz="10" w:color="D8AE4E"/>
        </w:pBdr>
      </w:pPr>
      <w:r>
        <w:rPr>
          <w:rFonts w:ascii="微软雅黑" w:hAnsi="微软雅黑" w:eastAsia="微软雅黑"/>
          <w:b/>
          <w:color w:val="0A2A5E"/>
          <w:sz w:val="30"/>
        </w:rPr>
        <w:t>五、数据可信度设计（本网站最核心的差异化亮点）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color w:val="1A1A1A"/>
          <w:sz w:val="21"/>
        </w:rPr>
        <w:t>人工智能领域的数据统计口径极为混乱，同一指标在不同来源间可能出现数倍差距。本网站选择的是"如实呈现差异"，而不是挑选最好看的数字。这一部分的工作量约占整体的三分之一。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A8801A"/>
          <w:sz w:val="24"/>
        </w:rPr>
        <w:t>1. 四条数据处理原则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只使用可追溯来源：</w:t>
      </w:r>
      <w:r>
        <w:rPr>
          <w:rFonts w:ascii="微软雅黑" w:hAnsi="微软雅黑" w:eastAsia="微软雅黑"/>
          <w:b w:val="0"/>
          <w:color w:val="1A1A1A"/>
          <w:sz w:val="21"/>
        </w:rPr>
        <w:t>优先使用政府统计公报、国家部委发布口径与官方规划文件原文；所有数据给出机构、报告名称与原文链接。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口径优先于数值：</w:t>
      </w:r>
      <w:r>
        <w:rPr>
          <w:rFonts w:ascii="微软雅黑" w:hAnsi="微软雅黑" w:eastAsia="微软雅黑"/>
          <w:b w:val="0"/>
          <w:color w:val="1A1A1A"/>
          <w:sz w:val="21"/>
        </w:rPr>
        <w:t>同一指标存在多套口径时分别标注含义，不混用、不拼接；口径变更的序列在图上显式标出断点。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区分统计事实与预测：</w:t>
      </w:r>
      <w:r>
        <w:rPr>
          <w:rFonts w:ascii="微软雅黑" w:hAnsi="微软雅黑" w:eastAsia="微软雅黑"/>
          <w:b w:val="0"/>
          <w:color w:val="1A1A1A"/>
          <w:sz w:val="21"/>
        </w:rPr>
        <w:t>已发生的统计数据与未来测算、规划目标在视觉上严格区分，预测数据一律加"预测"标记。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不制造精度幻觉：</w:t>
      </w:r>
      <w:r>
        <w:rPr>
          <w:rFonts w:ascii="微软雅黑" w:hAnsi="微软雅黑" w:eastAsia="微软雅黑"/>
          <w:b w:val="0"/>
          <w:color w:val="1A1A1A"/>
          <w:sz w:val="21"/>
        </w:rPr>
        <w:t>对尚无官方测算的指标不给出单一结论数字，而是并列呈现不同机构的测算区间与分歧。</w:t>
      </w:r>
    </w:p>
    <w:p>
      <w:pPr>
        <w:spacing w:before="240" w:after="160"/>
      </w:pPr>
      <w:r>
        <w:rPr>
          <w:rFonts w:ascii="微软雅黑" w:hAnsi="微软雅黑" w:eastAsia="微软雅黑"/>
          <w:b/>
          <w:color w:val="A8801A"/>
          <w:sz w:val="24"/>
        </w:rPr>
        <w:t>2. 五处必须提醒的口径差异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差异</w:t>
            </w:r>
          </w:p>
        </w:tc>
        <w:tc>
          <w:tcPr>
            <w:tcW w:type="dxa" w:w="6576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具体说明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AI 产业规模：新旧口径不可衔接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2019—2023 年为"人工智能核心产业规模"（2023 年 5784 亿元）；2024 年起中国信通院启用新方法测算"人工智能产业规模"（2024 年超 9000 亿元）。强行连线会得出错误的"同比 +55%"结论，本站在图中画出断裂标记。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算力规模：三种精度口径并存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工信部 FP32 口径下 2024 年底为 280 EFLOPS，智能算力 90 EFLOPS；2025 年起智能算力改用新精度口径达 1590 EFLOPS。数值相差数倍源于精度标准与统计边界不同。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数字经济：全口径与核心产业口径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全口径数字经济规模 2024 年 59.2 万亿元、占 GDP 43.8%（信通院）；数字经济核心产业增加值 14.09 万亿元、占 GDP 10.5%（国家统计局）。两者含义不同。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企业数量：AI 企业与"用 AI 的企业"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"人工智能相关企业"（2026 年 6 月超 6600 家）与"开发或应用 AI 的企业"（2024 年同比增长 36%）是两种统计对象。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国际对比：投资口径差异显著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斯坦福 HAI 统计的"私营 AI 投资"仅含私募与风险投资，不含政府投入与公开市场融资，与国内投融资总额口径不可直接比较。</w:t>
            </w:r>
          </w:p>
        </w:tc>
      </w:tr>
    </w:tbl>
    <w:p>
      <w:pPr>
        <w:spacing w:after="0"/>
      </w:pPr>
    </w:p>
    <w:p>
      <w:pPr>
        <w:spacing w:before="240" w:after="160"/>
      </w:pPr>
      <w:r>
        <w:rPr>
          <w:rFonts w:ascii="微软雅黑" w:hAnsi="微软雅黑" w:eastAsia="微软雅黑"/>
          <w:b/>
          <w:color w:val="A8801A"/>
          <w:sz w:val="24"/>
        </w:rPr>
        <w:t>3. 数据标记体系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【统计 / 实测】</w:t>
      </w:r>
      <w:r>
        <w:rPr>
          <w:rFonts w:ascii="微软雅黑" w:hAnsi="微软雅黑" w:eastAsia="微软雅黑"/>
          <w:b w:val="0"/>
          <w:color w:val="1A1A1A"/>
          <w:sz w:val="21"/>
        </w:rPr>
        <w:t>由官方或研究机构发布的已发生统计数据，含口径说明与年份。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【预测 / 规划目标】</w:t>
      </w:r>
      <w:r>
        <w:rPr>
          <w:rFonts w:ascii="微软雅黑" w:hAnsi="微软雅黑" w:eastAsia="微软雅黑"/>
          <w:b w:val="0"/>
          <w:color w:val="1A1A1A"/>
          <w:sz w:val="21"/>
        </w:rPr>
        <w:t>机构对未来时点的测算或政策文件设定的目标值，不是已发生事实。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【口径提示】</w:t>
      </w:r>
      <w:r>
        <w:rPr>
          <w:rFonts w:ascii="微软雅黑" w:hAnsi="微软雅黑" w:eastAsia="微软雅黑"/>
          <w:b w:val="0"/>
          <w:color w:val="1A1A1A"/>
          <w:sz w:val="21"/>
        </w:rPr>
        <w:t>该指标存在统计标准变更或多种口径并存，阅读时需注意不可直接比较。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【案例样本】</w:t>
      </w:r>
      <w:r>
        <w:rPr>
          <w:rFonts w:ascii="微软雅黑" w:hAnsi="微软雅黑" w:eastAsia="微软雅黑"/>
          <w:b w:val="0"/>
          <w:color w:val="1A1A1A"/>
          <w:sz w:val="21"/>
        </w:rPr>
        <w:t>来自具体企业或地区的实测结果，不代表行业整体水平。</w:t>
      </w:r>
    </w:p>
    <w:p>
      <w:pPr>
        <w:spacing w:before="320" w:after="160"/>
        <w:pBdr>
          <w:bottom w:val="single" w:sz="10" w:color="D8AE4E"/>
        </w:pBdr>
      </w:pPr>
      <w:r>
        <w:rPr>
          <w:rFonts w:ascii="微软雅黑" w:hAnsi="微软雅黑" w:eastAsia="微软雅黑"/>
          <w:b/>
          <w:color w:val="0A2A5E"/>
          <w:sz w:val="30"/>
        </w:rPr>
        <w:t>六、内容与数据亮点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04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5272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关键数据</w:t>
            </w:r>
          </w:p>
        </w:tc>
        <w:tc>
          <w:tcPr>
            <w:tcW w:type="dxa" w:w="2381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30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产业规模</w:t>
            </w:r>
          </w:p>
        </w:tc>
        <w:tc>
          <w:tcPr>
            <w:tcW w:type="dxa" w:w="527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2025 年人工智能产业规模超 1.2 万亿元，同比 +40%；2027 年预计达 2 万亿元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中国信通院 / 工信部</w:t>
            </w:r>
          </w:p>
        </w:tc>
      </w:tr>
      <w:tr>
        <w:tc>
          <w:tcPr>
            <w:tcW w:type="dxa" w:w="130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算力底座</w:t>
            </w:r>
          </w:p>
        </w:tc>
        <w:tc>
          <w:tcPr>
            <w:tcW w:type="dxa" w:w="527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算力总规模四年从 140 增至 280 EFLOPS；2026 年 6 月智能算力 2185 EFLOPS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工业和信息化部</w:t>
            </w:r>
          </w:p>
        </w:tc>
      </w:tr>
      <w:tr>
        <w:tc>
          <w:tcPr>
            <w:tcW w:type="dxa" w:w="130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连接底座</w:t>
            </w:r>
          </w:p>
        </w:tc>
        <w:tc>
          <w:tcPr>
            <w:tcW w:type="dxa" w:w="527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5G 基站从 13 万个增至 483.8 万个（2025 年底）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工信部《通信业统计公报》</w:t>
            </w:r>
          </w:p>
        </w:tc>
      </w:tr>
      <w:tr>
        <w:tc>
          <w:tcPr>
            <w:tcW w:type="dxa" w:w="130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模型供给</w:t>
            </w:r>
          </w:p>
        </w:tc>
        <w:tc>
          <w:tcPr>
            <w:tcW w:type="dxa" w:w="527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累计备案生成式 AI 模型 748 款，2025 年新增备案 446 款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国家互联网信息办公室</w:t>
            </w:r>
          </w:p>
        </w:tc>
      </w:tr>
      <w:tr>
        <w:tc>
          <w:tcPr>
            <w:tcW w:type="dxa" w:w="130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用户扩散</w:t>
            </w:r>
          </w:p>
        </w:tc>
        <w:tc>
          <w:tcPr>
            <w:tcW w:type="dxa" w:w="527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生成式 AI 用户规模突破 7 亿人，普及率超 50%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CNNIC</w:t>
            </w:r>
          </w:p>
        </w:tc>
      </w:tr>
      <w:tr>
        <w:tc>
          <w:tcPr>
            <w:tcW w:type="dxa" w:w="130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经营主体</w:t>
            </w:r>
          </w:p>
        </w:tc>
        <w:tc>
          <w:tcPr>
            <w:tcW w:type="dxa" w:w="527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人工智能相关企业超 6600 家（2026 年 6 月），全球占比约 15%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中国信通院</w:t>
            </w:r>
          </w:p>
        </w:tc>
      </w:tr>
      <w:tr>
        <w:tc>
          <w:tcPr>
            <w:tcW w:type="dxa" w:w="130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产业母体</w:t>
            </w:r>
          </w:p>
        </w:tc>
        <w:tc>
          <w:tcPr>
            <w:tcW w:type="dxa" w:w="527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数字经济规模 59.2 万亿元，占 GDP 43.8%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中国信通院</w:t>
            </w:r>
          </w:p>
        </w:tc>
      </w:tr>
      <w:tr>
        <w:tc>
          <w:tcPr>
            <w:tcW w:type="dxa" w:w="130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智能制造</w:t>
            </w:r>
          </w:p>
        </w:tc>
        <w:tc>
          <w:tcPr>
            <w:tcW w:type="dxa" w:w="527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工业机器人安装量占全球 54%，保有量 202.7 万台占 43.5%，密度居全球第三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IFR</w:t>
            </w:r>
          </w:p>
        </w:tc>
      </w:tr>
      <w:tr>
        <w:tc>
          <w:tcPr>
            <w:tcW w:type="dxa" w:w="130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创新产出</w:t>
            </w:r>
          </w:p>
        </w:tc>
        <w:tc>
          <w:tcPr>
            <w:tcW w:type="dxa" w:w="527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2024 年全球新公开生成式 AI 专利中，中国 2.7 万件、占 61.5%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WIPO 检索方法</w:t>
            </w:r>
          </w:p>
        </w:tc>
      </w:tr>
      <w:tr>
        <w:tc>
          <w:tcPr>
            <w:tcW w:type="dxa" w:w="130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效率改进</w:t>
            </w:r>
          </w:p>
        </w:tc>
        <w:tc>
          <w:tcPr>
            <w:tcW w:type="dxa" w:w="527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电网仿真效率提升 30 倍以上；药物研发成本降低近一半；单吨钢材成本降 97 元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人民网等公开报道</w:t>
            </w:r>
          </w:p>
        </w:tc>
      </w:tr>
      <w:tr>
        <w:tc>
          <w:tcPr>
            <w:tcW w:type="dxa" w:w="130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就业结构</w:t>
            </w:r>
          </w:p>
        </w:tc>
        <w:tc>
          <w:tcPr>
            <w:tcW w:type="dxa" w:w="527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到 2030 年全球岗位净增约 7800 万个（新增 1.7 亿、消失 9200 万）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世界经济论坛（预测）</w:t>
            </w:r>
          </w:p>
        </w:tc>
      </w:tr>
      <w:tr>
        <w:tc>
          <w:tcPr>
            <w:tcW w:type="dxa" w:w="130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人才供需</w:t>
            </w:r>
          </w:p>
        </w:tc>
        <w:tc>
          <w:tcPr>
            <w:tcW w:type="dxa" w:w="527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中国 AI 人才缺口超 500 万人，供求比约 1:10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人社部 / 智联招聘</w:t>
            </w:r>
          </w:p>
        </w:tc>
      </w:tr>
      <w:tr>
        <w:tc>
          <w:tcPr>
            <w:tcW w:type="dxa" w:w="130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政策目标</w:t>
            </w:r>
          </w:p>
        </w:tc>
        <w:tc>
          <w:tcPr>
            <w:tcW w:type="dxa" w:w="527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2027 年智能终端与智能体应用普及率超 70%，2030 年超 90%，2035 年步入智能社会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国发〔2025〕11 号</w:t>
            </w:r>
          </w:p>
        </w:tc>
      </w:tr>
    </w:tbl>
    <w:p>
      <w:pPr>
        <w:spacing w:after="0"/>
      </w:pPr>
    </w:p>
    <w:p>
      <w:pPr>
        <w:spacing w:before="320" w:after="160"/>
        <w:pBdr>
          <w:bottom w:val="single" w:sz="10" w:color="D8AE4E"/>
        </w:pBdr>
      </w:pPr>
      <w:r>
        <w:rPr>
          <w:rFonts w:ascii="微软雅黑" w:hAnsi="微软雅黑" w:eastAsia="微软雅黑"/>
          <w:b/>
          <w:color w:val="0A2A5E"/>
          <w:sz w:val="30"/>
        </w:rPr>
        <w:t>七、技术与工程亮点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纯静态、零构建：</w:t>
      </w:r>
      <w:r>
        <w:rPr>
          <w:rFonts w:ascii="微软雅黑" w:hAnsi="微软雅黑" w:eastAsia="微软雅黑"/>
          <w:b w:val="0"/>
          <w:color w:val="1A1A1A"/>
          <w:sz w:val="21"/>
        </w:rPr>
        <w:t>全站为 HTML / CSS / 原生 JavaScript，无框架、无构建步骤、无后端依赖。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零外部依赖：</w:t>
      </w:r>
      <w:r>
        <w:rPr>
          <w:rFonts w:ascii="微软雅黑" w:hAnsi="微软雅黑" w:eastAsia="微软雅黑"/>
          <w:b w:val="0"/>
          <w:color w:val="1A1A1A"/>
          <w:sz w:val="21"/>
        </w:rPr>
        <w:t>图表库 Apache ECharts 5.5.1 已本地化部署，不加载任何外部 CDN、第三方字体或分析脚本；可离线打开、可长期归档。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单一数据源：</w:t>
      </w:r>
      <w:r>
        <w:rPr>
          <w:rFonts w:ascii="微软雅黑" w:hAnsi="微软雅黑" w:eastAsia="微软雅黑"/>
          <w:b w:val="0"/>
          <w:color w:val="1A1A1A"/>
          <w:sz w:val="21"/>
        </w:rPr>
        <w:t>三个页面共用同一份 data.js，任何数据修改一处即全站同步，杜绝多页面数字不一致。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主题联动：</w:t>
      </w:r>
      <w:r>
        <w:rPr>
          <w:rFonts w:ascii="微软雅黑" w:hAnsi="微软雅黑" w:eastAsia="微软雅黑"/>
          <w:b w:val="0"/>
          <w:color w:val="1A1A1A"/>
          <w:sz w:val="21"/>
        </w:rPr>
        <w:t>ECharts 通过 canvas 渲染，无法识别 CSS 变量；本站通过"CSS 变量 → 具体色值"的运行时解析层，实现了图表与主题的完整联动。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性能设计：</w:t>
      </w:r>
      <w:r>
        <w:rPr>
          <w:rFonts w:ascii="微软雅黑" w:hAnsi="微软雅黑" w:eastAsia="微软雅黑"/>
          <w:b w:val="0"/>
          <w:color w:val="1A1A1A"/>
          <w:sz w:val="21"/>
        </w:rPr>
        <w:t>图片级优化：迷你走势图为自研 SVG（无请求、矢量清晰）；看板图表采用 IntersectionObserver 懒加载，避免首屏一次性渲染 12 张图表。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可访问性：</w:t>
      </w:r>
      <w:r>
        <w:rPr>
          <w:rFonts w:ascii="微软雅黑" w:hAnsi="微软雅黑" w:eastAsia="微软雅黑"/>
          <w:b w:val="0"/>
          <w:color w:val="1A1A1A"/>
          <w:sz w:val="21"/>
        </w:rPr>
        <w:t>无障碍与可用性：键盘完整导航、语义化标签、aria 标注、尊重系统"减少动态效果"偏好、打印样式适配。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0A2A5E"/>
          <w:sz w:val="21"/>
        </w:rPr>
        <w:t>工程化验收：</w:t>
      </w:r>
      <w:r>
        <w:rPr>
          <w:rFonts w:ascii="微软雅黑" w:hAnsi="微软雅黑" w:eastAsia="微软雅黑"/>
          <w:b w:val="0"/>
          <w:color w:val="1A1A1A"/>
          <w:sz w:val="21"/>
        </w:rPr>
        <w:t>提供 5 个 Playwright 自动化脚本（整页截图、逐页截图、响应式断点、浅色主题、线上巡检），用于持续验收。</w:t>
      </w:r>
    </w:p>
    <w:p>
      <w:pPr>
        <w:spacing w:before="320" w:after="160"/>
        <w:pBdr>
          <w:bottom w:val="single" w:sz="10" w:color="D8AE4E"/>
        </w:pBdr>
      </w:pPr>
      <w:r>
        <w:rPr>
          <w:rFonts w:ascii="微软雅黑" w:hAnsi="微软雅黑" w:eastAsia="微软雅黑"/>
          <w:b/>
          <w:color w:val="0A2A5E"/>
          <w:sz w:val="30"/>
        </w:rPr>
        <w:t>八、演示视频说明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43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文件名</w:t>
            </w:r>
          </w:p>
        </w:tc>
        <w:tc>
          <w:tcPr>
            <w:tcW w:type="dxa" w:w="7143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智启新质-演示视频.mp4</w:t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时长 / 规格</w:t>
            </w:r>
          </w:p>
        </w:tc>
        <w:tc>
          <w:tcPr>
            <w:tcW w:type="dxa" w:w="7143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4 分 31 秒 · 1920×1080 · 25fps · H.264（yuv420p）· 约 52 MB</w:t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内容结构</w:t>
            </w:r>
          </w:p>
        </w:tc>
        <w:tc>
          <w:tcPr>
            <w:tcW w:type="dxa" w:w="7143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15 个场景，覆盖封面、核心论点、六章滚动叙事、数据口径说明、数据来源页、翻页演示、数据看板交互与双主题、结语</w:t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字幕</w:t>
            </w:r>
          </w:p>
        </w:tc>
        <w:tc>
          <w:tcPr>
            <w:tcW w:type="dxa" w:w="7143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已烧录中文字幕（微软雅黑 44px，白字深描边），另附独立字幕文件 subtitles.srt 可自行替换</w:t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音轨</w:t>
            </w:r>
          </w:p>
        </w:tc>
        <w:tc>
          <w:tcPr>
            <w:tcW w:type="dxa" w:w="7143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原片为静音立体声音轨，直接添加音轨配音即可；讲解词与逐句时间码见《讲解词与时间码》</w:t>
            </w:r>
          </w:p>
        </w:tc>
      </w:tr>
      <w:tr>
        <w:tc>
          <w:tcPr>
            <w:tcW w:type="dxa" w:w="1814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制作方式</w:t>
            </w:r>
          </w:p>
        </w:tc>
        <w:tc>
          <w:tcPr>
            <w:tcW w:type="dxa" w:w="7143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Playwright 脚本化巡览录制（含虚拟鼠标指针指示交互）→ 黑场精准定位起点 → FFmpeg 裁切、烧录字幕、片尾淡出、H.264 编码</w:t>
            </w:r>
          </w:p>
        </w:tc>
      </w:tr>
    </w:tbl>
    <w:p>
      <w:pPr>
        <w:spacing w:after="0"/>
      </w:pPr>
    </w:p>
    <w:p>
      <w:pPr>
        <w:spacing w:before="320" w:after="160"/>
        <w:pBdr>
          <w:bottom w:val="single" w:sz="10" w:color="D8AE4E"/>
        </w:pBdr>
      </w:pPr>
      <w:r>
        <w:rPr>
          <w:rFonts w:ascii="微软雅黑" w:hAnsi="微软雅黑" w:eastAsia="微软雅黑"/>
          <w:b/>
          <w:color w:val="0A2A5E"/>
          <w:sz w:val="30"/>
        </w:rPr>
        <w:t>九、交付清单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680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381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5896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网页链接</w:t>
            </w:r>
          </w:p>
        </w:tc>
        <w:tc>
          <w:tcPr>
            <w:tcW w:type="dxa" w:w="589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https://wangling1206.github.io/ai-new-productive-forces/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网站源代码（ZIP）</w:t>
            </w:r>
          </w:p>
        </w:tc>
        <w:tc>
          <w:tcPr>
            <w:tcW w:type="dxa" w:w="589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仅包含网站源码：4 个 HTML 页面、assets（CSS / JS / ECharts 本地副本）、tools（验收脚本）、README、LICENSE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演示视频</w:t>
            </w:r>
          </w:p>
        </w:tc>
        <w:tc>
          <w:tcPr>
            <w:tcW w:type="dxa" w:w="589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MP4，4 分 31 秒，含讲解词、烧录字幕与时间码，可自行配音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2381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本文档</w:t>
            </w:r>
          </w:p>
        </w:tc>
        <w:tc>
          <w:tcPr>
            <w:tcW w:type="dxa" w:w="5896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网站关键亮点说明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320" w:after="160"/>
        <w:pBdr>
          <w:bottom w:val="single" w:sz="10" w:color="D8AE4E"/>
        </w:pBdr>
      </w:pPr>
      <w:r>
        <w:rPr>
          <w:rFonts w:ascii="微软雅黑" w:hAnsi="微软雅黑" w:eastAsia="微软雅黑"/>
          <w:b/>
          <w:color w:val="0A2A5E"/>
          <w:sz w:val="30"/>
        </w:rPr>
        <w:t>附录：数据来源清单（24 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680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268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机构</w:t>
            </w:r>
          </w:p>
        </w:tc>
        <w:tc>
          <w:tcPr>
            <w:tcW w:type="dxa" w:w="4762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 / 报告名称</w:t>
            </w:r>
          </w:p>
        </w:tc>
        <w:tc>
          <w:tcPr>
            <w:tcW w:type="dxa" w:w="1247"/>
            <w:shd w:val="clear" w:fill="0A2A5E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中国政府网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《关于深入实施"人工智能+"行动的意见》(国发〔2025〕11号)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2025-08-26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中国政府网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《政府工作报告》全文（2024 年、2025 年）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2024 / 2025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人民网 / 新华社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习近平在中共中央政治局第十一次集体学习时的讲话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2024-02-01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工业和信息化部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《通信业统计公报》(2019—2024)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逐年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工业和信息化部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人工智能产业规模、智能算力、企业数量发布数据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2025—2026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国家互联网信息办公室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生成式人工智能服务备案信息公告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2024—2026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国家统计局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数字经济核心产业增加值核算数据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2024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国家知识产权局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发明专利有效量及专利密集型产业统计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2025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9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中国互联网络信息中心 CNNIC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生成式人工智能用户规模调查报告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2026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10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中国信息通信研究院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人工智能产业规模测算 / 算力规模报告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2024—2026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11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中国信息通信研究院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《中国数字经济发展研究报告(2025年)》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2026-03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12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中国电子学会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《人工智能发展白皮书》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2021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13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世界经济论坛 WEF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《未来就业报告2025》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2025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14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世界经济论坛 WEF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全球灯塔工厂网络报告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2025—2026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15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国际机器人联合会 IFR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《世界机器人》报告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2025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16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斯坦福大学 HAI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《AI Index 2025 / 2026》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2025 / 2026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17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普华永道 PwC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《Sizing the Prize》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2017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18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麦肯锡 McKinsey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《The economic potential of generative AI》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2023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19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国际货币基金组织 IMF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AI Will Transform the Global Economy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2024-01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经济合作与发展组织 OECD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Artificial Intelligence 专题研究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2025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21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世界知识产权组织 WIPO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生成式人工智能专利检索分析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2025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22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人民网 / 人民日报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各行业人工智能应用成效系列报道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2024—2026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23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智联招聘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《2025年人工智能产业人才发展报告》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2025-10</w:t>
            </w:r>
          </w:p>
        </w:tc>
      </w:tr>
      <w:tr>
        <w:tc>
          <w:tcPr>
            <w:tcW w:type="dxa" w:w="68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24</w:t>
            </w:r>
          </w:p>
        </w:tc>
        <w:tc>
          <w:tcPr>
            <w:tcW w:type="dxa" w:w="2268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清华大学互联网产业研究院</w:t>
            </w:r>
          </w:p>
        </w:tc>
        <w:tc>
          <w:tcPr>
            <w:tcW w:type="dxa" w:w="4762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AI 与全要素生产率学术观点汇编</w:t>
            </w:r>
          </w:p>
        </w:tc>
        <w:tc>
          <w:tcPr>
            <w:tcW w:type="dxa" w:w="1247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2025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rFonts w:ascii="微软雅黑" w:hAnsi="微软雅黑" w:eastAsia="微软雅黑"/>
          <w:b w:val="0"/>
          <w:color w:val="5A6B82"/>
          <w:sz w:val="18"/>
        </w:rPr>
        <w:t>说明：本网站为数据可视化研究作品，所有原始数据的版权归原发布机构所有；数据的整理、可视化呈现与口径注释为原创工作。报告中涉及的国际机构测算为其研究结论，涉及未来时点的数据均为预测，不构成任何投资建议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