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3213B">
      <w:pPr>
        <w:spacing w:before="200" w:after="0"/>
        <w:ind w:left="780"/>
        <w:jc w:val="left"/>
      </w:pPr>
      <w:r>
        <w:drawing>
          <wp:inline distT="0" distB="0" distL="0" distR="0">
            <wp:extent cx="2857500" cy="619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7432">
      <w:pPr>
        <w:spacing w:before="1560" w:after="0" w:line="240" w:lineRule="auto"/>
        <w:jc w:val="center"/>
      </w:pPr>
      <w:r>
        <w:rPr>
          <w:rFonts w:ascii="Times New Roman" w:hAnsi="Times New Roman" w:eastAsia="黑体"/>
          <w:b/>
          <w:bCs/>
          <w:color w:val="000000"/>
          <w:sz w:val="72"/>
          <w:szCs w:val="72"/>
        </w:rPr>
        <w:t>网 站 关 键 亮 点 说 明</w:t>
      </w:r>
    </w:p>
    <w:p w14:paraId="472094B3">
      <w:pPr>
        <w:spacing w:before="1320" w:after="0" w:line="240" w:lineRule="auto"/>
        <w:jc w:val="left"/>
      </w:pPr>
      <w:r>
        <w:rPr>
          <w:rFonts w:hint="eastAsia" w:eastAsia="黑体"/>
          <w:color w:val="000000"/>
          <w:sz w:val="36"/>
          <w:szCs w:val="36"/>
          <w:lang w:val="en-US" w:eastAsia="zh-CN"/>
        </w:rPr>
        <w:tab/>
      </w:r>
      <w:r>
        <w:rPr>
          <w:rFonts w:ascii="Times New Roman" w:hAnsi="Times New Roman" w:eastAsia="黑体"/>
          <w:b/>
          <w:bCs/>
          <w:color w:val="000000"/>
          <w:sz w:val="56"/>
          <w:szCs w:val="56"/>
        </w:rPr>
        <w:t>智启新质</w:t>
      </w:r>
    </w:p>
    <w:p w14:paraId="674C03AF">
      <w:pPr>
        <w:spacing w:before="120" w:after="0" w:line="240" w:lineRule="auto"/>
        <w:ind w:right="720"/>
        <w:jc w:val="right"/>
        <w:rPr>
          <w:rFonts w:ascii="Times New Roman" w:hAnsi="Times New Roman" w:eastAsia="黑体"/>
          <w:color w:val="000000"/>
          <w:sz w:val="36"/>
          <w:szCs w:val="36"/>
        </w:rPr>
      </w:pPr>
    </w:p>
    <w:p w14:paraId="53EE118B">
      <w:pPr>
        <w:spacing w:before="120" w:after="0" w:line="240" w:lineRule="auto"/>
        <w:ind w:right="720"/>
        <w:jc w:val="right"/>
      </w:pPr>
      <w:r>
        <w:rPr>
          <w:rFonts w:ascii="Times New Roman" w:hAnsi="Times New Roman" w:eastAsia="黑体"/>
          <w:color w:val="000000"/>
          <w:sz w:val="36"/>
          <w:szCs w:val="36"/>
        </w:rPr>
        <w:t>——人工智能赋能新质生产力·全景数据观察</w:t>
      </w:r>
    </w:p>
    <w:p w14:paraId="6D5D4B0A">
      <w:pPr>
        <w:spacing w:before="2280" w:after="0" w:line="240" w:lineRule="auto"/>
        <w:ind w:left="1500" w:leftChars="0" w:firstLine="500" w:firstLineChars="0"/>
        <w:jc w:val="left"/>
      </w:pPr>
      <w:r>
        <w:rPr>
          <w:rFonts w:ascii="Times New Roman" w:hAnsi="Times New Roman" w:eastAsia="仿宋"/>
          <w:b/>
          <w:bCs/>
          <w:color w:val="000000"/>
          <w:sz w:val="32"/>
          <w:szCs w:val="32"/>
        </w:rPr>
        <w:t>姓　　名：</w:t>
      </w:r>
      <w:r>
        <w:rPr>
          <w:rFonts w:ascii="Times New Roman" w:hAnsi="Times New Roman" w:eastAsia="仿宋"/>
          <w:color w:val="000000"/>
          <w:sz w:val="32"/>
          <w:szCs w:val="32"/>
          <w:u w:val="single"/>
        </w:rPr>
        <w:t>　王文岭　　　　　　　</w:t>
      </w:r>
    </w:p>
    <w:p w14:paraId="199FD88A">
      <w:pPr>
        <w:spacing w:before="360" w:after="0" w:line="240" w:lineRule="auto"/>
        <w:ind w:left="1500" w:leftChars="0" w:firstLine="500" w:firstLineChars="0"/>
        <w:jc w:val="left"/>
      </w:pPr>
      <w:r>
        <w:rPr>
          <w:rFonts w:ascii="Times New Roman" w:hAnsi="Times New Roman" w:eastAsia="仿宋"/>
          <w:b/>
          <w:bCs/>
          <w:color w:val="000000"/>
          <w:sz w:val="32"/>
          <w:szCs w:val="32"/>
        </w:rPr>
        <w:t>学　　号：</w:t>
      </w:r>
      <w:r>
        <w:rPr>
          <w:rFonts w:ascii="Times New Roman" w:hAnsi="Times New Roman" w:eastAsia="仿宋"/>
          <w:color w:val="000000"/>
          <w:sz w:val="32"/>
          <w:szCs w:val="32"/>
          <w:u w:val="single"/>
        </w:rPr>
        <w:t>　2407040110　　　　　</w:t>
      </w:r>
    </w:p>
    <w:p w14:paraId="425336D4">
      <w:pPr>
        <w:spacing w:before="360" w:after="0" w:line="240" w:lineRule="auto"/>
        <w:ind w:left="1500" w:leftChars="0" w:firstLine="500" w:firstLineChars="0"/>
        <w:jc w:val="left"/>
      </w:pPr>
      <w:r>
        <w:rPr>
          <w:rFonts w:ascii="Times New Roman" w:hAnsi="Times New Roman" w:eastAsia="仿宋"/>
          <w:b/>
          <w:bCs/>
          <w:color w:val="000000"/>
          <w:sz w:val="32"/>
          <w:szCs w:val="32"/>
        </w:rPr>
        <w:t>班　　级：</w:t>
      </w:r>
      <w:r>
        <w:rPr>
          <w:rFonts w:ascii="Times New Roman" w:hAnsi="Times New Roman" w:eastAsia="仿宋"/>
          <w:color w:val="000000"/>
          <w:sz w:val="32"/>
          <w:szCs w:val="32"/>
          <w:u w:val="single"/>
        </w:rPr>
        <w:t>　人工智能2401　　　　</w:t>
      </w:r>
    </w:p>
    <w:p w14:paraId="25E3C5D1">
      <w:pPr>
        <w:spacing w:before="2000" w:after="0" w:line="240" w:lineRule="auto"/>
        <w:jc w:val="center"/>
      </w:pPr>
      <w:r>
        <w:rPr>
          <w:rFonts w:ascii="Times New Roman" w:hAnsi="Times New Roman" w:eastAsia="黑体"/>
          <w:color w:val="000000"/>
          <w:sz w:val="32"/>
          <w:szCs w:val="32"/>
        </w:rPr>
        <w:t>2026 年 10 月</w:t>
      </w:r>
    </w:p>
    <w:p w14:paraId="6E6DDCD0">
      <w:pPr>
        <w:sectPr>
          <w:pgSz w:w="11906" w:h="16838"/>
          <w:pgMar w:top="1418" w:right="1418" w:bottom="1418" w:left="1418" w:header="851" w:footer="992" w:gutter="0"/>
          <w:cols w:space="720" w:num="1"/>
          <w:docGrid w:linePitch="360" w:charSpace="0"/>
        </w:sectPr>
      </w:pPr>
    </w:p>
    <w:p w14:paraId="20781AAC">
      <w:pPr>
        <w:spacing w:before="240" w:after="240" w:line="360" w:lineRule="auto"/>
        <w:jc w:val="center"/>
      </w:pPr>
      <w:r>
        <w:rPr>
          <w:rFonts w:ascii="Times New Roman" w:hAnsi="Times New Roman" w:eastAsia="黑体"/>
          <w:color w:val="000000"/>
          <w:sz w:val="32"/>
          <w:szCs w:val="32"/>
        </w:rPr>
        <w:t>目　录</w:t>
      </w:r>
    </w:p>
    <w:sdt>
      <w:sdtPr>
        <w:alias w:val="目录"/>
        <w:id w:val="147465489"/>
      </w:sdtPr>
      <w:sdtContent>
        <w:p w14:paraId="2751F0CB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2AE658B">
          <w:pPr>
            <w:pStyle w:val="10"/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7"/>
            </w:rPr>
            <w:t>第1章  设计立意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31E4D1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7"/>
            </w:rPr>
            <w:t>1.1 网站的三个核心判断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45A51FE">
          <w:pPr>
            <w:pStyle w:val="10"/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17"/>
            </w:rPr>
            <w:t>第2章  网站结构总览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CDADC0">
          <w:pPr>
            <w:pStyle w:val="10"/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17"/>
            </w:rPr>
            <w:t>第3章  四种可视化结构（对课程要求的逐项落实）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41A6C0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17"/>
            </w:rPr>
            <w:t>3.1 堆叠式结构——总览页的滚动叙事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62DD2A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7"/>
            </w:rPr>
            <w:t>3.2 翻页式结构——17 页全屏演示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9D4671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7"/>
            </w:rPr>
            <w:t>3.3 响应式结构——数据看板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8E9419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7"/>
            </w:rPr>
            <w:t>3.4 双主题——官方正式的配色体系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9AA7904">
          <w:pPr>
            <w:pStyle w:val="10"/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7"/>
            </w:rPr>
            <w:t>第4章  可视化形式清单（20 余种）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83DC104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7"/>
            </w:rPr>
            <w:t>4.1 图表类（Apache ECharts，12 类）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70999C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17"/>
            </w:rPr>
            <w:t>4.2 自研可视化类（原生 SVG / Canvas / DOM，8 类）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6CEB41A">
          <w:pPr>
            <w:pStyle w:val="10"/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17"/>
            </w:rPr>
            <w:t>第5章  数据可信度设计（本网站最核心的差异化亮点）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750EAAF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17"/>
            </w:rPr>
            <w:t>5.1 四条数据处理原则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38A92B0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17"/>
            </w:rPr>
            <w:t>5.2 五处必须提醒的口径差异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32A2B52">
          <w:pPr>
            <w:pStyle w:val="12"/>
            <w:tabs>
              <w:tab w:val="right" w:leader="dot" w:pos="9026"/>
            </w:tabs>
            <w:spacing w:before="120" w:after="60"/>
            <w:ind w:left="36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17"/>
            </w:rPr>
            <w:t>5.3 数据标记体系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B7C0FA9">
          <w:pPr>
            <w:pStyle w:val="10"/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17"/>
            </w:rPr>
            <w:t>第6章  内容与数据亮点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0080963">
          <w:pPr>
            <w:pStyle w:val="10"/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 xml:space="preserve"> HYPERLINK \l "_Toc100016" </w:instrText>
          </w:r>
          <w:r>
            <w:fldChar w:fldCharType="separate"/>
          </w:r>
          <w:r>
            <w:rPr>
              <w:rStyle w:val="17"/>
            </w:rPr>
            <w:t>第7章  技术与工程亮点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D64A8CF">
          <w:pPr>
            <w:pStyle w:val="10"/>
            <w:tabs>
              <w:tab w:val="right" w:leader="dot" w:pos="9026"/>
            </w:tabs>
            <w:spacing w:before="120" w:after="60"/>
          </w:pPr>
          <w:r>
            <w:fldChar w:fldCharType="begin"/>
          </w:r>
          <w:r>
            <w:instrText xml:space="preserve"> HYPERLINK \l "_Toc100017" </w:instrText>
          </w:r>
          <w:r>
            <w:fldChar w:fldCharType="separate"/>
          </w:r>
          <w:r>
            <w:rPr>
              <w:rStyle w:val="17"/>
            </w:rPr>
            <w:t>附　录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0B0C26A">
          <w:r>
            <w:fldChar w:fldCharType="end"/>
          </w:r>
        </w:p>
      </w:sdtContent>
    </w:sdt>
    <w:p w14:paraId="7F29C6F0">
      <w:pPr>
        <w:sectPr>
          <w:headerReference r:id="rId5" w:type="default"/>
          <w:pgSz w:w="11906" w:h="16838"/>
          <w:pgMar w:top="1418" w:right="1418" w:bottom="1418" w:left="1418" w:header="851" w:footer="992" w:gutter="0"/>
          <w:cols w:space="720" w:num="1"/>
          <w:docGrid w:linePitch="360" w:charSpace="0"/>
        </w:sectPr>
      </w:pPr>
    </w:p>
    <w:p w14:paraId="7BD45A7C">
      <w:pPr>
        <w:pStyle w:val="2"/>
        <w:keepNext/>
        <w:spacing w:before="240" w:after="240" w:line="360" w:lineRule="auto"/>
        <w:jc w:val="center"/>
      </w:pPr>
      <w:bookmarkStart w:id="0" w:name="_Toc100000"/>
      <w:r>
        <w:rPr>
          <w:rFonts w:ascii="Times New Roman" w:hAnsi="Times New Roman" w:eastAsia="黑体"/>
          <w:color w:val="000000"/>
          <w:sz w:val="32"/>
          <w:szCs w:val="32"/>
        </w:rPr>
        <w:t>第1章  设计立意</w:t>
      </w:r>
      <w:bookmarkEnd w:id="0"/>
    </w:p>
    <w:p w14:paraId="49FD35F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新质生产力是创新起主导作用、具有高科技、高效能、高质量特征、以全要素生产率大幅提升为核心标志的先进生产力质态。而人工智能是当下唯一同时改变劳动资料（算力与算法）、劳动对象（数据要素）与劳动者（人机协同）的技术变量——这正是新质生产力"以劳动者、劳动资料、劳动对象及其优化组合的跃升为基本内涵"的当代注脚。</w:t>
      </w:r>
    </w:p>
    <w:p w14:paraId="54D4CD6C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因此，本网站没有停留在"人工智能很厉害"的泛泛表述上，而是建立了一条完整的论证链：底座（算力与网络）→ 规模（产业与经营主体）→ 效率（实体经济的实测改进）→ 人的维度（就业与人才结构）→ 政策路径（"人工智能+"行动）。每一环都用可核查的数据说话，并逐条标注来源与统计口径。网站总览页的封面如图1-1所示。</w:t>
      </w:r>
    </w:p>
    <w:p w14:paraId="2E1D0086">
      <w:pPr>
        <w:keepNext/>
        <w:spacing w:before="200" w:after="60"/>
        <w:jc w:val="center"/>
      </w:pPr>
      <w:r>
        <w:drawing>
          <wp:inline distT="0" distB="0" distL="0" distR="0">
            <wp:extent cx="5238750" cy="261302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CF04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图1-1 总览页封面：Canvas 神经网络动态背景、核心命题与四组关键指标</w:t>
      </w:r>
    </w:p>
    <w:p w14:paraId="2F43E809">
      <w:pPr>
        <w:pStyle w:val="3"/>
        <w:keepNext/>
        <w:spacing w:before="240" w:after="120" w:line="360" w:lineRule="auto"/>
        <w:jc w:val="left"/>
      </w:pPr>
      <w:bookmarkStart w:id="1" w:name="_Toc100001"/>
      <w:r>
        <w:rPr>
          <w:rFonts w:ascii="Times New Roman" w:hAnsi="Times New Roman" w:eastAsia="黑体"/>
          <w:color w:val="000000"/>
          <w:sz w:val="28"/>
          <w:szCs w:val="28"/>
        </w:rPr>
        <w:t>1.1 网站的三个核心判断</w:t>
      </w:r>
      <w:bookmarkEnd w:id="1"/>
    </w:p>
    <w:p w14:paraId="653FDA51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（1）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它是通用目的技术——</w:t>
      </w:r>
      <w:r>
        <w:rPr>
          <w:rFonts w:ascii="Times New Roman" w:hAnsi="Times New Roman" w:eastAsia="宋体"/>
          <w:color w:val="000000"/>
          <w:sz w:val="24"/>
          <w:szCs w:val="24"/>
        </w:rPr>
        <w:t>人工智能可渗透几乎所有行业，符合新质生产力对"技术革命性突破"的要求。</w:t>
      </w:r>
    </w:p>
    <w:p w14:paraId="608CC3ED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（2）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它同时改变三要素——</w:t>
      </w:r>
      <w:r>
        <w:rPr>
          <w:rFonts w:ascii="Times New Roman" w:hAnsi="Times New Roman" w:eastAsia="宋体"/>
          <w:color w:val="000000"/>
          <w:sz w:val="24"/>
          <w:szCs w:val="24"/>
        </w:rPr>
        <w:t>算力成为新的劳动资料、数据成为新的劳动对象、人机协同重塑劳动者，三者同时跃升。</w:t>
      </w:r>
    </w:p>
    <w:p w14:paraId="4F945933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（3）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它的落点是全要素生产率——</w:t>
      </w:r>
      <w:r>
        <w:rPr>
          <w:rFonts w:ascii="Times New Roman" w:hAnsi="Times New Roman" w:eastAsia="宋体"/>
          <w:color w:val="000000"/>
          <w:sz w:val="24"/>
          <w:szCs w:val="24"/>
        </w:rPr>
        <w:t>产业规模、效率改进、就业结构三条证据链共同指向全要素生产率的系统性提升。</w:t>
      </w:r>
    </w:p>
    <w:p w14:paraId="06B48208">
      <w:pPr>
        <w:sectPr>
          <w:headerReference r:id="rId6" w:type="default"/>
          <w:footerReference r:id="rId7" w:type="default"/>
          <w:pgSz w:w="11906" w:h="16838"/>
          <w:pgMar w:top="1418" w:right="1418" w:bottom="1418" w:left="1418" w:header="851" w:footer="992" w:gutter="0"/>
          <w:pgNumType w:fmt="decimal" w:start="1"/>
          <w:cols w:space="720" w:num="1"/>
          <w:docGrid w:linePitch="360" w:charSpace="0"/>
        </w:sectPr>
      </w:pPr>
    </w:p>
    <w:p w14:paraId="77A275E6">
      <w:pPr>
        <w:pStyle w:val="2"/>
        <w:keepNext/>
        <w:spacing w:before="240" w:after="240" w:line="360" w:lineRule="auto"/>
        <w:jc w:val="center"/>
      </w:pPr>
      <w:bookmarkStart w:id="2" w:name="_Toc100002"/>
      <w:r>
        <w:rPr>
          <w:rFonts w:ascii="Times New Roman" w:hAnsi="Times New Roman" w:eastAsia="黑体"/>
          <w:color w:val="000000"/>
          <w:sz w:val="32"/>
          <w:szCs w:val="32"/>
        </w:rPr>
        <w:t>第2章  网站结构总览</w:t>
      </w:r>
      <w:bookmarkEnd w:id="2"/>
    </w:p>
    <w:p w14:paraId="6C3560BD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全站共 4 个页面，分别承担"堆叠式结构""翻页式结构""响应式结构"与"方法论支撑"四种角色；四个页面共用同一份数据层（assets/js/data.js），任何数字只维护一处。各页面的结构与分工如表2-1所示。</w:t>
      </w:r>
    </w:p>
    <w:p w14:paraId="6CFB71C6">
      <w:pPr>
        <w:keepNext/>
        <w:spacing w:before="24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表2-1 网站页面结构与分工</w:t>
      </w:r>
    </w:p>
    <w:tbl>
      <w:tblPr>
        <w:tblStyle w:val="14"/>
        <w:tblW w:w="9070" w:type="dxa"/>
        <w:tblInd w:w="0" w:type="dxa"/>
        <w:tblBorders>
          <w:top w:val="single" w:color="000000" w:sz="12" w:space="0"/>
          <w:left w:val="none" w:color="FFFFFF" w:sz="0" w:space="0"/>
          <w:bottom w:val="single" w:color="000000" w:sz="12" w:space="0"/>
          <w:right w:val="none" w:color="FFFFFF" w:sz="0" w:space="0"/>
          <w:insideH w:val="single" w:color="000000" w:sz="6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0"/>
        <w:gridCol w:w="1560"/>
        <w:gridCol w:w="4700"/>
        <w:gridCol w:w="1660"/>
      </w:tblGrid>
      <w:tr w14:paraId="29BA75DD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D4D9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页面</w:t>
            </w:r>
          </w:p>
        </w:tc>
        <w:tc>
          <w:tcPr>
            <w:tcW w:w="15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6C8E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文件</w:t>
            </w:r>
          </w:p>
        </w:tc>
        <w:tc>
          <w:tcPr>
            <w:tcW w:w="4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2C44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核心内容</w:t>
            </w:r>
          </w:p>
        </w:tc>
        <w:tc>
          <w:tcPr>
            <w:tcW w:w="16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DE82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承担的结构</w:t>
            </w:r>
          </w:p>
        </w:tc>
      </w:tr>
      <w:tr w14:paraId="48F71639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F14B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总览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181B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index.html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A6EB2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封面（Canvas 神经网络动态背景）→ 核心论点 → 六章滚动叙事（理论坐标 / 底座跃升 / 规模扩张 / 产业转型 / 人的维度 / 未来路径）→ 数据口径说明 → 结语</w:t>
            </w:r>
          </w:p>
        </w:tc>
        <w:tc>
          <w:tcPr>
            <w:tcW w:w="16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C5D9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堆叠式结构</w:t>
            </w:r>
          </w:p>
        </w:tc>
      </w:tr>
      <w:tr w14:paraId="76D4A9A0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B5D8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翻页演示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AB3E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deck.html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3BAE9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17 页全屏演示，每页一种可视化；支持键盘、滚轮、触屏、目录跳转、自动播放、全屏</w:t>
            </w:r>
          </w:p>
        </w:tc>
        <w:tc>
          <w:tcPr>
            <w:tcW w:w="16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CC01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翻页式结构</w:t>
            </w:r>
          </w:p>
        </w:tc>
      </w:tr>
      <w:tr w14:paraId="166F72EA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0881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数据看板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5F72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dashboard.html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AC937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8 张核心指标卡 + 12 组图表 + 4 张数据表；支持分类筛选、图表 / 数据表双视图、打印导出</w:t>
            </w:r>
          </w:p>
        </w:tc>
        <w:tc>
          <w:tcPr>
            <w:tcW w:w="16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965C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响应式结构</w:t>
            </w:r>
          </w:p>
        </w:tc>
      </w:tr>
      <w:tr w14:paraId="74F99FB6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7939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数据来源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4680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sources.html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BD4B7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24 项来源清单（含原文链接）、来源可信度分级、5 处口径差异说明、引用格式、技术实现说明</w:t>
            </w:r>
          </w:p>
        </w:tc>
        <w:tc>
          <w:tcPr>
            <w:tcW w:w="16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128D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方法论支撑</w:t>
            </w:r>
          </w:p>
        </w:tc>
      </w:tr>
    </w:tbl>
    <w:p w14:paraId="28DB88EC">
      <w:pPr>
        <w:sectPr>
          <w:headerReference r:id="rId8" w:type="default"/>
          <w:footerReference r:id="rId9" w:type="default"/>
          <w:pgSz w:w="11906" w:h="16838"/>
          <w:pgMar w:top="1418" w:right="1418" w:bottom="1418" w:left="1418" w:header="851" w:footer="992" w:gutter="0"/>
          <w:cols w:space="720" w:num="1"/>
          <w:docGrid w:linePitch="360" w:charSpace="0"/>
        </w:sectPr>
      </w:pPr>
    </w:p>
    <w:p w14:paraId="7971B55D">
      <w:pPr>
        <w:pStyle w:val="2"/>
        <w:keepNext/>
        <w:spacing w:before="240" w:after="240" w:line="360" w:lineRule="auto"/>
        <w:jc w:val="center"/>
      </w:pPr>
      <w:bookmarkStart w:id="3" w:name="_Toc100003"/>
      <w:r>
        <w:rPr>
          <w:rFonts w:ascii="Times New Roman" w:hAnsi="Times New Roman" w:eastAsia="黑体"/>
          <w:color w:val="000000"/>
          <w:sz w:val="32"/>
          <w:szCs w:val="32"/>
        </w:rPr>
        <w:t>第3章  四种可视化结构（对课程要求的逐项落实）</w:t>
      </w:r>
      <w:bookmarkEnd w:id="3"/>
    </w:p>
    <w:p w14:paraId="0A6C4FB2">
      <w:pPr>
        <w:pStyle w:val="3"/>
        <w:keepNext/>
        <w:spacing w:before="240" w:after="120" w:line="360" w:lineRule="auto"/>
        <w:jc w:val="left"/>
      </w:pPr>
      <w:bookmarkStart w:id="4" w:name="_Toc100004"/>
      <w:r>
        <w:rPr>
          <w:rFonts w:ascii="Times New Roman" w:hAnsi="Times New Roman" w:eastAsia="黑体"/>
          <w:color w:val="000000"/>
          <w:sz w:val="28"/>
          <w:szCs w:val="28"/>
        </w:rPr>
        <w:t>3.1 堆叠式结构——总览页的滚动叙事</w:t>
      </w:r>
      <w:bookmarkEnd w:id="4"/>
    </w:p>
    <w:p w14:paraId="7AE3888E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这是网站的技术难点与视觉核心。总览页的第二章、第三章采用"滚动叙事（Scrollytelling）"结构，整体效果如图3-1所示：</w:t>
      </w:r>
    </w:p>
    <w:p w14:paraId="60EB0178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（1）右侧是一块粘性（sticky）仪表盘，内部以"堆叠"方式纵向排列四行指标（算力总规模 / 智能算力 / 5G基站 / 万卡级智算集群）。</w:t>
      </w:r>
    </w:p>
    <w:p w14:paraId="0A105B41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（2）左侧文字随滚动推进；当阅读到某一指标时，右侧堆叠列表中对应行自动高亮（金色边框 + 位移 + 透明度变化），其余行淡出。</w:t>
      </w:r>
    </w:p>
    <w:p w14:paraId="07D4EA04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（3）同时，堆叠仪表盘下方的详情图会随当前指标切换：算力用渐变柱状图、智能算力用带"口径变更"标注的对比柱、5G基站用面积折线、集群用容量计量条。</w:t>
      </w:r>
    </w:p>
    <w:p w14:paraId="1C156EBD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（4）点击堆叠行可直接跳转到对应步骤，形成双向联动。</w:t>
      </w:r>
    </w:p>
    <w:p w14:paraId="2B5ABA3B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718A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图3-1 堆叠式滚动叙事：右侧粘性仪表盘随阅读进度自动高亮当前指标（图中为"智能算力"），下方详情图同步切换</w:t>
      </w:r>
    </w:p>
    <w:p w14:paraId="016BC25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技术实现：</w:t>
      </w:r>
      <w:r>
        <w:rPr>
          <w:rFonts w:ascii="Times New Roman" w:hAnsi="Times New Roman" w:eastAsia="宋体"/>
          <w:color w:val="000000"/>
          <w:sz w:val="24"/>
          <w:szCs w:val="24"/>
        </w:rPr>
        <w:t>IntersectionObserver 判定当前步骤 + ECharts setOption 增量切换 + 自研 SVG 迷你走势图，三者在同一容器内协同。</w:t>
      </w:r>
    </w:p>
    <w:p w14:paraId="58178999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第三章进一步示范了"口径断裂"的处理：当统计口径发生变更时，图表用红色虚线标出断点、并以虚线框区分预测值，而不是把两段不可比的序列连成一条好看的增长曲线。该呈现方式如图3-2所示。</w:t>
      </w:r>
    </w:p>
    <w:p w14:paraId="6FBDAF48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0316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图3-2 口径断裂的如实呈现：旧口径 5784 亿元与新口径 1.2 万亿元之间以红色虚线标出断点，2027 年预测值以虚线框区分</w:t>
      </w:r>
    </w:p>
    <w:p w14:paraId="27DA640F">
      <w:pPr>
        <w:pStyle w:val="3"/>
        <w:keepNext/>
        <w:spacing w:before="240" w:after="120" w:line="360" w:lineRule="auto"/>
        <w:jc w:val="left"/>
      </w:pPr>
      <w:bookmarkStart w:id="5" w:name="_Toc100005"/>
      <w:r>
        <w:rPr>
          <w:rFonts w:ascii="Times New Roman" w:hAnsi="Times New Roman" w:eastAsia="黑体"/>
          <w:color w:val="000000"/>
          <w:sz w:val="28"/>
          <w:szCs w:val="28"/>
        </w:rPr>
        <w:t>3.2 翻页式结构——17 页全屏演示</w:t>
      </w:r>
      <w:bookmarkEnd w:id="5"/>
    </w:p>
    <w:p w14:paraId="15BF553C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翻页演示把整份报告压缩为 17 页，每页一个论点、一种可视化，适合课堂讲解与汇报场景。翻页演示的主界面如图3-3所示，按 S 键呼出的目录浮层如图3-4所示。</w:t>
      </w:r>
    </w:p>
    <w:p w14:paraId="15829AB4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（1）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导航方式：</w:t>
      </w:r>
      <w:r>
        <w:rPr>
          <w:rFonts w:ascii="Times New Roman" w:hAnsi="Times New Roman" w:eastAsia="宋体"/>
          <w:color w:val="000000"/>
          <w:sz w:val="24"/>
          <w:szCs w:val="24"/>
        </w:rPr>
        <w:t>左右方向键 / 上下方向键 / 空格 / PageUp、PageDown / 鼠标滚轮 / 触屏滑动 / 底部按钮 / 目录浮层直接跳转。</w:t>
      </w:r>
    </w:p>
    <w:p w14:paraId="7F74354E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（2）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快捷键：</w:t>
      </w:r>
      <w:r>
        <w:rPr>
          <w:rFonts w:ascii="Times New Roman" w:hAnsi="Times New Roman" w:eastAsia="宋体"/>
          <w:color w:val="000000"/>
          <w:sz w:val="24"/>
          <w:szCs w:val="24"/>
        </w:rPr>
        <w:t>S 呼出目录、P 自动播放（7 秒一页）、F 全屏、Home / End 跳转首尾页。</w:t>
      </w:r>
    </w:p>
    <w:p w14:paraId="0718147A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（3）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视觉反馈：</w:t>
      </w:r>
      <w:r>
        <w:rPr>
          <w:rFonts w:ascii="Times New Roman" w:hAnsi="Times New Roman" w:eastAsia="宋体"/>
          <w:color w:val="000000"/>
          <w:sz w:val="24"/>
          <w:szCs w:val="24"/>
        </w:rPr>
        <w:t>方向感知的滑动过渡、底部 17 段进度刻度、页码计数、顶部章节标签与页码。</w:t>
      </w:r>
    </w:p>
    <w:p w14:paraId="683E4F13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206B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图3-3 翻页式结构：第 04 / 17 页，一页一个论点，三栏卡片对照生产力三要素</w:t>
      </w:r>
    </w:p>
    <w:p w14:paraId="53EE767F">
      <w:pPr>
        <w:keepNext/>
        <w:spacing w:before="200" w:after="60"/>
        <w:jc w:val="center"/>
      </w:pPr>
      <w:r>
        <w:drawing>
          <wp:inline distT="0" distB="0" distL="0" distR="0">
            <wp:extent cx="5238750" cy="20288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D2CB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图3-4 按 S 键或点击底部图标呼出的目录浮层，17 页可直接跳转</w:t>
      </w:r>
    </w:p>
    <w:p w14:paraId="2E349897">
      <w:pPr>
        <w:pStyle w:val="3"/>
        <w:keepNext/>
        <w:spacing w:before="240" w:after="120" w:line="360" w:lineRule="auto"/>
        <w:jc w:val="left"/>
      </w:pPr>
      <w:bookmarkStart w:id="6" w:name="_Toc100006"/>
      <w:r>
        <w:rPr>
          <w:rFonts w:ascii="Times New Roman" w:hAnsi="Times New Roman" w:eastAsia="黑体"/>
          <w:color w:val="000000"/>
          <w:sz w:val="28"/>
          <w:szCs w:val="28"/>
        </w:rPr>
        <w:t>3.3 响应式结构——数据看板</w:t>
      </w:r>
      <w:bookmarkEnd w:id="6"/>
    </w:p>
    <w:p w14:paraId="703C83CD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数据看板采用 12 栅格自适应布局，共 12 组图表，按内容权重分配 3 / 4 / 5 / 6 / 7 / 8 栅格宽度，形成专业仪表盘式的非对称版面。数据看板主界面如图3-5所示，"数据表"视图如图3-6所示，移动端断点重排效果如图3-7所示。</w:t>
      </w:r>
    </w:p>
    <w:p w14:paraId="203CA530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（1）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分类筛选：</w:t>
      </w:r>
      <w:r>
        <w:rPr>
          <w:rFonts w:ascii="Times New Roman" w:hAnsi="Times New Roman" w:eastAsia="宋体"/>
          <w:color w:val="000000"/>
          <w:sz w:val="24"/>
          <w:szCs w:val="24"/>
        </w:rPr>
        <w:t>全部 / 基础设施 / 产业规模 / 创新与效率 / 就业与人才 / 综合对比，标签上直接显示该分类的图表数量。</w:t>
      </w:r>
    </w:p>
    <w:p w14:paraId="4C42341E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（2）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双视图切换：</w:t>
      </w:r>
      <w:r>
        <w:rPr>
          <w:rFonts w:ascii="Times New Roman" w:hAnsi="Times New Roman" w:eastAsia="宋体"/>
          <w:color w:val="000000"/>
          <w:sz w:val="24"/>
          <w:szCs w:val="24"/>
        </w:rPr>
        <w:t>一键在"图表"与"数据表"之间切换，数据表逐行列出来源机构的原始数值、单位与统计口径。</w:t>
      </w:r>
    </w:p>
    <w:p w14:paraId="5BA7930D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（3）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断点适配：</w:t>
      </w:r>
      <w:r>
        <w:rPr>
          <w:rFonts w:ascii="Times New Roman" w:hAnsi="Times New Roman" w:eastAsia="宋体"/>
          <w:color w:val="000000"/>
          <w:sz w:val="24"/>
          <w:szCs w:val="24"/>
        </w:rPr>
        <w:t>1440 / 1024 / 768 / 390px 四档，卡片数与图表高度自动重排；移动端自动折叠为单列并启用汉堡菜单。</w:t>
      </w:r>
    </w:p>
    <w:p w14:paraId="3B5D0A67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（4）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打印导出：</w:t>
      </w:r>
      <w:r>
        <w:rPr>
          <w:rFonts w:ascii="Times New Roman" w:hAnsi="Times New Roman" w:eastAsia="宋体"/>
          <w:color w:val="000000"/>
          <w:sz w:val="24"/>
          <w:szCs w:val="24"/>
        </w:rPr>
        <w:t>支持打印 / 导出 PDF（专门的打印样式，隐藏导航与动效）。</w:t>
      </w:r>
    </w:p>
    <w:p w14:paraId="2ABECA2B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E40A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图3-5 数据看板：顶部为分类筛选与视图切换，主体为 8 张核心指标卡</w:t>
      </w:r>
    </w:p>
    <w:p w14:paraId="75985E8B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2751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图3-6 同一批数据的"数据表"视图：逐行给出时点、数值、单位、口径备注与来源机构</w:t>
      </w:r>
    </w:p>
    <w:tbl>
      <w:tblPr>
        <w:tblStyle w:val="14"/>
        <w:tblW w:w="828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3D8BFC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82" w:hRule="atLeast"/>
        </w:trPr>
        <w:tc>
          <w:tcPr>
            <w:tcW w:w="4140" w:type="dxa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8130CCB"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1905000" cy="390525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80B32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390px 移动端·总览页</w:t>
            </w:r>
          </w:p>
        </w:tc>
        <w:tc>
          <w:tcPr>
            <w:tcW w:w="4140" w:type="dxa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0D3C16A"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1905000" cy="390525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F49D4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390px 移动端·数据看板</w:t>
            </w:r>
          </w:p>
        </w:tc>
      </w:tr>
    </w:tbl>
    <w:p w14:paraId="5CD3B321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图3-7 响应式断点：390px 移动端下的自动重排</w:t>
      </w:r>
    </w:p>
    <w:p w14:paraId="1B240561">
      <w:pPr>
        <w:pStyle w:val="3"/>
        <w:keepNext/>
        <w:spacing w:before="240" w:after="120" w:line="360" w:lineRule="auto"/>
        <w:jc w:val="left"/>
      </w:pPr>
      <w:bookmarkStart w:id="7" w:name="_Toc100007"/>
      <w:r>
        <w:rPr>
          <w:rFonts w:ascii="Times New Roman" w:hAnsi="Times New Roman" w:eastAsia="黑体"/>
          <w:color w:val="000000"/>
          <w:sz w:val="28"/>
          <w:szCs w:val="28"/>
        </w:rPr>
        <w:t>3.4 双主题——官方正式的配色体系</w:t>
      </w:r>
      <w:bookmarkEnd w:id="7"/>
    </w:p>
    <w:p w14:paraId="73AF174A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全站提供深色与浅色两套主题，配色取政务深蓝 + 赤金 + 中国红点缀，兼顾正式感与科技感；主题选择会被记忆。同一版面的双主题对照如图3-8所示。</w:t>
      </w:r>
    </w:p>
    <w:p w14:paraId="5E37F48A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（1）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深色（默认）：</w:t>
      </w:r>
      <w:r>
        <w:rPr>
          <w:rFonts w:ascii="Times New Roman" w:hAnsi="Times New Roman" w:eastAsia="宋体"/>
          <w:color w:val="000000"/>
          <w:sz w:val="24"/>
          <w:szCs w:val="24"/>
        </w:rPr>
        <w:t>深夜蓝底 + 金色高亮 + 青蓝数据色，适合投影与演示。</w:t>
      </w:r>
    </w:p>
    <w:p w14:paraId="5DAA29AF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（2）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浅色：</w:t>
      </w:r>
      <w:r>
        <w:rPr>
          <w:rFonts w:ascii="Times New Roman" w:hAnsi="Times New Roman" w:eastAsia="宋体"/>
          <w:color w:val="000000"/>
          <w:sz w:val="24"/>
          <w:szCs w:val="24"/>
        </w:rPr>
        <w:t>纸白底 + 深蓝标题 + 深金强调，适合打印与阅读。</w:t>
      </w:r>
    </w:p>
    <w:p w14:paraId="7C9269C0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（3）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主题联动：</w:t>
      </w:r>
      <w:r>
        <w:rPr>
          <w:rFonts w:ascii="Times New Roman" w:hAnsi="Times New Roman" w:eastAsia="宋体"/>
          <w:color w:val="000000"/>
          <w:sz w:val="24"/>
          <w:szCs w:val="24"/>
        </w:rPr>
        <w:t>切换主题时，全部 ECharts 图表会同步重绘——通过把 CSS 变量解析为具体色值后再注入 canvas 实现主题联动。</w:t>
      </w:r>
    </w:p>
    <w:tbl>
      <w:tblPr>
        <w:tblStyle w:val="14"/>
        <w:tblW w:w="89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70"/>
        <w:gridCol w:w="4470"/>
      </w:tblGrid>
      <w:tr w14:paraId="270CB96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00" w:hRule="atLeast"/>
        </w:trPr>
        <w:tc>
          <w:tcPr>
            <w:tcW w:w="4450" w:type="dxa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5C9488B"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2762250" cy="172402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ED946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深色主题（默认）</w:t>
            </w:r>
          </w:p>
        </w:tc>
        <w:tc>
          <w:tcPr>
            <w:tcW w:w="4450" w:type="dxa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1BBCACC6"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2762250" cy="172402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FA0FA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浅色主题（一键切换）</w:t>
            </w:r>
          </w:p>
        </w:tc>
      </w:tr>
    </w:tbl>
    <w:p w14:paraId="5D5C5EF5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图3-8 同一版面的深色 / 浅色双主题对照，切换后图表配色同步重绘</w:t>
      </w:r>
    </w:p>
    <w:p w14:paraId="40C3B02C">
      <w:pPr>
        <w:sectPr>
          <w:headerReference r:id="rId10" w:type="default"/>
          <w:footerReference r:id="rId11" w:type="default"/>
          <w:pgSz w:w="11906" w:h="16838"/>
          <w:pgMar w:top="1418" w:right="1418" w:bottom="1418" w:left="1418" w:header="851" w:footer="992" w:gutter="0"/>
          <w:cols w:space="720" w:num="1"/>
          <w:docGrid w:linePitch="360" w:charSpace="0"/>
        </w:sectPr>
      </w:pPr>
    </w:p>
    <w:p w14:paraId="20877C3E">
      <w:pPr>
        <w:pStyle w:val="2"/>
        <w:keepNext/>
        <w:spacing w:before="240" w:after="240" w:line="360" w:lineRule="auto"/>
        <w:jc w:val="center"/>
      </w:pPr>
      <w:bookmarkStart w:id="8" w:name="_Toc100008"/>
      <w:r>
        <w:rPr>
          <w:rFonts w:ascii="Times New Roman" w:hAnsi="Times New Roman" w:eastAsia="黑体"/>
          <w:color w:val="000000"/>
          <w:sz w:val="32"/>
          <w:szCs w:val="32"/>
        </w:rPr>
        <w:t>第4章  可视化形式清单（20 余种）</w:t>
      </w:r>
      <w:bookmarkEnd w:id="8"/>
    </w:p>
    <w:p w14:paraId="04E6435B">
      <w:pPr>
        <w:pStyle w:val="3"/>
        <w:keepNext/>
        <w:spacing w:before="240" w:after="120" w:line="360" w:lineRule="auto"/>
        <w:jc w:val="left"/>
      </w:pPr>
      <w:bookmarkStart w:id="9" w:name="_Toc100009"/>
      <w:r>
        <w:rPr>
          <w:rFonts w:ascii="Times New Roman" w:hAnsi="Times New Roman" w:eastAsia="黑体"/>
          <w:color w:val="000000"/>
          <w:sz w:val="28"/>
          <w:szCs w:val="28"/>
        </w:rPr>
        <w:t>4.1 图表类（Apache ECharts，12 类）</w:t>
      </w:r>
      <w:bookmarkEnd w:id="9"/>
    </w:p>
    <w:p w14:paraId="487F5815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图表类可视化共 12 种，均基于 Apache ECharts 实现，其形式与应用位置如表4-1所示。</w:t>
      </w:r>
    </w:p>
    <w:p w14:paraId="6EDB5725">
      <w:pPr>
        <w:keepNext/>
        <w:spacing w:before="24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表4-1 图表类可视化形式及其应用位置</w:t>
      </w:r>
    </w:p>
    <w:tbl>
      <w:tblPr>
        <w:tblStyle w:val="14"/>
        <w:tblW w:w="9070" w:type="dxa"/>
        <w:tblInd w:w="0" w:type="dxa"/>
        <w:tblBorders>
          <w:top w:val="single" w:color="000000" w:sz="12" w:space="0"/>
          <w:left w:val="none" w:color="FFFFFF" w:sz="0" w:space="0"/>
          <w:bottom w:val="single" w:color="000000" w:sz="12" w:space="0"/>
          <w:right w:val="none" w:color="FFFFFF" w:sz="0" w:space="0"/>
          <w:insideH w:val="single" w:color="000000" w:sz="6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500"/>
        <w:gridCol w:w="4670"/>
      </w:tblGrid>
      <w:tr w14:paraId="49422663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5A68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形式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AE0E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应用位置</w:t>
            </w:r>
          </w:p>
        </w:tc>
        <w:tc>
          <w:tcPr>
            <w:tcW w:w="467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8573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B5A4E08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E7F5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断裂柱状图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E5A2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产业规模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08F5D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用红色虚线显式标出"统计口径变更"，并保留断点与预测值虚线框</w:t>
            </w:r>
          </w:p>
        </w:tc>
      </w:tr>
      <w:tr w14:paraId="4619772D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A850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对数刻度柱状图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CB2D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智能算力 / 私营AI投资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6903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跨数量级数据用对数轴同图呈现，并注明"对数刻度"</w:t>
            </w:r>
          </w:p>
        </w:tc>
      </w:tr>
      <w:tr w14:paraId="03564F4B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5374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双轴柱线复合图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9338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数字经济规模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C1B7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柱表示规模（万亿元）、折线表示占 GDP 比重（%）</w:t>
            </w:r>
          </w:p>
        </w:tc>
      </w:tr>
      <w:tr w14:paraId="567CF030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6CD5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面积折线图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E998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5G基站 / 备案大模型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EF742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渐变面积强化增长趋势</w:t>
            </w:r>
          </w:p>
        </w:tc>
      </w:tr>
      <w:tr w14:paraId="32467FB1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914A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平滑曲线图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5D4D7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增长倍数对比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ADC5F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突出长期趋势</w:t>
            </w:r>
          </w:p>
        </w:tc>
      </w:tr>
      <w:tr w14:paraId="5E14301E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84D1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堆叠柱状图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7948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集群与算力设施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39339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分类叠加对比</w:t>
            </w:r>
          </w:p>
        </w:tc>
      </w:tr>
      <w:tr w14:paraId="3E36EADE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FD7B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环形占比图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1A299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生成式AI专利分布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9F51B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甜甜圈图呈现中美与其他地区占比</w:t>
            </w:r>
          </w:p>
        </w:tc>
      </w:tr>
      <w:tr w14:paraId="7219DF63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98AE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仪表盘 Gauge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6C19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生成式AI普及率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BCB02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半环仪表呈现 50% 普及率</w:t>
            </w:r>
          </w:p>
        </w:tc>
      </w:tr>
      <w:tr w14:paraId="769ADD7C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DF7E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瀑布图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0DF1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就业结构变动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CDAC0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用透明基座柱实现"新增—消失—净增"的瀑布逻辑</w:t>
            </w:r>
          </w:p>
        </w:tc>
      </w:tr>
      <w:tr w14:paraId="55106AA2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236B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横向进度条组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4919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智能制造全球位置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BA1A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中国在密度 / 保有量 / 安装量三项指标上的相对水平</w:t>
            </w:r>
          </w:p>
        </w:tc>
      </w:tr>
      <w:tr w14:paraId="20DD0E17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F3C1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对数横向条形图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6BA3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效率提升倍率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1FD81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把"提升 X%"统一换算为倍率后横向比较</w:t>
            </w:r>
          </w:p>
        </w:tc>
      </w:tr>
      <w:tr w14:paraId="36D3C4A9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D61D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分类散点 / 条形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CE7C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来源类型分布</w:t>
            </w:r>
          </w:p>
        </w:tc>
        <w:tc>
          <w:tcPr>
            <w:tcW w:w="46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7658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统计 24 项来源的机构类型构成</w:t>
            </w:r>
          </w:p>
        </w:tc>
      </w:tr>
    </w:tbl>
    <w:p w14:paraId="571EDB94">
      <w:pPr>
        <w:keepNext/>
        <w:spacing w:before="20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其中，双轴柱线复合图与横向进度条组的呈现效果如图4-1所示。</w:t>
      </w:r>
    </w:p>
    <w:p w14:paraId="3F1B8A7E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1229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图4-1 双轴柱线复合图（左）与横向进度条组（右）：柱表示规模、折线表示占比，进度条呈现中国的全球相对位置</w:t>
      </w:r>
    </w:p>
    <w:p w14:paraId="49EC35D7">
      <w:pPr>
        <w:pStyle w:val="3"/>
        <w:keepNext/>
        <w:spacing w:before="240" w:after="120" w:line="360" w:lineRule="auto"/>
        <w:jc w:val="left"/>
      </w:pPr>
      <w:bookmarkStart w:id="10" w:name="_Toc100010"/>
      <w:r>
        <w:rPr>
          <w:rFonts w:ascii="Times New Roman" w:hAnsi="Times New Roman" w:eastAsia="黑体"/>
          <w:color w:val="000000"/>
          <w:sz w:val="28"/>
          <w:szCs w:val="28"/>
        </w:rPr>
        <w:t>4.2 自研可视化类（原生 SVG / Canvas / DOM，8 类）</w:t>
      </w:r>
      <w:bookmarkEnd w:id="10"/>
    </w:p>
    <w:p w14:paraId="2B74C708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自研可视化共 8 类，均以原生 SVG / Canvas / DOM 实现，不依赖任何图表库，如表4-2所示。</w:t>
      </w:r>
    </w:p>
    <w:p w14:paraId="55F7693A">
      <w:pPr>
        <w:keepNext/>
        <w:spacing w:before="24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表4-2 自研可视化形式（原生 SVG / Canvas / DOM）</w:t>
      </w:r>
    </w:p>
    <w:tbl>
      <w:tblPr>
        <w:tblStyle w:val="14"/>
        <w:tblW w:w="9070" w:type="dxa"/>
        <w:tblInd w:w="0" w:type="dxa"/>
        <w:tblBorders>
          <w:top w:val="single" w:color="000000" w:sz="12" w:space="0"/>
          <w:left w:val="none" w:color="FFFFFF" w:sz="0" w:space="0"/>
          <w:bottom w:val="single" w:color="000000" w:sz="12" w:space="0"/>
          <w:right w:val="none" w:color="FFFFFF" w:sz="0" w:space="0"/>
          <w:insideH w:val="single" w:color="000000" w:sz="6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770"/>
      </w:tblGrid>
      <w:tr w14:paraId="57B852B1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8D10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形式</w:t>
            </w:r>
          </w:p>
        </w:tc>
        <w:tc>
          <w:tcPr>
            <w:tcW w:w="677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24B4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5F1EC8D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6150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神经网络粒子背景</w:t>
            </w:r>
          </w:p>
        </w:tc>
        <w:tc>
          <w:tcPr>
            <w:tcW w:w="67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388A3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Canvas 绘制，节点自动漂移、按距离连线；鼠标移动时节点与指针产生金色连线，随主题变化</w:t>
            </w:r>
          </w:p>
        </w:tc>
      </w:tr>
      <w:tr w14:paraId="7C803BE4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9573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迷你面积走势图</w:t>
            </w:r>
          </w:p>
        </w:tc>
        <w:tc>
          <w:tcPr>
            <w:tcW w:w="67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39D8D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自研 SVG 生成器，用于堆叠仪表盘的每行指标（含对数刻度支持）</w:t>
            </w:r>
          </w:p>
        </w:tc>
      </w:tr>
      <w:tr w14:paraId="01E7197E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6657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容量计量条</w:t>
            </w:r>
          </w:p>
        </w:tc>
        <w:tc>
          <w:tcPr>
            <w:tcW w:w="67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C4841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自研 SVG，用于无完整时间序列的单值指标</w:t>
            </w:r>
          </w:p>
        </w:tc>
      </w:tr>
      <w:tr w14:paraId="60860636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6AAB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政策时间轴</w:t>
            </w:r>
          </w:p>
        </w:tc>
        <w:tc>
          <w:tcPr>
            <w:tcW w:w="67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ED329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左右交错布局的双栏时间轴，关键节点（新质生产力提出、政治局集体学习、国发11号文）金色高亮</w:t>
            </w:r>
          </w:p>
        </w:tc>
      </w:tr>
      <w:tr w14:paraId="6C6A3549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6E69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三阶段环形进度</w:t>
            </w:r>
          </w:p>
        </w:tc>
        <w:tc>
          <w:tcPr>
            <w:tcW w:w="67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483A8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SVG stroke-dasharray 描边动画，呈现 2027 / 2030 / 2035 三阶段目标</w:t>
            </w:r>
          </w:p>
        </w:tc>
      </w:tr>
      <w:tr w14:paraId="287AAB8F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5BD5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极坐标环形图</w:t>
            </w:r>
          </w:p>
        </w:tc>
        <w:tc>
          <w:tcPr>
            <w:tcW w:w="67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98D65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"人工智能+"六大重点行动按极坐标排布，中心为"人工智能+"枢纽</w:t>
            </w:r>
          </w:p>
        </w:tc>
      </w:tr>
      <w:tr w14:paraId="6D24AA5C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722B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效率刻度条</w:t>
            </w:r>
          </w:p>
        </w:tc>
        <w:tc>
          <w:tcPr>
            <w:tcW w:w="67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48EB2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行业案例卡内的对数刻度进度条</w:t>
            </w:r>
          </w:p>
        </w:tc>
      </w:tr>
      <w:tr w14:paraId="025E378E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F13D7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数字滚动 / 逐字浮现</w:t>
            </w:r>
          </w:p>
        </w:tc>
        <w:tc>
          <w:tcPr>
            <w:tcW w:w="67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5ED0A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KPI 数字的缓动计数动画、滚动触发的元素分组揭示</w:t>
            </w:r>
          </w:p>
        </w:tc>
      </w:tr>
    </w:tbl>
    <w:p w14:paraId="5398A4AB">
      <w:pPr>
        <w:keepNext/>
        <w:spacing w:before="20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部分自研可视化的呈现效果如图4-2所示，政策时间轴如图4-3所示。</w:t>
      </w:r>
    </w:p>
    <w:tbl>
      <w:tblPr>
        <w:tblStyle w:val="14"/>
        <w:tblW w:w="907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5"/>
      </w:tblGrid>
      <w:tr w14:paraId="63A952E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35" w:type="dxa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385B164D"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2762250" cy="172402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23125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就业结构瀑布图与人才缺口</w:t>
            </w:r>
          </w:p>
        </w:tc>
        <w:tc>
          <w:tcPr>
            <w:tcW w:w="4535" w:type="dxa"/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6842E5B">
            <w:pPr>
              <w:keepNext/>
              <w:spacing w:before="120" w:after="40"/>
              <w:jc w:val="center"/>
            </w:pPr>
            <w:r>
              <w:drawing>
                <wp:inline distT="0" distB="0" distL="0" distR="0">
                  <wp:extent cx="2762250" cy="172402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A92E1">
            <w:pPr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三阶段环形进度与"人工智能+"极坐标环形图</w:t>
            </w:r>
          </w:p>
        </w:tc>
      </w:tr>
    </w:tbl>
    <w:p w14:paraId="45C1BE02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图4-2 三种自研可视化：瀑布图（就业净增）、SVG 环形进度（2027 / 2030 / 2035 三阶段目标）、极坐标环形图（六大重点行动）</w:t>
      </w:r>
    </w:p>
    <w:p w14:paraId="3B138CAD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64D6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图4-3 政策时间轴：左右交错布局，关键节点金色高亮</w:t>
      </w:r>
    </w:p>
    <w:p w14:paraId="266A8F1C">
      <w:pPr>
        <w:sectPr>
          <w:headerReference r:id="rId12" w:type="default"/>
          <w:footerReference r:id="rId13" w:type="default"/>
          <w:pgSz w:w="11906" w:h="16838"/>
          <w:pgMar w:top="1418" w:right="1418" w:bottom="1418" w:left="1418" w:header="851" w:footer="992" w:gutter="0"/>
          <w:cols w:space="720" w:num="1"/>
          <w:docGrid w:linePitch="360" w:charSpace="0"/>
        </w:sectPr>
      </w:pPr>
    </w:p>
    <w:p w14:paraId="04F005BD">
      <w:pPr>
        <w:pStyle w:val="2"/>
        <w:keepNext/>
        <w:spacing w:before="240" w:after="240" w:line="360" w:lineRule="auto"/>
        <w:jc w:val="center"/>
      </w:pPr>
      <w:bookmarkStart w:id="11" w:name="_Toc100011"/>
      <w:r>
        <w:rPr>
          <w:rFonts w:ascii="Times New Roman" w:hAnsi="Times New Roman" w:eastAsia="黑体"/>
          <w:color w:val="000000"/>
          <w:sz w:val="32"/>
          <w:szCs w:val="32"/>
        </w:rPr>
        <w:t>第5章  数据可信度设计（本网站最核心的差异化亮点）</w:t>
      </w:r>
      <w:bookmarkEnd w:id="11"/>
    </w:p>
    <w:p w14:paraId="53B2814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人工智能领域的数据统计口径极为混乱，同一指标在不同来源间可能出现数倍差距。本网站选择的是"如实呈现差异"，而不是挑选最好看的数字。这一部分的工作量约占整体的三分之一。</w:t>
      </w:r>
    </w:p>
    <w:p w14:paraId="21C858D7">
      <w:pPr>
        <w:pStyle w:val="3"/>
        <w:keepNext/>
        <w:spacing w:before="240" w:after="120" w:line="360" w:lineRule="auto"/>
        <w:jc w:val="left"/>
      </w:pPr>
      <w:bookmarkStart w:id="12" w:name="_Toc100012"/>
      <w:r>
        <w:rPr>
          <w:rFonts w:ascii="Times New Roman" w:hAnsi="Times New Roman" w:eastAsia="黑体"/>
          <w:color w:val="000000"/>
          <w:sz w:val="28"/>
          <w:szCs w:val="28"/>
        </w:rPr>
        <w:t>5.1 四条数据处理原则</w:t>
      </w:r>
      <w:bookmarkEnd w:id="12"/>
    </w:p>
    <w:p w14:paraId="3FC9901A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（1）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只使用可追溯来源：</w:t>
      </w:r>
      <w:r>
        <w:rPr>
          <w:rFonts w:ascii="Times New Roman" w:hAnsi="Times New Roman" w:eastAsia="宋体"/>
          <w:color w:val="000000"/>
          <w:sz w:val="24"/>
          <w:szCs w:val="24"/>
        </w:rPr>
        <w:t>优先使用政府统计公报、</w:t>
      </w:r>
      <w:bookmarkStart w:id="18" w:name="_GoBack"/>
      <w:bookmarkEnd w:id="18"/>
      <w:r>
        <w:rPr>
          <w:rFonts w:ascii="Times New Roman" w:hAnsi="Times New Roman" w:eastAsia="宋体"/>
          <w:color w:val="000000"/>
          <w:sz w:val="24"/>
          <w:szCs w:val="24"/>
        </w:rPr>
        <w:t>国家部委发布口径与官方规划文件原文；所有数据给出机构、报告名称与原文链接。</w:t>
      </w:r>
    </w:p>
    <w:p w14:paraId="093A197D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（2）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口径优先于数值：</w:t>
      </w:r>
      <w:r>
        <w:rPr>
          <w:rFonts w:ascii="Times New Roman" w:hAnsi="Times New Roman" w:eastAsia="宋体"/>
          <w:color w:val="000000"/>
          <w:sz w:val="24"/>
          <w:szCs w:val="24"/>
        </w:rPr>
        <w:t>同一指标存在多套口径时分别标注含义，不混用、不拼接；口径变更的序列在图上显式标出断点。</w:t>
      </w:r>
    </w:p>
    <w:p w14:paraId="791FAD8B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（3）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区分统计事实与预测：</w:t>
      </w:r>
      <w:r>
        <w:rPr>
          <w:rFonts w:ascii="Times New Roman" w:hAnsi="Times New Roman" w:eastAsia="宋体"/>
          <w:color w:val="000000"/>
          <w:sz w:val="24"/>
          <w:szCs w:val="24"/>
        </w:rPr>
        <w:t>已发生的统计数据与未来测算、规划目标在视觉上严格区分，预测数据一律加"预测"标记。</w:t>
      </w:r>
    </w:p>
    <w:p w14:paraId="0302540D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（4）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不制造精度幻觉：</w:t>
      </w:r>
      <w:r>
        <w:rPr>
          <w:rFonts w:ascii="Times New Roman" w:hAnsi="Times New Roman" w:eastAsia="宋体"/>
          <w:color w:val="000000"/>
          <w:sz w:val="24"/>
          <w:szCs w:val="24"/>
        </w:rPr>
        <w:t>对尚无官方测算的指标不给出单一结论数字，而是并列呈现不同机构的测算区间与分歧。</w:t>
      </w:r>
    </w:p>
    <w:p w14:paraId="48285D07">
      <w:pPr>
        <w:pStyle w:val="3"/>
        <w:keepNext/>
        <w:spacing w:before="240" w:after="120" w:line="360" w:lineRule="auto"/>
        <w:jc w:val="left"/>
      </w:pPr>
      <w:bookmarkStart w:id="13" w:name="_Toc100013"/>
      <w:r>
        <w:rPr>
          <w:rFonts w:ascii="Times New Roman" w:hAnsi="Times New Roman" w:eastAsia="黑体"/>
          <w:color w:val="000000"/>
          <w:sz w:val="28"/>
          <w:szCs w:val="28"/>
        </w:rPr>
        <w:t>5.2 五处必须提醒的口径差异</w:t>
      </w:r>
      <w:bookmarkEnd w:id="13"/>
    </w:p>
    <w:p w14:paraId="135D0B3E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五处必须提醒的统计口径差异如表5-1所示。</w:t>
      </w:r>
    </w:p>
    <w:p w14:paraId="2EF5FA7D">
      <w:pPr>
        <w:keepNext/>
        <w:spacing w:before="24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表5-1 五处必须提醒的统计口径差异</w:t>
      </w:r>
    </w:p>
    <w:tbl>
      <w:tblPr>
        <w:tblStyle w:val="14"/>
        <w:tblW w:w="9070" w:type="dxa"/>
        <w:tblInd w:w="0" w:type="dxa"/>
        <w:tblBorders>
          <w:top w:val="single" w:color="000000" w:sz="12" w:space="0"/>
          <w:left w:val="none" w:color="FFFFFF" w:sz="0" w:space="0"/>
          <w:bottom w:val="single" w:color="000000" w:sz="12" w:space="0"/>
          <w:right w:val="none" w:color="FFFFFF" w:sz="0" w:space="0"/>
          <w:insideH w:val="single" w:color="000000" w:sz="6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70"/>
      </w:tblGrid>
      <w:tr w14:paraId="4C75F5A3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883A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差异</w:t>
            </w:r>
          </w:p>
        </w:tc>
        <w:tc>
          <w:tcPr>
            <w:tcW w:w="647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8579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具体说明</w:t>
            </w:r>
          </w:p>
        </w:tc>
      </w:tr>
      <w:tr w14:paraId="20BC302A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7935D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AI 产业规模：新旧口径不可衔接</w:t>
            </w:r>
          </w:p>
        </w:tc>
        <w:tc>
          <w:tcPr>
            <w:tcW w:w="6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D5089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2019—2023 年为"人工智能核心产业规模"（2023 年 5784 亿元）；2024 年起中国信通院启用新方法测算"人工智能产业规模"（2024 年超 9000 亿元）。强行连线会得出错误的"同比 +55%"结论，本站在图中画出断裂标记。</w:t>
            </w:r>
          </w:p>
        </w:tc>
      </w:tr>
      <w:tr w14:paraId="59F9FAD5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5E28E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算力规模：三种精度口径并存</w:t>
            </w:r>
          </w:p>
        </w:tc>
        <w:tc>
          <w:tcPr>
            <w:tcW w:w="6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EB620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工信部 FP32 口径下 2024 年底为 280 EFLOPS，智能算力 90 EFLOPS；2025 年起智能算力改用新精度口径达 1590 EFLOPS。数值相差数倍源于精度标准与统计边界不同。</w:t>
            </w:r>
          </w:p>
        </w:tc>
      </w:tr>
      <w:tr w14:paraId="1F1E9723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61170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数字经济：全口径与核心产业口径</w:t>
            </w:r>
          </w:p>
        </w:tc>
        <w:tc>
          <w:tcPr>
            <w:tcW w:w="6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0D9C9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全口径数字经济规模 2024 年 59.2 万亿元、占 GDP 43.8%（信通院）；数字经济核心产业增加值 14.09 万亿元、占 GDP 10.5%（国家统计局）。两者含义不同。</w:t>
            </w:r>
          </w:p>
        </w:tc>
      </w:tr>
      <w:tr w14:paraId="04347DFF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C3B0D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企业数量：AI 企业与"用 AI 的企业"</w:t>
            </w:r>
          </w:p>
        </w:tc>
        <w:tc>
          <w:tcPr>
            <w:tcW w:w="6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F94BB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"人工智能相关企业"（2026 年 6 月超 6600 家）与"开发或应用 AI 的企业"（2024 年同比增长 36%）是两种统计对象。</w:t>
            </w:r>
          </w:p>
        </w:tc>
      </w:tr>
      <w:tr w14:paraId="1A31A6F5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CC76F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国际对比：投资口径差异显著</w:t>
            </w:r>
          </w:p>
        </w:tc>
        <w:tc>
          <w:tcPr>
            <w:tcW w:w="6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521C2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斯坦福 HAI 统计的"私营 AI 投资"仅含私募与风险投资，不含政府投入与公开市场融资，与国内投融资总额口径不可直接比较。</w:t>
            </w:r>
          </w:p>
        </w:tc>
      </w:tr>
    </w:tbl>
    <w:p w14:paraId="764BC5BB">
      <w:pPr>
        <w:keepNext/>
        <w:spacing w:before="20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总览页专门用一节列出五处口径差异，其版面如图5-1所示。</w:t>
      </w:r>
    </w:p>
    <w:p w14:paraId="7412C2A7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F1C9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图5-1 总览页的口径差异说明：与数据看板的脚注、数据来源页的说明三处互为呼应</w:t>
      </w:r>
    </w:p>
    <w:p w14:paraId="62C4826E">
      <w:pPr>
        <w:pStyle w:val="3"/>
        <w:keepNext/>
        <w:spacing w:before="240" w:after="120" w:line="360" w:lineRule="auto"/>
        <w:jc w:val="left"/>
      </w:pPr>
      <w:bookmarkStart w:id="14" w:name="_Toc100014"/>
      <w:r>
        <w:rPr>
          <w:rFonts w:ascii="Times New Roman" w:hAnsi="Times New Roman" w:eastAsia="黑体"/>
          <w:color w:val="000000"/>
          <w:sz w:val="28"/>
          <w:szCs w:val="28"/>
        </w:rPr>
        <w:t>5.3 数据标记体系</w:t>
      </w:r>
      <w:bookmarkEnd w:id="14"/>
    </w:p>
    <w:p w14:paraId="37E9F05C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（1）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【统计 / 实测】</w:t>
      </w:r>
      <w:r>
        <w:rPr>
          <w:rFonts w:ascii="Times New Roman" w:hAnsi="Times New Roman" w:eastAsia="宋体"/>
          <w:color w:val="000000"/>
          <w:sz w:val="24"/>
          <w:szCs w:val="24"/>
        </w:rPr>
        <w:t>由官方或研究机构发布的已发生统计数据，含口径说明与年份。</w:t>
      </w:r>
    </w:p>
    <w:p w14:paraId="15819F96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（2）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【预测 / 规划目标】</w:t>
      </w:r>
      <w:r>
        <w:rPr>
          <w:rFonts w:ascii="Times New Roman" w:hAnsi="Times New Roman" w:eastAsia="宋体"/>
          <w:color w:val="000000"/>
          <w:sz w:val="24"/>
          <w:szCs w:val="24"/>
        </w:rPr>
        <w:t>机构对未来时点的测算或政策文件设定的目标值，不是已发生事实。</w:t>
      </w:r>
    </w:p>
    <w:p w14:paraId="7DB9C65A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（3）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【口径提示】</w:t>
      </w:r>
      <w:r>
        <w:rPr>
          <w:rFonts w:ascii="Times New Roman" w:hAnsi="Times New Roman" w:eastAsia="宋体"/>
          <w:color w:val="000000"/>
          <w:sz w:val="24"/>
          <w:szCs w:val="24"/>
        </w:rPr>
        <w:t>该指标存在统计标准变更或多种口径并存，阅读时需注意不可直接比较。</w:t>
      </w:r>
    </w:p>
    <w:p w14:paraId="4807F45B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（4）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【案例样本】</w:t>
      </w:r>
      <w:r>
        <w:rPr>
          <w:rFonts w:ascii="Times New Roman" w:hAnsi="Times New Roman" w:eastAsia="宋体"/>
          <w:color w:val="000000"/>
          <w:sz w:val="24"/>
          <w:szCs w:val="24"/>
        </w:rPr>
        <w:t>来自具体企业或地区的实测结果，不代表行业整体水平。</w:t>
      </w:r>
    </w:p>
    <w:p w14:paraId="250173D3">
      <w:pPr>
        <w:sectPr>
          <w:headerReference r:id="rId14" w:type="default"/>
          <w:footerReference r:id="rId15" w:type="default"/>
          <w:pgSz w:w="11906" w:h="16838"/>
          <w:pgMar w:top="1418" w:right="1418" w:bottom="1418" w:left="1418" w:header="851" w:footer="992" w:gutter="0"/>
          <w:cols w:space="720" w:num="1"/>
          <w:docGrid w:linePitch="360" w:charSpace="0"/>
        </w:sectPr>
      </w:pPr>
    </w:p>
    <w:p w14:paraId="069ED2C8">
      <w:pPr>
        <w:pStyle w:val="2"/>
        <w:keepNext/>
        <w:spacing w:before="240" w:after="240" w:line="360" w:lineRule="auto"/>
        <w:jc w:val="center"/>
      </w:pPr>
      <w:bookmarkStart w:id="15" w:name="_Toc100015"/>
      <w:r>
        <w:rPr>
          <w:rFonts w:ascii="Times New Roman" w:hAnsi="Times New Roman" w:eastAsia="黑体"/>
          <w:color w:val="000000"/>
          <w:sz w:val="32"/>
          <w:szCs w:val="32"/>
        </w:rPr>
        <w:t>第6章  内容与数据亮点</w:t>
      </w:r>
      <w:bookmarkEnd w:id="15"/>
    </w:p>
    <w:p w14:paraId="1E3EC8AA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网站呈现的主要内容与数据亮点如表6-1所示，每条均可在站内追溯来源。</w:t>
      </w:r>
    </w:p>
    <w:p w14:paraId="16D84403">
      <w:pPr>
        <w:keepNext/>
        <w:spacing w:before="24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表6-1 内容与数据亮点一览（每条均可在站内追溯来源）</w:t>
      </w:r>
    </w:p>
    <w:tbl>
      <w:tblPr>
        <w:tblStyle w:val="14"/>
        <w:tblW w:w="9070" w:type="dxa"/>
        <w:tblInd w:w="0" w:type="dxa"/>
        <w:tblBorders>
          <w:top w:val="single" w:color="000000" w:sz="12" w:space="0"/>
          <w:left w:val="none" w:color="FFFFFF" w:sz="0" w:space="0"/>
          <w:bottom w:val="single" w:color="000000" w:sz="12" w:space="0"/>
          <w:right w:val="none" w:color="FFFFFF" w:sz="0" w:space="0"/>
          <w:insideH w:val="single" w:color="000000" w:sz="6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5270"/>
        <w:gridCol w:w="2500"/>
      </w:tblGrid>
      <w:tr w14:paraId="1685BB3C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F5D7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维度</w:t>
            </w:r>
          </w:p>
        </w:tc>
        <w:tc>
          <w:tcPr>
            <w:tcW w:w="527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694F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关键数据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2A1A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来源</w:t>
            </w:r>
          </w:p>
        </w:tc>
      </w:tr>
      <w:tr w14:paraId="3D5D4EDF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9271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产业规模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3B237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 年人工智能产业规模超 1.2 万亿元，同比 +40%；2027 年预计达 2 万亿元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0DC5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中国信通院 / 工信部</w:t>
            </w:r>
          </w:p>
        </w:tc>
      </w:tr>
      <w:tr w14:paraId="7C456238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2560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算力底座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75B35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算力总规模四年从 140 增至 280 EFLOPS；2026 年 6 月智能算力 2185 EFLOPS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237F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工业和信息化部</w:t>
            </w:r>
          </w:p>
        </w:tc>
      </w:tr>
      <w:tr w14:paraId="06EF2BF6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F718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连接底座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C0D69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5G 基站从 13 万个增至 483.8 万个（2025 年底）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E0AF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工信部《通信业统计公报》</w:t>
            </w:r>
          </w:p>
        </w:tc>
      </w:tr>
      <w:tr w14:paraId="67013E4B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2340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模型供给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EF71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累计备案生成式 AI 模型 748 款，2025 年新增备案 446 款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00C2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国家互联网信息办公室</w:t>
            </w:r>
          </w:p>
        </w:tc>
      </w:tr>
      <w:tr w14:paraId="1A262FD4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83B4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用户扩散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C845F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生成式 AI 用户规模突破 7 亿人，普及率超 50%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940F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CNNIC</w:t>
            </w:r>
          </w:p>
        </w:tc>
      </w:tr>
      <w:tr w14:paraId="5D7D260D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14DC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经营主体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D3353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人工智能相关企业超 6600 家（2026 年 6 月），全球占比约 15%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5547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中国信通院</w:t>
            </w:r>
          </w:p>
        </w:tc>
      </w:tr>
      <w:tr w14:paraId="1CCE384C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EFFD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产业母体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F8F1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数字经济规模 59.2 万亿元，占 GDP 43.8%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4820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中国信通院</w:t>
            </w:r>
          </w:p>
        </w:tc>
      </w:tr>
      <w:tr w14:paraId="5AF4B319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9D93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智能制造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69990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工业机器人安装量占全球 54%，保有量 202.7 万台占 43.5%，密度居全球第三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B83F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IFR</w:t>
            </w:r>
          </w:p>
        </w:tc>
      </w:tr>
      <w:tr w14:paraId="1AB9F6DB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B4CA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创新产出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8B232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2024 年全球新公开生成式 AI 专利中，中国 2.7 万件、占 61.5%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8130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WIPO 检索方法</w:t>
            </w:r>
          </w:p>
        </w:tc>
      </w:tr>
      <w:tr w14:paraId="23852F13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DC18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效率改进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2294F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电网仿真效率提升 30 倍以上；药物研发成本降低近一半；单吨钢材成本降 97 元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5A9D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人民网等公开报道</w:t>
            </w:r>
          </w:p>
        </w:tc>
      </w:tr>
      <w:tr w14:paraId="07360DEA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CE3C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就业结构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F8957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到 2030 年全球岗位净增约 7800 万个（新增 1.7 亿、消失 9200 万）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A6A2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世界经济论坛（预测）</w:t>
            </w:r>
          </w:p>
        </w:tc>
      </w:tr>
      <w:tr w14:paraId="3A3643A1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9CBC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人才供需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A000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 AI 人才缺口超 500 万人，供求比约 1:10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CAED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人社部 / 智联招聘</w:t>
            </w:r>
          </w:p>
        </w:tc>
      </w:tr>
      <w:tr w14:paraId="6D6439FF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F3BB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政策目标</w:t>
            </w:r>
          </w:p>
        </w:tc>
        <w:tc>
          <w:tcPr>
            <w:tcW w:w="52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45166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2027 年智能终端与智能体应用普及率超 70%，2030 年超 90%，2035 年步入智能社会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7496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国发〔2025〕11 号</w:t>
            </w:r>
          </w:p>
        </w:tc>
      </w:tr>
    </w:tbl>
    <w:p w14:paraId="4349E477">
      <w:pPr>
        <w:keepNext/>
        <w:spacing w:before="20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行业微观样本的呈现如图6-1所示。</w:t>
      </w:r>
    </w:p>
    <w:p w14:paraId="55B0E4EC">
      <w:pPr>
        <w:keepNext/>
        <w:spacing w:before="200" w:after="60"/>
        <w:jc w:val="center"/>
      </w:pPr>
      <w:r>
        <w:drawing>
          <wp:inline distT="0" distB="0" distL="0" distR="0">
            <wp:extent cx="5238750" cy="3276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3AE0">
      <w:pPr>
        <w:spacing w:before="60" w:after="24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图6-1 行业微观样本：8 个真实场景的效率改进数据，覆盖能源电力、先进制造、生物医药、钢铁冶金、智慧交通、现代农业、医疗健康与智能制造</w:t>
      </w:r>
    </w:p>
    <w:p w14:paraId="64EA928C">
      <w:pPr>
        <w:sectPr>
          <w:headerReference r:id="rId16" w:type="default"/>
          <w:footerReference r:id="rId17" w:type="default"/>
          <w:pgSz w:w="11906" w:h="16838"/>
          <w:pgMar w:top="1418" w:right="1418" w:bottom="1418" w:left="1418" w:header="851" w:footer="992" w:gutter="0"/>
          <w:cols w:space="720" w:num="1"/>
          <w:docGrid w:linePitch="360" w:charSpace="0"/>
        </w:sectPr>
      </w:pPr>
    </w:p>
    <w:p w14:paraId="181A814D">
      <w:pPr>
        <w:pStyle w:val="2"/>
        <w:keepNext/>
        <w:spacing w:before="240" w:after="240" w:line="360" w:lineRule="auto"/>
        <w:jc w:val="center"/>
      </w:pPr>
      <w:bookmarkStart w:id="16" w:name="_Toc100016"/>
      <w:r>
        <w:rPr>
          <w:rFonts w:ascii="Times New Roman" w:hAnsi="Times New Roman" w:eastAsia="黑体"/>
          <w:color w:val="000000"/>
          <w:sz w:val="32"/>
          <w:szCs w:val="32"/>
        </w:rPr>
        <w:t>第7章  技术与工程亮点</w:t>
      </w:r>
      <w:bookmarkEnd w:id="16"/>
    </w:p>
    <w:p w14:paraId="0AFBA06F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（1）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纯静态、零构建：</w:t>
      </w:r>
      <w:r>
        <w:rPr>
          <w:rFonts w:ascii="Times New Roman" w:hAnsi="Times New Roman" w:eastAsia="宋体"/>
          <w:color w:val="000000"/>
          <w:sz w:val="24"/>
          <w:szCs w:val="24"/>
        </w:rPr>
        <w:t>全站为 HTML / CSS / 原生 JavaScript，无框架、无构建步骤、无后端依赖。</w:t>
      </w:r>
    </w:p>
    <w:p w14:paraId="41541F41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（2）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零外部依赖：</w:t>
      </w:r>
      <w:r>
        <w:rPr>
          <w:rFonts w:ascii="Times New Roman" w:hAnsi="Times New Roman" w:eastAsia="宋体"/>
          <w:color w:val="000000"/>
          <w:sz w:val="24"/>
          <w:szCs w:val="24"/>
        </w:rPr>
        <w:t>图表库 Apache ECharts 5.5.1 已本地化部署，不加载任何外部 CDN、第三方字体或分析脚本；可离线打开、可长期归档。</w:t>
      </w:r>
    </w:p>
    <w:p w14:paraId="1D6C4529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（3）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单一数据源：</w:t>
      </w:r>
      <w:r>
        <w:rPr>
          <w:rFonts w:ascii="Times New Roman" w:hAnsi="Times New Roman" w:eastAsia="宋体"/>
          <w:color w:val="000000"/>
          <w:sz w:val="24"/>
          <w:szCs w:val="24"/>
        </w:rPr>
        <w:t>三个页面共用同一份 data.js，任何数据修改一处即全站同步，杜绝多页面数字不一致。</w:t>
      </w:r>
    </w:p>
    <w:p w14:paraId="0FD13537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（4）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主题联动：</w:t>
      </w:r>
      <w:r>
        <w:rPr>
          <w:rFonts w:ascii="Times New Roman" w:hAnsi="Times New Roman" w:eastAsia="宋体"/>
          <w:color w:val="000000"/>
          <w:sz w:val="24"/>
          <w:szCs w:val="24"/>
        </w:rPr>
        <w:t>ECharts 通过 canvas 渲染，无法识别 CSS 变量；本站通过"CSS 变量 → 具体色值"的运行时解析层，实现了图表与主题的完整联动。</w:t>
      </w:r>
    </w:p>
    <w:p w14:paraId="65470AE8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（5）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性能设计：</w:t>
      </w:r>
      <w:r>
        <w:rPr>
          <w:rFonts w:ascii="Times New Roman" w:hAnsi="Times New Roman" w:eastAsia="宋体"/>
          <w:color w:val="000000"/>
          <w:sz w:val="24"/>
          <w:szCs w:val="24"/>
        </w:rPr>
        <w:t>迷你走势图为自研 SVG（无请求、矢量清晰）；看板图表采用 IntersectionObserver 懒加载，避免首屏一次性渲染 12 张图表。</w:t>
      </w:r>
    </w:p>
    <w:p w14:paraId="1D8C4935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（6）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可访问性：</w:t>
      </w:r>
      <w:r>
        <w:rPr>
          <w:rFonts w:ascii="Times New Roman" w:hAnsi="Times New Roman" w:eastAsia="宋体"/>
          <w:color w:val="000000"/>
          <w:sz w:val="24"/>
          <w:szCs w:val="24"/>
        </w:rPr>
        <w:t>键盘完整导航、语义化标签、aria 标注、尊重系统"减少动态效果"偏好、打印样式适配。</w:t>
      </w:r>
    </w:p>
    <w:p w14:paraId="58ACD55F">
      <w:pPr>
        <w:spacing w:before="0" w:after="6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（7）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>工程化验收：</w:t>
      </w:r>
      <w:r>
        <w:rPr>
          <w:rFonts w:ascii="Times New Roman" w:hAnsi="Times New Roman" w:eastAsia="宋体"/>
          <w:color w:val="000000"/>
          <w:sz w:val="24"/>
          <w:szCs w:val="24"/>
        </w:rPr>
        <w:t>提供 6 个 Playwright 自动化脚本（整页截图、逐页截图、响应式断点、浅色主题、线上巡检、文档配图），用于持续验收。</w:t>
      </w:r>
    </w:p>
    <w:p w14:paraId="56002EC9">
      <w:pPr>
        <w:sectPr>
          <w:headerReference r:id="rId18" w:type="default"/>
          <w:footerReference r:id="rId19" w:type="default"/>
          <w:pgSz w:w="11906" w:h="16838"/>
          <w:pgMar w:top="1418" w:right="1418" w:bottom="1418" w:left="1418" w:header="851" w:footer="992" w:gutter="0"/>
          <w:cols w:space="720" w:num="1"/>
          <w:docGrid w:linePitch="360" w:charSpace="0"/>
        </w:sectPr>
      </w:pPr>
    </w:p>
    <w:p w14:paraId="61699E4E">
      <w:pPr>
        <w:pStyle w:val="2"/>
        <w:keepNext/>
        <w:spacing w:before="240" w:after="240" w:line="360" w:lineRule="auto"/>
        <w:jc w:val="center"/>
      </w:pPr>
      <w:bookmarkStart w:id="17" w:name="_Toc100017"/>
      <w:r>
        <w:rPr>
          <w:rFonts w:ascii="Times New Roman" w:hAnsi="Times New Roman" w:eastAsia="黑体"/>
          <w:color w:val="000000"/>
          <w:sz w:val="32"/>
          <w:szCs w:val="32"/>
        </w:rPr>
        <w:t>附　录</w:t>
      </w:r>
      <w:bookmarkEnd w:id="17"/>
    </w:p>
    <w:p w14:paraId="6B000FC5">
      <w:pPr>
        <w:keepNext/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本附录列出网站全部 24 项数据来源，站内均可点击跳转原文，如表A1所示。</w:t>
      </w:r>
    </w:p>
    <w:p w14:paraId="2BB1020C">
      <w:pPr>
        <w:keepNext/>
        <w:spacing w:before="240" w:after="80" w:line="360" w:lineRule="auto"/>
        <w:jc w:val="center"/>
      </w:pPr>
      <w:r>
        <w:rPr>
          <w:rFonts w:ascii="Times New Roman" w:hAnsi="Times New Roman" w:eastAsia="宋体"/>
          <w:color w:val="000000"/>
          <w:sz w:val="21"/>
          <w:szCs w:val="21"/>
        </w:rPr>
        <w:t>表A1 数据来源清单（24 项）</w:t>
      </w:r>
    </w:p>
    <w:tbl>
      <w:tblPr>
        <w:tblStyle w:val="14"/>
        <w:tblW w:w="9070" w:type="dxa"/>
        <w:tblInd w:w="0" w:type="dxa"/>
        <w:tblBorders>
          <w:top w:val="single" w:color="000000" w:sz="12" w:space="0"/>
          <w:left w:val="none" w:color="FFFFFF" w:sz="0" w:space="0"/>
          <w:bottom w:val="single" w:color="000000" w:sz="12" w:space="0"/>
          <w:right w:val="none" w:color="FFFFFF" w:sz="0" w:space="0"/>
          <w:insideH w:val="single" w:color="000000" w:sz="6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400"/>
        <w:gridCol w:w="4470"/>
        <w:gridCol w:w="1500"/>
      </w:tblGrid>
      <w:tr w14:paraId="4A5E3941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BA5B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D4AB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机构</w:t>
            </w:r>
          </w:p>
        </w:tc>
        <w:tc>
          <w:tcPr>
            <w:tcW w:w="447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C580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文件 / 报告名称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8E9F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1"/>
                <w:szCs w:val="21"/>
              </w:rPr>
              <w:t>时间</w:t>
            </w:r>
          </w:p>
        </w:tc>
      </w:tr>
      <w:tr w14:paraId="4012FC70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03ED7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7AAD9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中国政府网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B6D0D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《关于深入实施"人工智能+"行动的意见》（国发〔2025〕11号）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8C65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2025-08-26</w:t>
            </w:r>
          </w:p>
        </w:tc>
      </w:tr>
      <w:tr w14:paraId="55C40431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9E84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748B8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中国政府网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1FBFA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《政府工作报告》全文（2024 年、2025 年）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6851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2024 / 2025</w:t>
            </w:r>
          </w:p>
        </w:tc>
      </w:tr>
      <w:tr w14:paraId="437F71FF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061A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D7F13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人民网 / 新华社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787A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习近平在中共中央政治局第十一次集体学习时的讲话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6756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2024-02-01</w:t>
            </w:r>
          </w:p>
        </w:tc>
      </w:tr>
      <w:tr w14:paraId="137AE4A1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D7F8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D72D1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工业和信息化部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0089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《通信业统计公报》（2019—2024）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A238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逐年</w:t>
            </w:r>
          </w:p>
        </w:tc>
      </w:tr>
      <w:tr w14:paraId="7B4350A9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BD84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808F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工业和信息化部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0949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人工智能产业规模、智能算力、企业数量发布数据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9DF2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2025—2026</w:t>
            </w:r>
          </w:p>
        </w:tc>
      </w:tr>
      <w:tr w14:paraId="6342C9AB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CD04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6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71D4A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国家互联网信息办公室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2EC3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生成式人工智能服务备案信息公告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4776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2024—2026</w:t>
            </w:r>
          </w:p>
        </w:tc>
      </w:tr>
      <w:tr w14:paraId="22A5CE42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609D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7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9C7F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国家统计局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CBFE1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数字经济核心产业增加值核算数据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0CE4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2024</w:t>
            </w:r>
          </w:p>
        </w:tc>
      </w:tr>
      <w:tr w14:paraId="2C0030F0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CB1F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8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60BDA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国家知识产权局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AEB95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发明专利有效量及专利密集型产业统计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4CDF6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</w:t>
            </w:r>
          </w:p>
        </w:tc>
      </w:tr>
      <w:tr w14:paraId="52112876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F1CD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9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95923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中国互联网络信息中心 CNNIC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2338F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生成式人工智能用户规模调查报告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AB52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</w:t>
            </w:r>
          </w:p>
        </w:tc>
      </w:tr>
      <w:tr w14:paraId="6DD54BF2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0D67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96183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中国信息通信研究院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DC058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人工智能产业规模测算 / 算力规模报告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7B34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2024—2026</w:t>
            </w:r>
          </w:p>
        </w:tc>
      </w:tr>
      <w:tr w14:paraId="5887E9C4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84A1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6B831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中国信息通信研究院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8280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《中国数字经济发展研究报告（2025年）》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3418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2026-03</w:t>
            </w:r>
          </w:p>
        </w:tc>
      </w:tr>
      <w:tr w14:paraId="75283FDA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4F609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03B3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中国电子学会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99015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《人工智能发展白皮书》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9351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2021</w:t>
            </w:r>
          </w:p>
        </w:tc>
      </w:tr>
      <w:tr w14:paraId="1D80DEE8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9C90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3A7AB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世界经济论坛 WEF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97DC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《未来就业报告2025》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E9CFB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</w:t>
            </w:r>
          </w:p>
        </w:tc>
      </w:tr>
      <w:tr w14:paraId="61BF1623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2275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14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6D435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世界经济论坛 WEF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79FDD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全球灯塔工厂网络报告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490A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2025—2026</w:t>
            </w:r>
          </w:p>
        </w:tc>
      </w:tr>
      <w:tr w14:paraId="785E7A38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C28DA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15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D561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国际机器人联合会 IFR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91403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《世界机器人》报告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5C64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</w:t>
            </w:r>
          </w:p>
        </w:tc>
      </w:tr>
      <w:tr w14:paraId="17757D0C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BB532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069C5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斯坦福大学 HAI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86E61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《AI Index 2025 / 2026》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94C14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 / 2026</w:t>
            </w:r>
          </w:p>
        </w:tc>
      </w:tr>
      <w:tr w14:paraId="16B20C5D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D52A8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17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319E4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普华永道 PwC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680DD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《Sizing the Prize》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6AFA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2017</w:t>
            </w:r>
          </w:p>
        </w:tc>
      </w:tr>
      <w:tr w14:paraId="36EC64B3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2EF0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18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05D6B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麦肯锡 McKinsey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805DD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《The economic potential of generative AI》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5748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2023</w:t>
            </w:r>
          </w:p>
        </w:tc>
      </w:tr>
      <w:tr w14:paraId="10DF2507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CADE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19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F7031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国际货币基金组织 IMF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7C58B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AI Will Transform the Global Economy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70B19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2024-01</w:t>
            </w:r>
          </w:p>
        </w:tc>
      </w:tr>
      <w:tr w14:paraId="54EF97D8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68D5E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B321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经济合作与发展组织 OECD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5AE9F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Artificial Intelligence 专题研究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FAF0D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</w:t>
            </w:r>
          </w:p>
        </w:tc>
      </w:tr>
      <w:tr w14:paraId="45C7B974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373D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21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FFF3A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世界知识产权组织 WIPO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DF921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生成式人工智能专利检索分析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9D3A5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</w:t>
            </w:r>
          </w:p>
        </w:tc>
      </w:tr>
      <w:tr w14:paraId="77A95138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37F23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22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26603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人民网 / 人民日报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41AE8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各行业人工智能应用成效系列报道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AB717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2024—2026</w:t>
            </w:r>
          </w:p>
        </w:tc>
      </w:tr>
      <w:tr w14:paraId="6FB50B45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671FF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23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5BCE9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智联招聘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C89C6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《2025年人工智能产业人才发展报告》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0A5AC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2025-10</w:t>
            </w:r>
          </w:p>
        </w:tc>
      </w:tr>
      <w:tr w14:paraId="3AA114B1">
        <w:tblPrEx>
          <w:tblBorders>
            <w:top w:val="single" w:color="000000" w:sz="12" w:space="0"/>
            <w:left w:val="none" w:color="FFFFFF" w:sz="0" w:space="0"/>
            <w:bottom w:val="single" w:color="000000" w:sz="12" w:space="0"/>
            <w:right w:val="none" w:color="FFFFFF" w:sz="0" w:space="0"/>
            <w:insideH w:val="single" w:color="000000" w:sz="6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77ED1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24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F526C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清华大学互联网产业研究院</w:t>
            </w:r>
          </w:p>
        </w:tc>
        <w:tc>
          <w:tcPr>
            <w:tcW w:w="447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AD6A2">
            <w:pPr>
              <w:spacing w:before="20" w:after="20" w:line="30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AI 与全要素生产率学术观点汇编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E7930">
            <w:pPr>
              <w:spacing w:before="20" w:after="20" w:line="30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2025</w:t>
            </w:r>
          </w:p>
        </w:tc>
      </w:tr>
    </w:tbl>
    <w:p w14:paraId="03C512BA">
      <w:pPr>
        <w:spacing w:before="24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说明：本网站为数据可视化研究作品，所有原始数据的版权归原发布机构所有；数据的整理、可视化呈现与口径注释为原创工作。报告中涉及的国际机构测算为其研究结论，涉及未来时点的数据均为预测，不构成任何投资建议。</w:t>
      </w:r>
    </w:p>
    <w:sectPr>
      <w:headerReference r:id="rId20" w:type="default"/>
      <w:footerReference r:id="rId21" w:type="default"/>
      <w:pgSz w:w="11906" w:h="16838"/>
      <w:pgMar w:top="1418" w:right="1418" w:bottom="1418" w:left="1418" w:header="851" w:footer="99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D4545">
    <w:pPr>
      <w:spacing w:before="0" w:after="0"/>
      <w:jc w:val="center"/>
    </w:pPr>
    <w:r>
      <w:rPr>
        <w:rFonts w:ascii="Times New Roman" w:hAnsi="Times New Roman" w:eastAsia="宋体"/>
        <w:color w:val="000000"/>
        <w:sz w:val="21"/>
        <w:szCs w:val="21"/>
      </w:rPr>
      <w:fldChar w:fldCharType="begin"/>
    </w:r>
    <w:r>
      <w:rPr>
        <w:rFonts w:ascii="Times New Roman" w:hAnsi="Times New Roman" w:eastAsia="宋体"/>
        <w:color w:val="000000"/>
        <w:sz w:val="21"/>
        <w:szCs w:val="21"/>
      </w:rPr>
      <w:instrText xml:space="preserve">PAGE</w:instrText>
    </w:r>
    <w:r>
      <w:rPr>
        <w:rFonts w:ascii="Times New Roman" w:hAnsi="Times New Roman" w:eastAsia="宋体"/>
        <w:color w:val="000000"/>
        <w:sz w:val="21"/>
        <w:szCs w:val="21"/>
      </w:rPr>
      <w:fldChar w:fldCharType="separate"/>
    </w:r>
    <w:r>
      <w:rPr>
        <w:rFonts w:ascii="Times New Roman" w:hAnsi="Times New Roman" w:eastAsia="宋体"/>
        <w:color w:val="000000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4A97B">
    <w:pPr>
      <w:spacing w:before="0" w:after="0"/>
      <w:jc w:val="center"/>
    </w:pPr>
    <w:r>
      <w:rPr>
        <w:rFonts w:ascii="Times New Roman" w:hAnsi="Times New Roman" w:eastAsia="宋体"/>
        <w:color w:val="000000"/>
        <w:sz w:val="21"/>
        <w:szCs w:val="21"/>
      </w:rPr>
      <w:fldChar w:fldCharType="begin"/>
    </w:r>
    <w:r>
      <w:rPr>
        <w:rFonts w:ascii="Times New Roman" w:hAnsi="Times New Roman" w:eastAsia="宋体"/>
        <w:color w:val="000000"/>
        <w:sz w:val="21"/>
        <w:szCs w:val="21"/>
      </w:rPr>
      <w:instrText xml:space="preserve">PAGE</w:instrText>
    </w:r>
    <w:r>
      <w:rPr>
        <w:rFonts w:ascii="Times New Roman" w:hAnsi="Times New Roman" w:eastAsia="宋体"/>
        <w:color w:val="000000"/>
        <w:sz w:val="21"/>
        <w:szCs w:val="21"/>
      </w:rPr>
      <w:fldChar w:fldCharType="separate"/>
    </w:r>
    <w:r>
      <w:rPr>
        <w:rFonts w:ascii="Times New Roman" w:hAnsi="Times New Roman" w:eastAsia="宋体"/>
        <w:color w:val="000000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FBE8B">
    <w:pPr>
      <w:spacing w:before="0" w:after="0"/>
      <w:jc w:val="center"/>
    </w:pPr>
    <w:r>
      <w:rPr>
        <w:rFonts w:ascii="Times New Roman" w:hAnsi="Times New Roman" w:eastAsia="宋体"/>
        <w:color w:val="000000"/>
        <w:sz w:val="21"/>
        <w:szCs w:val="21"/>
      </w:rPr>
      <w:fldChar w:fldCharType="begin"/>
    </w:r>
    <w:r>
      <w:rPr>
        <w:rFonts w:ascii="Times New Roman" w:hAnsi="Times New Roman" w:eastAsia="宋体"/>
        <w:color w:val="000000"/>
        <w:sz w:val="21"/>
        <w:szCs w:val="21"/>
      </w:rPr>
      <w:instrText xml:space="preserve">PAGE</w:instrText>
    </w:r>
    <w:r>
      <w:rPr>
        <w:rFonts w:ascii="Times New Roman" w:hAnsi="Times New Roman" w:eastAsia="宋体"/>
        <w:color w:val="000000"/>
        <w:sz w:val="21"/>
        <w:szCs w:val="21"/>
      </w:rPr>
      <w:fldChar w:fldCharType="separate"/>
    </w:r>
    <w:r>
      <w:rPr>
        <w:rFonts w:ascii="Times New Roman" w:hAnsi="Times New Roman" w:eastAsia="宋体"/>
        <w:color w:val="000000"/>
        <w:sz w:val="21"/>
        <w:szCs w:val="21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13563">
    <w:pPr>
      <w:spacing w:before="0" w:after="0"/>
      <w:jc w:val="center"/>
    </w:pPr>
    <w:r>
      <w:rPr>
        <w:rFonts w:ascii="Times New Roman" w:hAnsi="Times New Roman" w:eastAsia="宋体"/>
        <w:color w:val="000000"/>
        <w:sz w:val="21"/>
        <w:szCs w:val="21"/>
      </w:rPr>
      <w:fldChar w:fldCharType="begin"/>
    </w:r>
    <w:r>
      <w:rPr>
        <w:rFonts w:ascii="Times New Roman" w:hAnsi="Times New Roman" w:eastAsia="宋体"/>
        <w:color w:val="000000"/>
        <w:sz w:val="21"/>
        <w:szCs w:val="21"/>
      </w:rPr>
      <w:instrText xml:space="preserve">PAGE</w:instrText>
    </w:r>
    <w:r>
      <w:rPr>
        <w:rFonts w:ascii="Times New Roman" w:hAnsi="Times New Roman" w:eastAsia="宋体"/>
        <w:color w:val="000000"/>
        <w:sz w:val="21"/>
        <w:szCs w:val="21"/>
      </w:rPr>
      <w:fldChar w:fldCharType="separate"/>
    </w:r>
    <w:r>
      <w:rPr>
        <w:rFonts w:ascii="Times New Roman" w:hAnsi="Times New Roman" w:eastAsia="宋体"/>
        <w:color w:val="000000"/>
        <w:sz w:val="21"/>
        <w:szCs w:val="21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1A3D6">
    <w:pPr>
      <w:spacing w:before="0" w:after="0"/>
      <w:jc w:val="center"/>
    </w:pPr>
    <w:r>
      <w:rPr>
        <w:rFonts w:ascii="Times New Roman" w:hAnsi="Times New Roman" w:eastAsia="宋体"/>
        <w:color w:val="000000"/>
        <w:sz w:val="21"/>
        <w:szCs w:val="21"/>
      </w:rPr>
      <w:fldChar w:fldCharType="begin"/>
    </w:r>
    <w:r>
      <w:rPr>
        <w:rFonts w:ascii="Times New Roman" w:hAnsi="Times New Roman" w:eastAsia="宋体"/>
        <w:color w:val="000000"/>
        <w:sz w:val="21"/>
        <w:szCs w:val="21"/>
      </w:rPr>
      <w:instrText xml:space="preserve">PAGE</w:instrText>
    </w:r>
    <w:r>
      <w:rPr>
        <w:rFonts w:ascii="Times New Roman" w:hAnsi="Times New Roman" w:eastAsia="宋体"/>
        <w:color w:val="000000"/>
        <w:sz w:val="21"/>
        <w:szCs w:val="21"/>
      </w:rPr>
      <w:fldChar w:fldCharType="separate"/>
    </w:r>
    <w:r>
      <w:rPr>
        <w:rFonts w:ascii="Times New Roman" w:hAnsi="Times New Roman" w:eastAsia="宋体"/>
        <w:color w:val="000000"/>
        <w:sz w:val="21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592D9">
    <w:pPr>
      <w:spacing w:before="0" w:after="0"/>
      <w:jc w:val="center"/>
    </w:pPr>
    <w:r>
      <w:rPr>
        <w:rFonts w:ascii="Times New Roman" w:hAnsi="Times New Roman" w:eastAsia="宋体"/>
        <w:color w:val="000000"/>
        <w:sz w:val="21"/>
        <w:szCs w:val="21"/>
      </w:rPr>
      <w:fldChar w:fldCharType="begin"/>
    </w:r>
    <w:r>
      <w:rPr>
        <w:rFonts w:ascii="Times New Roman" w:hAnsi="Times New Roman" w:eastAsia="宋体"/>
        <w:color w:val="000000"/>
        <w:sz w:val="21"/>
        <w:szCs w:val="21"/>
      </w:rPr>
      <w:instrText xml:space="preserve">PAGE</w:instrText>
    </w:r>
    <w:r>
      <w:rPr>
        <w:rFonts w:ascii="Times New Roman" w:hAnsi="Times New Roman" w:eastAsia="宋体"/>
        <w:color w:val="000000"/>
        <w:sz w:val="21"/>
        <w:szCs w:val="21"/>
      </w:rPr>
      <w:fldChar w:fldCharType="separate"/>
    </w:r>
    <w:r>
      <w:rPr>
        <w:rFonts w:ascii="Times New Roman" w:hAnsi="Times New Roman" w:eastAsia="宋体"/>
        <w:color w:val="000000"/>
        <w:sz w:val="21"/>
        <w:szCs w:val="21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52B21">
    <w:pPr>
      <w:spacing w:before="0" w:after="0"/>
      <w:jc w:val="center"/>
    </w:pPr>
    <w:r>
      <w:rPr>
        <w:rFonts w:ascii="Times New Roman" w:hAnsi="Times New Roman" w:eastAsia="宋体"/>
        <w:color w:val="000000"/>
        <w:sz w:val="21"/>
        <w:szCs w:val="21"/>
      </w:rPr>
      <w:fldChar w:fldCharType="begin"/>
    </w:r>
    <w:r>
      <w:rPr>
        <w:rFonts w:ascii="Times New Roman" w:hAnsi="Times New Roman" w:eastAsia="宋体"/>
        <w:color w:val="000000"/>
        <w:sz w:val="21"/>
        <w:szCs w:val="21"/>
      </w:rPr>
      <w:instrText xml:space="preserve">PAGE</w:instrText>
    </w:r>
    <w:r>
      <w:rPr>
        <w:rFonts w:ascii="Times New Roman" w:hAnsi="Times New Roman" w:eastAsia="宋体"/>
        <w:color w:val="000000"/>
        <w:sz w:val="21"/>
        <w:szCs w:val="21"/>
      </w:rPr>
      <w:fldChar w:fldCharType="separate"/>
    </w:r>
    <w:r>
      <w:rPr>
        <w:rFonts w:ascii="Times New Roman" w:hAnsi="Times New Roman" w:eastAsia="宋体"/>
        <w:color w:val="000000"/>
        <w:sz w:val="21"/>
        <w:szCs w:val="21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8C87D">
    <w:pPr>
      <w:spacing w:before="0" w:after="0"/>
      <w:jc w:val="center"/>
    </w:pPr>
    <w:r>
      <w:rPr>
        <w:rFonts w:ascii="Times New Roman" w:hAnsi="Times New Roman" w:eastAsia="宋体"/>
        <w:color w:val="000000"/>
        <w:sz w:val="21"/>
        <w:szCs w:val="21"/>
      </w:rPr>
      <w:fldChar w:fldCharType="begin"/>
    </w:r>
    <w:r>
      <w:rPr>
        <w:rFonts w:ascii="Times New Roman" w:hAnsi="Times New Roman" w:eastAsia="宋体"/>
        <w:color w:val="000000"/>
        <w:sz w:val="21"/>
        <w:szCs w:val="21"/>
      </w:rPr>
      <w:instrText xml:space="preserve">PAGE</w:instrText>
    </w:r>
    <w:r>
      <w:rPr>
        <w:rFonts w:ascii="Times New Roman" w:hAnsi="Times New Roman" w:eastAsia="宋体"/>
        <w:color w:val="000000"/>
        <w:sz w:val="21"/>
        <w:szCs w:val="21"/>
      </w:rPr>
      <w:fldChar w:fldCharType="separate"/>
    </w:r>
    <w:r>
      <w:rPr>
        <w:rFonts w:ascii="Times New Roman" w:hAnsi="Times New Roman" w:eastAsia="宋体"/>
        <w:color w:val="000000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40609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中国石油大学（华东）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9D0CE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第1章 设计立意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CB76E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第2章 网站结构总览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74752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第3章 四种可视化结构（对课程要求的逐项落实）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26B05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第4章 可视化形式清单（20 余种）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7C4B63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第5章 数据可信度设计（本网站最核心的差异化亮点）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63299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第6章 内容与数据亮点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0651F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第7章 技术与工程亮点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518CF">
    <w:pPr>
      <w:pBdr>
        <w:bottom w:val="single" w:color="000000" w:sz="6" w:space="1"/>
      </w:pBdr>
      <w:spacing w:after="0" w:line="240" w:lineRule="auto"/>
      <w:jc w:val="center"/>
    </w:pPr>
    <w:r>
      <w:rPr>
        <w:rFonts w:ascii="Times New Roman" w:hAnsi="Times New Roman" w:eastAsia="楷体_GB2312"/>
        <w:color w:val="000000"/>
        <w:sz w:val="21"/>
        <w:szCs w:val="21"/>
      </w:rPr>
      <w:t>附录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E121E6F"/>
    <w:rsid w:val="759824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/>
      <w:color w:val="000000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240" w:after="240" w:line="360" w:lineRule="auto"/>
      <w:jc w:val="center"/>
      <w:outlineLvl w:val="0"/>
    </w:pPr>
    <w:rPr>
      <w:rFonts w:ascii="Times New Roman" w:hAnsi="Times New Roman" w:eastAsia="黑体"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40" w:after="120" w:line="360" w:lineRule="auto"/>
      <w:outlineLvl w:val="1"/>
    </w:pPr>
    <w:rPr>
      <w:rFonts w:ascii="Times New Roman" w:hAnsi="Times New Roman" w:eastAsia="黑体"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uiPriority w:val="39"/>
    <w:pPr>
      <w:tabs>
        <w:tab w:val="right" w:leader="dot" w:pos="9026"/>
      </w:tabs>
      <w:spacing w:before="40" w:after="20"/>
      <w:ind w:left="720"/>
    </w:pPr>
  </w:style>
  <w:style w:type="paragraph" w:styleId="9">
    <w:name w:val="endnote text"/>
    <w:basedOn w:val="1"/>
    <w:link w:val="2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oc 1"/>
    <w:basedOn w:val="1"/>
    <w:next w:val="1"/>
    <w:uiPriority w:val="0"/>
    <w:pPr>
      <w:spacing w:after="40" w:line="360" w:lineRule="auto"/>
    </w:pPr>
    <w:rPr>
      <w:rFonts w:ascii="Times New Roman" w:hAnsi="Times New Roman" w:eastAsia="宋体"/>
      <w:color w:val="000000"/>
      <w:sz w:val="24"/>
      <w:szCs w:val="24"/>
    </w:rPr>
  </w:style>
  <w:style w:type="paragraph" w:styleId="11">
    <w:name w:val="foot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2">
    <w:name w:val="toc 2"/>
    <w:basedOn w:val="1"/>
    <w:next w:val="1"/>
    <w:uiPriority w:val="0"/>
    <w:pPr>
      <w:spacing w:after="40" w:line="360" w:lineRule="auto"/>
      <w:ind w:left="480"/>
    </w:pPr>
    <w:rPr>
      <w:rFonts w:ascii="Times New Roman" w:hAnsi="Times New Roman" w:eastAsia="宋体"/>
      <w:color w:val="000000"/>
      <w:sz w:val="24"/>
      <w:szCs w:val="24"/>
    </w:rPr>
  </w:style>
  <w:style w:type="paragraph" w:styleId="13">
    <w:name w:val="Title"/>
    <w:basedOn w:val="1"/>
    <w:next w:val="1"/>
    <w:qFormat/>
    <w:uiPriority w:val="0"/>
    <w:rPr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image" Target="media/image18.png"/><Relationship Id="rId4" Type="http://schemas.openxmlformats.org/officeDocument/2006/relationships/endnotes" Target="endnotes.xml"/><Relationship Id="rId39" Type="http://schemas.openxmlformats.org/officeDocument/2006/relationships/image" Target="media/image17.png"/><Relationship Id="rId38" Type="http://schemas.openxmlformats.org/officeDocument/2006/relationships/image" Target="media/image16.png"/><Relationship Id="rId37" Type="http://schemas.openxmlformats.org/officeDocument/2006/relationships/image" Target="media/image15.png"/><Relationship Id="rId36" Type="http://schemas.openxmlformats.org/officeDocument/2006/relationships/image" Target="media/image14.png"/><Relationship Id="rId35" Type="http://schemas.openxmlformats.org/officeDocument/2006/relationships/image" Target="media/image13.png"/><Relationship Id="rId34" Type="http://schemas.openxmlformats.org/officeDocument/2006/relationships/image" Target="media/image12.png"/><Relationship Id="rId33" Type="http://schemas.openxmlformats.org/officeDocument/2006/relationships/image" Target="media/image11.png"/><Relationship Id="rId32" Type="http://schemas.openxmlformats.org/officeDocument/2006/relationships/image" Target="media/image10.png"/><Relationship Id="rId31" Type="http://schemas.openxmlformats.org/officeDocument/2006/relationships/image" Target="media/image9.png"/><Relationship Id="rId30" Type="http://schemas.openxmlformats.org/officeDocument/2006/relationships/image" Target="media/image8.png"/><Relationship Id="rId3" Type="http://schemas.openxmlformats.org/officeDocument/2006/relationships/footnotes" Target="footnotes.xml"/><Relationship Id="rId29" Type="http://schemas.openxmlformats.org/officeDocument/2006/relationships/image" Target="media/image7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26" Type="http://schemas.openxmlformats.org/officeDocument/2006/relationships/image" Target="media/image4.png"/><Relationship Id="rId25" Type="http://schemas.openxmlformats.org/officeDocument/2006/relationships/image" Target="media/image3.png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22" Type="http://schemas.openxmlformats.org/officeDocument/2006/relationships/theme" Target="theme/theme1.xml"/><Relationship Id="rId21" Type="http://schemas.openxmlformats.org/officeDocument/2006/relationships/footer" Target="footer8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8.xml"/><Relationship Id="rId17" Type="http://schemas.openxmlformats.org/officeDocument/2006/relationships/footer" Target="footer6.xml"/><Relationship Id="rId16" Type="http://schemas.openxmlformats.org/officeDocument/2006/relationships/header" Target="header7.xml"/><Relationship Id="rId15" Type="http://schemas.openxmlformats.org/officeDocument/2006/relationships/footer" Target="footer5.xml"/><Relationship Id="rId14" Type="http://schemas.openxmlformats.org/officeDocument/2006/relationships/header" Target="header6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4077</Words>
  <Characters>4591</Characters>
  <TotalTime>2</TotalTime>
  <ScaleCrop>false</ScaleCrop>
  <LinksUpToDate>false</LinksUpToDate>
  <CharactersWithSpaces>4988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2026-10-06T06:44:00Z</dcterms:created>
  <dc:creator>王文岭</dc:creator>
  <cp:lastModifiedBy>ㅤ</cp:lastModifiedBy>
  <dcterms:modified xsi:type="dcterms:W3CDTF">2026-10-06T06:52:16Z</dcterms:modified>
  <dc:title>智启新质——网站关键亮点说明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eyJoZGlkIjoiNmQzMjgyNzFhNzVjNjg4OGZiMmM2YmJkNGJjYTEyMzEiLCJ1c2VySWQiOiI2ODA5Nzc2MjEifQ==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68E2E01F04EF4AF4800E6849E2091679_12</vt:lpwstr>
  </property>
</Properties>
</file>