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t xml:space="preserve"/>
      </w:r>
    </w:p>
    <w:p>
      <w:pPr>
        <w:spacing w:after="160" w:before="0"/>
        <w:jc w:val="center"/>
      </w:pPr>
      <w:r>
        <w:rPr>
          <w:rFonts w:ascii="Arial" w:cs="Arial" w:eastAsia="Arial" w:hAnsi="Arial"/>
          <w:b/>
          <w:bCs/>
          <w:color w:val="1B2A4A"/>
          <w:sz w:val="72"/>
          <w:szCs w:val="72"/>
        </w:rPr>
        <w:t xml:space="preserve">ESTATE EXECUTOR OS</w:t>
      </w:r>
    </w:p>
    <w:p>
      <w:pPr>
        <w:pBdr>
          <w:bottom w:val="single" w:color="1A6B6B" w:sz="4"/>
        </w:pBdr>
        <w:spacing w:after="160" w:before="0"/>
        <w:jc w:val="center"/>
      </w:pPr>
      <w:r>
        <w:rPr>
          <w:rFonts w:ascii="Arial" w:cs="Arial" w:eastAsia="Arial" w:hAnsi="Arial"/>
          <w:color w:val="1A6B6B"/>
          <w:sz w:val="36"/>
          <w:szCs w:val="36"/>
        </w:rPr>
        <w:t xml:space="preserve">Product &amp; Business Document</w:t>
      </w:r>
    </w:p>
    <w:p>
      <w:pPr>
        <w:spacing w:after="0" w:before="160"/>
      </w:pPr>
      <w:r>
        <w:t xml:space="preserve"/>
      </w:r>
    </w:p>
    <w:p>
      <w:pPr>
        <w:spacing w:after="80" w:before="0"/>
        <w:jc w:val="center"/>
      </w:pPr>
      <w:r>
        <w:rPr>
          <w:rFonts w:ascii="Arial" w:cs="Arial" w:eastAsia="Arial" w:hAnsi="Arial"/>
          <w:i/>
          <w:iCs/>
          <w:color w:val="444444"/>
          <w:sz w:val="26"/>
          <w:szCs w:val="26"/>
        </w:rPr>
        <w:t xml:space="preserve">The Coordination Operating System for Estate Administration</w:t>
      </w:r>
    </w:p>
    <w:p>
      <w:pPr>
        <w:spacing w:after="0" w:before="160"/>
      </w:pPr>
      <w:r>
        <w:t xml:space="preserve"/>
      </w:r>
    </w:p>
    <w:p>
      <w:pPr>
        <w:spacing w:after="0" w:before="0"/>
        <w:jc w:val="center"/>
      </w:pPr>
      <w:r>
        <w:rPr>
          <w:rFonts w:ascii="Arial" w:cs="Arial" w:eastAsia="Arial" w:hAnsi="Arial"/>
          <w:color w:val="444444"/>
          <w:sz w:val="22"/>
          <w:szCs w:val="22"/>
        </w:rPr>
        <w:t xml:space="preserve">CONFIDENTIAL  •  Version 1.0  •  2026</w:t>
      </w:r>
    </w:p>
    <w:p>
      <w:r>
        <w:br w:type="pag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1.  Executive Summary</w:t>
      </w:r>
    </w:p>
    <w:p>
      <w:pPr>
        <w:spacing w:after="0" w:before="80"/>
      </w:pPr>
      <w:r>
        <w:t xml:space="preserve"/>
      </w:r>
    </w:p>
    <w:p>
      <w:pPr>
        <w:spacing w:after="80" w:before="80"/>
      </w:pPr>
      <w:r>
        <w:rPr>
          <w:rFonts w:ascii="Arial" w:cs="Arial" w:eastAsia="Arial" w:hAnsi="Arial"/>
          <w:b w:val="false"/>
          <w:bCs w:val="false"/>
          <w:color w:val="1A1A1A"/>
          <w:sz w:val="22"/>
          <w:szCs w:val="22"/>
        </w:rPr>
        <w:t xml:space="preserve">Estate administration — the process of settling a person's affairs after death or incapacity — is one of the most financially significant, emotionally charged, and operationally chaotic events a family ever faces. An estimated $84 trillion in wealth will transfer in the United States over the next two decades, yet the infrastructure managing this transfer remains fragmented: email chains, spreadsheets, physical binders, and phone tag between attorneys, CPAs, trustees, and heirs.</w:t>
      </w:r>
    </w:p>
    <w:p>
      <w:pPr>
        <w:spacing w:after="0" w:before="80"/>
      </w:pPr>
      <w:r>
        <w:t xml:space="preserve"/>
      </w:r>
    </w:p>
    <w:p>
      <w:pPr>
        <w:spacing w:after="80" w:before="80"/>
      </w:pPr>
      <w:r>
        <w:rPr>
          <w:rFonts w:ascii="Arial" w:cs="Arial" w:eastAsia="Arial" w:hAnsi="Arial"/>
          <w:b w:val="false"/>
          <w:bCs w:val="false"/>
          <w:color w:val="1A1A1A"/>
          <w:sz w:val="22"/>
          <w:szCs w:val="22"/>
        </w:rPr>
        <w:t xml:space="preserve">Estate Executor OS is a B2B workflow platform purpose-built for the administration period — the weeks, months, and often years between a triggering event (death or incapacity) and the final distribution of assets. It is not a document vault. It is not an estate planning tool. It is an action system: coordinating tasks, deadlines, stakeholders, documents, and decisions across the full cast of professionals and family members involved in settling an estate.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6B" w:sz="8"/>
              <w:left w:val="single" w:color="1B2A4A" w:sz="16"/>
              <w:bottom w:val="none" w:color="FFFFFF" w:sz="0"/>
              <w:right w:val="none" w:color="FFFFFF" w:sz="0"/>
            </w:tcBorders>
            <w:shd w:fill="E8F4F4"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Core Value Proposition</w:t>
            </w:r>
          </w:p>
          <w:p>
            <w:pPr>
              <w:spacing w:after="0" w:before="0"/>
            </w:pPr>
            <w:r>
              <w:rPr>
                <w:rFonts w:ascii="Arial" w:cs="Arial" w:eastAsia="Arial" w:hAnsi="Arial"/>
                <w:color w:val="1A1A1A"/>
                <w:sz w:val="20"/>
                <w:szCs w:val="20"/>
              </w:rPr>
              <w:t xml:space="preserve">Turn estate administration chaos into a managed, auditable, multi-party workflow — sold to estate attorneys, RIAs, trust companies, and family offices as the command center they give every client matter.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28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Estimate</w:t>
            </w:r>
          </w:p>
        </w:tc>
        <w:tc>
          <w:tcPr>
            <w:tcW w:type="dxa" w:w="376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Basis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 estate filings / yr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~2.8M probate cases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NCSC / judicial data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Avg. estate attorney fee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$3,000 – $15,000+</w:t>
            </w:r>
          </w:p>
        </w:tc>
        <w:tc>
          <w:tcPr>
            <w:tcW w:type="dxa" w:w="3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Industry surveys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Wealth transfer 2024–2044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$84 trillion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Cerulli Associates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Trust companies in US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~3,000+</w:t>
            </w:r>
          </w:p>
        </w:tc>
        <w:tc>
          <w:tcPr>
            <w:tcW w:type="dxa" w:w="3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OCC / FDIC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RIAs with trust services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Investment Adviser data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Target beachhead market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Estate law firms &amp; RIAs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Go-to-market strategy</w:t>
            </w:r>
          </w:p>
        </w:tc>
      </w:tr>
    </w:tbl>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2.  The Problem</w:t>
      </w:r>
    </w:p>
    <w:p>
      <w:pPr>
        <w:spacing w:after="0" w:before="8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2.1  What Actually Happens After Someone Dies</w:t>
      </w:r>
    </w:p>
    <w:p>
      <w:pPr>
        <w:spacing w:after="80" w:before="80"/>
      </w:pPr>
      <w:r>
        <w:rPr>
          <w:rFonts w:ascii="Arial" w:cs="Arial" w:eastAsia="Arial" w:hAnsi="Arial"/>
          <w:b w:val="false"/>
          <w:bCs w:val="false"/>
          <w:color w:val="1A1A1A"/>
          <w:sz w:val="22"/>
          <w:szCs w:val="22"/>
        </w:rPr>
        <w:t xml:space="preserve">When a person dies or becomes incapacitated, a sudden, complex operation must begin. The executor or trustee — often a grieving family member with no prior experience — must simultaneously:</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Notify dozens of institutions: banks, brokerage firms, Social Security, pension administrators, insurance companies, the DMV, the post office, and more</w:t>
      </w:r>
    </w:p>
    <w:p>
      <w:pPr>
        <w:pStyle w:val="ListParagraph"/>
        <w:numPr>
          <w:ilvl w:val="0"/>
          <w:numId w:val="2"/>
        </w:numPr>
        <w:spacing w:after="40" w:before="40"/>
      </w:pPr>
      <w:r>
        <w:rPr>
          <w:rFonts w:ascii="Arial" w:cs="Arial" w:eastAsia="Arial" w:hAnsi="Arial"/>
          <w:color w:val="1A1A1A"/>
          <w:sz w:val="22"/>
          <w:szCs w:val="22"/>
        </w:rPr>
        <w:t xml:space="preserve">Locate and inventory every asset: real estate, investment accounts, retirement accounts, business interests, digital assets, vehicles, art, jewelry</w:t>
      </w:r>
    </w:p>
    <w:p>
      <w:pPr>
        <w:pStyle w:val="ListParagraph"/>
        <w:numPr>
          <w:ilvl w:val="0"/>
          <w:numId w:val="2"/>
        </w:numPr>
        <w:spacing w:after="40" w:before="40"/>
      </w:pPr>
      <w:r>
        <w:rPr>
          <w:rFonts w:ascii="Arial" w:cs="Arial" w:eastAsia="Arial" w:hAnsi="Arial"/>
          <w:color w:val="1A1A1A"/>
          <w:sz w:val="22"/>
          <w:szCs w:val="22"/>
        </w:rPr>
        <w:t xml:space="preserve">Understand what entity owns what: which assets are in the trust, which are joint, which go through probate, which pass by beneficiary designation</w:t>
      </w:r>
    </w:p>
    <w:p>
      <w:pPr>
        <w:pStyle w:val="ListParagraph"/>
        <w:numPr>
          <w:ilvl w:val="0"/>
          <w:numId w:val="2"/>
        </w:numPr>
        <w:spacing w:after="40" w:before="40"/>
      </w:pPr>
      <w:r>
        <w:rPr>
          <w:rFonts w:ascii="Arial" w:cs="Arial" w:eastAsia="Arial" w:hAnsi="Arial"/>
          <w:color w:val="1A1A1A"/>
          <w:sz w:val="22"/>
          <w:szCs w:val="22"/>
        </w:rPr>
        <w:t xml:space="preserve">Coordinate professionals: estate attorney, CPA, financial advisor, appraiser, real estate agent — none of whom talk to each other</w:t>
      </w:r>
    </w:p>
    <w:p>
      <w:pPr>
        <w:pStyle w:val="ListParagraph"/>
        <w:numPr>
          <w:ilvl w:val="0"/>
          <w:numId w:val="2"/>
        </w:numPr>
        <w:spacing w:after="40" w:before="40"/>
      </w:pPr>
      <w:r>
        <w:rPr>
          <w:rFonts w:ascii="Arial" w:cs="Arial" w:eastAsia="Arial" w:hAnsi="Arial"/>
          <w:color w:val="1A1A1A"/>
          <w:sz w:val="22"/>
          <w:szCs w:val="22"/>
        </w:rPr>
        <w:t xml:space="preserve">Communicate with beneficiaries: update family members who have competing interests, emotional stakes, and varying levels of trust</w:t>
      </w:r>
    </w:p>
    <w:p>
      <w:pPr>
        <w:pStyle w:val="ListParagraph"/>
        <w:numPr>
          <w:ilvl w:val="0"/>
          <w:numId w:val="2"/>
        </w:numPr>
        <w:spacing w:after="40" w:before="40"/>
      </w:pPr>
      <w:r>
        <w:rPr>
          <w:rFonts w:ascii="Arial" w:cs="Arial" w:eastAsia="Arial" w:hAnsi="Arial"/>
          <w:color w:val="1A1A1A"/>
          <w:sz w:val="22"/>
          <w:szCs w:val="22"/>
        </w:rPr>
        <w:t xml:space="preserve">Meet hard deadlines: IRS estate tax return (9 months), state probate filings (varies), account re-titling windows, insurance claim windows</w:t>
      </w:r>
    </w:p>
    <w:p>
      <w:pPr>
        <w:pStyle w:val="ListParagraph"/>
        <w:numPr>
          <w:ilvl w:val="0"/>
          <w:numId w:val="2"/>
        </w:numPr>
        <w:spacing w:after="40" w:before="40"/>
      </w:pPr>
      <w:r>
        <w:rPr>
          <w:rFonts w:ascii="Arial" w:cs="Arial" w:eastAsia="Arial" w:hAnsi="Arial"/>
          <w:color w:val="1A1A1A"/>
          <w:sz w:val="22"/>
          <w:szCs w:val="22"/>
        </w:rPr>
        <w:t xml:space="preserve">Manage incoming cash flow: estate bank account, incoming checks, ongoing bills, property taxes, insurance premiums</w:t>
      </w:r>
    </w:p>
    <w:p>
      <w:pPr>
        <w:spacing w:after="0" w:before="8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2.2  How It Gets Done Today</w:t>
      </w:r>
    </w:p>
    <w:p>
      <w:pPr>
        <w:spacing w:after="80" w:before="80"/>
      </w:pPr>
      <w:r>
        <w:rPr>
          <w:rFonts w:ascii="Arial" w:cs="Arial" w:eastAsia="Arial" w:hAnsi="Arial"/>
          <w:b w:val="false"/>
          <w:bCs w:val="false"/>
          <w:color w:val="1A1A1A"/>
          <w:sz w:val="22"/>
          <w:szCs w:val="22"/>
        </w:rPr>
        <w:t xml:space="preserve">The current process is improvised: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Email, phone, text — no shared record, no audit trail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Task tracking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Personal checklists, legal pads, or nothing at all</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Document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Dropbox/Google Drive, physical binders, attorney file cabinets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Advisor coordination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Each advisor works in isolation; no shared view of status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Family updates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Inconsistent, disputed, often a source of conflict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Deadlines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Calendar reminders, sticky notes, hope</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Entity/ownership clarity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Manual review of every account statement and deed</w:t>
            </w:r>
          </w:p>
        </w:tc>
      </w:tr>
    </w:tbl>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2.3  Why It's a Hard Problem</w:t>
      </w:r>
    </w:p>
    <w:p>
      <w:pPr>
        <w:pStyle w:val="ListParagraph"/>
        <w:numPr>
          <w:ilvl w:val="0"/>
          <w:numId w:val="2"/>
        </w:numPr>
        <w:spacing w:after="40" w:before="40"/>
      </w:pPr>
      <w:r>
        <w:rPr>
          <w:rFonts w:ascii="Arial" w:cs="Arial" w:eastAsia="Arial" w:hAnsi="Arial"/>
          <w:color w:val="1A1A1A"/>
          <w:sz w:val="22"/>
          <w:szCs w:val="22"/>
        </w:rPr>
        <w:t xml:space="preserve">Every estate is unique — asset mix, family dynamics, state law, trust structure all differ</w:t>
      </w:r>
    </w:p>
    <w:p>
      <w:pPr>
        <w:pStyle w:val="ListParagraph"/>
        <w:numPr>
          <w:ilvl w:val="0"/>
          <w:numId w:val="2"/>
        </w:numPr>
        <w:spacing w:after="40" w:before="40"/>
      </w:pPr>
      <w:r>
        <w:rPr>
          <w:rFonts w:ascii="Arial" w:cs="Arial" w:eastAsia="Arial" w:hAnsi="Arial"/>
          <w:color w:val="1A1A1A"/>
          <w:sz w:val="22"/>
          <w:szCs w:val="22"/>
        </w:rPr>
        <w:t xml:space="preserve">Multiple professional parties who don't share systems or incentives</w:t>
      </w:r>
    </w:p>
    <w:p>
      <w:pPr>
        <w:pStyle w:val="ListParagraph"/>
        <w:numPr>
          <w:ilvl w:val="0"/>
          <w:numId w:val="2"/>
        </w:numPr>
        <w:spacing w:after="40" w:before="40"/>
      </w:pPr>
      <w:r>
        <w:rPr>
          <w:rFonts w:ascii="Arial" w:cs="Arial" w:eastAsia="Arial" w:hAnsi="Arial"/>
          <w:color w:val="1A1A1A"/>
          <w:sz w:val="22"/>
          <w:szCs w:val="22"/>
        </w:rPr>
        <w:t xml:space="preserve">One-time experience for the executor — no institutional knowledge</w:t>
      </w:r>
    </w:p>
    <w:p>
      <w:pPr>
        <w:pStyle w:val="ListParagraph"/>
        <w:numPr>
          <w:ilvl w:val="0"/>
          <w:numId w:val="2"/>
        </w:numPr>
        <w:spacing w:after="40" w:before="40"/>
      </w:pPr>
      <w:r>
        <w:rPr>
          <w:rFonts w:ascii="Arial" w:cs="Arial" w:eastAsia="Arial" w:hAnsi="Arial"/>
          <w:color w:val="1A1A1A"/>
          <w:sz w:val="22"/>
          <w:szCs w:val="22"/>
        </w:rPr>
        <w:t xml:space="preserve">High emotional stakes amplify every inefficiency</w:t>
      </w:r>
    </w:p>
    <w:p>
      <w:pPr>
        <w:pStyle w:val="ListParagraph"/>
        <w:numPr>
          <w:ilvl w:val="0"/>
          <w:numId w:val="2"/>
        </w:numPr>
        <w:spacing w:after="40" w:before="40"/>
      </w:pPr>
      <w:r>
        <w:rPr>
          <w:rFonts w:ascii="Arial" w:cs="Arial" w:eastAsia="Arial" w:hAnsi="Arial"/>
          <w:color w:val="1A1A1A"/>
          <w:sz w:val="22"/>
          <w:szCs w:val="22"/>
        </w:rPr>
        <w:t xml:space="preserve">Legal liability throughout — mistakes can cost heirs real money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6B" w:sz="8"/>
              <w:left w:val="single" w:color="1B2A4A" w:sz="16"/>
              <w:bottom w:val="none" w:color="FFFFFF" w:sz="0"/>
              <w:right w:val="none" w:color="FFFFFF" w:sz="0"/>
            </w:tcBorders>
            <w:shd w:fill="E8F4F4"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The Gap in the Market</w:t>
            </w:r>
          </w:p>
          <w:p>
            <w:pPr>
              <w:spacing w:after="0" w:before="0"/>
            </w:pPr>
            <w:r>
              <w:rPr>
                <w:rFonts w:ascii="Arial" w:cs="Arial" w:eastAsia="Arial" w:hAnsi="Arial"/>
                <w:color w:val="1A1A1A"/>
                <w:sz w:val="20"/>
                <w:szCs w:val="20"/>
              </w:rPr>
              <w:t xml:space="preserve">Existing tools are either consumer checklists (EstateExec), fiduciary accounting systems (Estateably), or generic legal practice management (Clio, PracticePanther). Nobody has built the coordination and workflow layer that sits above all of these — the multi-party operating system for the administration period.</w:t>
            </w:r>
          </w:p>
        </w:tc>
      </w:tr>
    </w:tbl>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3.  The Solution — Estate Executor OS</w:t>
      </w:r>
    </w:p>
    <w:p>
      <w:pPr>
        <w:spacing w:after="0" w:before="80"/>
      </w:pPr>
      <w:r>
        <w:t xml:space="preserve"/>
      </w:r>
    </w:p>
    <w:p>
      <w:pPr>
        <w:spacing w:after="80" w:before="80"/>
      </w:pPr>
      <w:r>
        <w:rPr>
          <w:rFonts w:ascii="Arial" w:cs="Arial" w:eastAsia="Arial" w:hAnsi="Arial"/>
          <w:b w:val="false"/>
          <w:bCs w:val="false"/>
          <w:color w:val="1A1A1A"/>
          <w:sz w:val="22"/>
          <w:szCs w:val="22"/>
        </w:rPr>
        <w:t xml:space="preserve">Estate Executor OS is a workflow-first platform that gives estate professionals a command center they open on day one of every new matter and close on the day final distributions are made. It structures the administration process into a managed, visible, multi-party operation.</w:t>
      </w:r>
    </w:p>
    <w:p>
      <w:pPr>
        <w:spacing w:after="0" w:before="8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3.1  Core Philosophy</w:t>
      </w:r>
    </w:p>
    <w:p>
      <w:pPr>
        <w:pStyle w:val="ListParagraph"/>
        <w:numPr>
          <w:ilvl w:val="0"/>
          <w:numId w:val="2"/>
        </w:numPr>
        <w:spacing w:after="40" w:before="40"/>
      </w:pPr>
      <w:r>
        <w:rPr>
          <w:rFonts w:ascii="Arial" w:cs="Arial" w:eastAsia="Arial" w:hAnsi="Arial"/>
          <w:color w:val="1A1A1A"/>
          <w:sz w:val="22"/>
          <w:szCs w:val="22"/>
        </w:rPr>
        <w:t xml:space="preserve">Action over storage — every feature drives a task, decision, or communication forward</w:t>
      </w:r>
    </w:p>
    <w:p>
      <w:pPr>
        <w:pStyle w:val="ListParagraph"/>
        <w:numPr>
          <w:ilvl w:val="0"/>
          <w:numId w:val="2"/>
        </w:numPr>
        <w:spacing w:after="40" w:before="40"/>
      </w:pPr>
      <w:r>
        <w:rPr>
          <w:rFonts w:ascii="Arial" w:cs="Arial" w:eastAsia="Arial" w:hAnsi="Arial"/>
          <w:color w:val="1A1A1A"/>
          <w:sz w:val="22"/>
          <w:szCs w:val="22"/>
        </w:rPr>
        <w:t xml:space="preserve">Multi-party by design — every view, permission, and workflow accounts for attorneys, CPAs, trustees, executors, and heirs simultaneously</w:t>
      </w:r>
    </w:p>
    <w:p>
      <w:pPr>
        <w:pStyle w:val="ListParagraph"/>
        <w:numPr>
          <w:ilvl w:val="0"/>
          <w:numId w:val="2"/>
        </w:numPr>
        <w:spacing w:after="40" w:before="40"/>
      </w:pPr>
      <w:r>
        <w:rPr>
          <w:rFonts w:ascii="Arial" w:cs="Arial" w:eastAsia="Arial" w:hAnsi="Arial"/>
          <w:color w:val="1A1A1A"/>
          <w:sz w:val="22"/>
          <w:szCs w:val="22"/>
        </w:rPr>
        <w:t xml:space="preserve">Deadline-driven — the platform knows what is due, when, and who is responsible</w:t>
      </w:r>
    </w:p>
    <w:p>
      <w:pPr>
        <w:pStyle w:val="ListParagraph"/>
        <w:numPr>
          <w:ilvl w:val="0"/>
          <w:numId w:val="2"/>
        </w:numPr>
        <w:spacing w:after="40" w:before="40"/>
      </w:pPr>
      <w:r>
        <w:rPr>
          <w:rFonts w:ascii="Arial" w:cs="Arial" w:eastAsia="Arial" w:hAnsi="Arial"/>
          <w:color w:val="1A1A1A"/>
          <w:sz w:val="22"/>
          <w:szCs w:val="22"/>
        </w:rPr>
        <w:t xml:space="preserve">Audit-ready — every action, document, and communication is logged and exportable</w:t>
      </w:r>
    </w:p>
    <w:p>
      <w:pPr>
        <w:pStyle w:val="ListParagraph"/>
        <w:numPr>
          <w:ilvl w:val="0"/>
          <w:numId w:val="2"/>
        </w:numPr>
        <w:spacing w:after="40" w:before="40"/>
      </w:pPr>
      <w:r>
        <w:rPr>
          <w:rFonts w:ascii="Arial" w:cs="Arial" w:eastAsia="Arial" w:hAnsi="Arial"/>
          <w:color w:val="1A1A1A"/>
          <w:sz w:val="22"/>
          <w:szCs w:val="22"/>
        </w:rPr>
        <w:t xml:space="preserve">Configurable, not generic — adapts to simple probate estates and complex multi-trust structures alike</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3.2  What It Is NOT</w:t>
      </w:r>
    </w:p>
    <w:p>
      <w:pPr>
        <w:pStyle w:val="ListParagraph"/>
        <w:numPr>
          <w:ilvl w:val="0"/>
          <w:numId w:val="2"/>
        </w:numPr>
        <w:spacing w:after="40" w:before="40"/>
      </w:pPr>
      <w:r>
        <w:rPr>
          <w:rFonts w:ascii="Arial" w:cs="Arial" w:eastAsia="Arial" w:hAnsi="Arial"/>
          <w:color w:val="1A1A1A"/>
          <w:sz w:val="22"/>
          <w:szCs w:val="22"/>
        </w:rPr>
        <w:t xml:space="preserve">Not a will or trust drafting tool (that is estate planning — a different product category)</w:t>
      </w:r>
    </w:p>
    <w:p>
      <w:pPr>
        <w:pStyle w:val="ListParagraph"/>
        <w:numPr>
          <w:ilvl w:val="0"/>
          <w:numId w:val="2"/>
        </w:numPr>
        <w:spacing w:after="40" w:before="40"/>
      </w:pPr>
      <w:r>
        <w:rPr>
          <w:rFonts w:ascii="Arial" w:cs="Arial" w:eastAsia="Arial" w:hAnsi="Arial"/>
          <w:color w:val="1A1A1A"/>
          <w:sz w:val="22"/>
          <w:szCs w:val="22"/>
        </w:rPr>
        <w:t xml:space="preserve">Not fiduciary accounting software (it integrates with those tools, not replaces them)</w:t>
      </w:r>
    </w:p>
    <w:p>
      <w:pPr>
        <w:pStyle w:val="ListParagraph"/>
        <w:numPr>
          <w:ilvl w:val="0"/>
          <w:numId w:val="2"/>
        </w:numPr>
        <w:spacing w:after="40" w:before="40"/>
      </w:pPr>
      <w:r>
        <w:rPr>
          <w:rFonts w:ascii="Arial" w:cs="Arial" w:eastAsia="Arial" w:hAnsi="Arial"/>
          <w:color w:val="1A1A1A"/>
          <w:sz w:val="22"/>
          <w:szCs w:val="22"/>
        </w:rPr>
        <w:t xml:space="preserve">Not a consumer product — it is sold to professionals who deploy it per matter</w:t>
      </w:r>
    </w:p>
    <w:p>
      <w:pPr>
        <w:pStyle w:val="ListParagraph"/>
        <w:numPr>
          <w:ilvl w:val="0"/>
          <w:numId w:val="2"/>
        </w:numPr>
        <w:spacing w:after="40" w:before="40"/>
      </w:pPr>
      <w:r>
        <w:rPr>
          <w:rFonts w:ascii="Arial" w:cs="Arial" w:eastAsia="Arial" w:hAnsi="Arial"/>
          <w:color w:val="1A1A1A"/>
          <w:sz w:val="22"/>
          <w:szCs w:val="22"/>
        </w:rPr>
        <w:t xml:space="preserve">Not a document storage product — documents are attached to tasks and workflows, not just filed</w:t>
      </w:r>
    </w:p>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4.  Product Features</w:t>
      </w:r>
    </w:p>
    <w:p>
      <w:pPr>
        <w:spacing w:after="0" w:before="8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4.1  Matter Dashboard — The Command Center</w:t>
      </w:r>
    </w:p>
    <w:p>
      <w:pPr>
        <w:spacing w:after="80" w:before="80"/>
      </w:pPr>
      <w:r>
        <w:rPr>
          <w:rFonts w:ascii="Arial" w:cs="Arial" w:eastAsia="Arial" w:hAnsi="Arial"/>
          <w:b w:val="false"/>
          <w:bCs w:val="false"/>
          <w:color w:val="1A1A1A"/>
          <w:sz w:val="22"/>
          <w:szCs w:val="22"/>
        </w:rPr>
        <w:t xml:space="preserve">Each estate matter gets a dedicated workspace. The Matter Dashboard is the first screen every professional and invited stakeholder sees when they open a matter. It surfaces:</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Overall estate status: open tasks, overdue items, upcoming deadlines, completion percentage</w:t>
      </w:r>
    </w:p>
    <w:p>
      <w:pPr>
        <w:pStyle w:val="ListParagraph"/>
        <w:numPr>
          <w:ilvl w:val="0"/>
          <w:numId w:val="2"/>
        </w:numPr>
        <w:spacing w:after="40" w:before="40"/>
      </w:pPr>
      <w:r>
        <w:rPr>
          <w:rFonts w:ascii="Arial" w:cs="Arial" w:eastAsia="Arial" w:hAnsi="Arial"/>
          <w:color w:val="1A1A1A"/>
          <w:sz w:val="22"/>
          <w:szCs w:val="22"/>
        </w:rPr>
        <w:t xml:space="preserve">Asset summary: total estimated estate value, asset categories, ownership structure at a glance</w:t>
      </w:r>
    </w:p>
    <w:p>
      <w:pPr>
        <w:pStyle w:val="ListParagraph"/>
        <w:numPr>
          <w:ilvl w:val="0"/>
          <w:numId w:val="2"/>
        </w:numPr>
        <w:spacing w:after="40" w:before="40"/>
      </w:pPr>
      <w:r>
        <w:rPr>
          <w:rFonts w:ascii="Arial" w:cs="Arial" w:eastAsia="Arial" w:hAnsi="Arial"/>
          <w:color w:val="1A1A1A"/>
          <w:sz w:val="22"/>
          <w:szCs w:val="22"/>
        </w:rPr>
        <w:t xml:space="preserve">Stakeholder map: who is involved, what role they hold, what they have access to</w:t>
      </w:r>
    </w:p>
    <w:p>
      <w:pPr>
        <w:pStyle w:val="ListParagraph"/>
        <w:numPr>
          <w:ilvl w:val="0"/>
          <w:numId w:val="2"/>
        </w:numPr>
        <w:spacing w:after="40" w:before="40"/>
      </w:pPr>
      <w:r>
        <w:rPr>
          <w:rFonts w:ascii="Arial" w:cs="Arial" w:eastAsia="Arial" w:hAnsi="Arial"/>
          <w:color w:val="1A1A1A"/>
          <w:sz w:val="22"/>
          <w:szCs w:val="22"/>
        </w:rPr>
        <w:t xml:space="preserve">Activity feed: real-time log of every action taken — document uploaded, task completed, comment posted</w:t>
      </w:r>
    </w:p>
    <w:p>
      <w:pPr>
        <w:pStyle w:val="ListParagraph"/>
        <w:numPr>
          <w:ilvl w:val="0"/>
          <w:numId w:val="2"/>
        </w:numPr>
        <w:spacing w:after="40" w:before="40"/>
      </w:pPr>
      <w:r>
        <w:rPr>
          <w:rFonts w:ascii="Arial" w:cs="Arial" w:eastAsia="Arial" w:hAnsi="Arial"/>
          <w:color w:val="1A1A1A"/>
          <w:sz w:val="22"/>
          <w:szCs w:val="22"/>
        </w:rPr>
        <w:t xml:space="preserve">Alerts panel: flagged items requiring attention, approaching deadlines, unresolved blockers</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4.2  Workflow Engine — Task Management Built for Estate Law</w:t>
      </w:r>
    </w:p>
    <w:p>
      <w:pPr>
        <w:spacing w:after="80" w:before="80"/>
      </w:pPr>
      <w:r>
        <w:rPr>
          <w:rFonts w:ascii="Arial" w:cs="Arial" w:eastAsia="Arial" w:hAnsi="Arial"/>
          <w:b w:val="false"/>
          <w:bCs w:val="false"/>
          <w:color w:val="1A1A1A"/>
          <w:sz w:val="22"/>
          <w:szCs w:val="22"/>
        </w:rPr>
        <w:t xml:space="preserve">The Workflow Engine is the heart of the platform. Unlike generic project management tools, it knows what estate administration looks like:</w:t>
      </w:r>
    </w:p>
    <w:p>
      <w:pPr>
        <w:spacing w:after="0" w:before="80"/>
      </w:pPr>
      <w:r>
        <w:t xml:space="preserve"/>
      </w:r>
    </w:p>
    <w:p>
      <w:pPr>
        <w:pStyle w:val="Heading3"/>
        <w:spacing w:after="80" w:before="200"/>
      </w:pPr>
      <w:r>
        <w:rPr>
          <w:rFonts w:ascii="Arial" w:cs="Arial" w:eastAsia="Arial" w:hAnsi="Arial"/>
          <w:b/>
          <w:bCs/>
          <w:color w:val="1A6B6B"/>
          <w:sz w:val="24"/>
          <w:szCs w:val="24"/>
        </w:rPr>
        <w:t xml:space="preserve">4.2.1  Smart Task Generation</w:t>
      </w:r>
    </w:p>
    <w:p>
      <w:pPr>
        <w:pStyle w:val="ListParagraph"/>
        <w:numPr>
          <w:ilvl w:val="0"/>
          <w:numId w:val="2"/>
        </w:numPr>
        <w:spacing w:after="40" w:before="40"/>
      </w:pPr>
      <w:r>
        <w:rPr>
          <w:rFonts w:ascii="Arial" w:cs="Arial" w:eastAsia="Arial" w:hAnsi="Arial"/>
          <w:color w:val="1A1A1A"/>
          <w:sz w:val="22"/>
          <w:szCs w:val="22"/>
        </w:rPr>
        <w:t xml:space="preserve">On matter creation, the system generates a baseline task list tailored to estate type (testate/intestate, trust/probate), state jurisdiction, and asset profile</w:t>
      </w:r>
    </w:p>
    <w:p>
      <w:pPr>
        <w:pStyle w:val="ListParagraph"/>
        <w:numPr>
          <w:ilvl w:val="0"/>
          <w:numId w:val="2"/>
        </w:numPr>
        <w:spacing w:after="40" w:before="40"/>
      </w:pPr>
      <w:r>
        <w:rPr>
          <w:rFonts w:ascii="Arial" w:cs="Arial" w:eastAsia="Arial" w:hAnsi="Arial"/>
          <w:color w:val="1A1A1A"/>
          <w:sz w:val="22"/>
          <w:szCs w:val="22"/>
        </w:rPr>
        <w:t xml:space="preserve">Task templates are maintained by estate type: simple probate, complex multi-state, trust administration, incapacity/conservatorship</w:t>
      </w:r>
    </w:p>
    <w:p>
      <w:pPr>
        <w:pStyle w:val="ListParagraph"/>
        <w:numPr>
          <w:ilvl w:val="0"/>
          <w:numId w:val="2"/>
        </w:numPr>
        <w:spacing w:after="40" w:before="40"/>
      </w:pPr>
      <w:r>
        <w:rPr>
          <w:rFonts w:ascii="Arial" w:cs="Arial" w:eastAsia="Arial" w:hAnsi="Arial"/>
          <w:color w:val="1A1A1A"/>
          <w:sz w:val="22"/>
          <w:szCs w:val="22"/>
        </w:rPr>
        <w:t xml:space="preserve">Tasks are grouped into phases: Immediate Actions (Day 1–30), Administration Phase (Month 1–6), Distribution Phase, and Closing</w:t>
      </w:r>
    </w:p>
    <w:p>
      <w:pPr>
        <w:spacing w:after="0" w:before="80"/>
      </w:pPr>
      <w:r>
        <w:t xml:space="preserve"/>
      </w:r>
    </w:p>
    <w:p>
      <w:pPr>
        <w:pStyle w:val="Heading3"/>
        <w:spacing w:after="80" w:before="200"/>
      </w:pPr>
      <w:r>
        <w:rPr>
          <w:rFonts w:ascii="Arial" w:cs="Arial" w:eastAsia="Arial" w:hAnsi="Arial"/>
          <w:b/>
          <w:bCs/>
          <w:color w:val="1A6B6B"/>
          <w:sz w:val="24"/>
          <w:szCs w:val="24"/>
        </w:rPr>
        <w:t xml:space="preserve">4.2.2  Task Properties</w:t>
      </w:r>
    </w:p>
    <w:p>
      <w:pPr>
        <w:pStyle w:val="ListParagraph"/>
        <w:numPr>
          <w:ilvl w:val="0"/>
          <w:numId w:val="2"/>
        </w:numPr>
        <w:spacing w:after="40" w:before="40"/>
      </w:pPr>
      <w:r>
        <w:rPr>
          <w:rFonts w:ascii="Arial" w:cs="Arial" w:eastAsia="Arial" w:hAnsi="Arial"/>
          <w:color w:val="1A1A1A"/>
          <w:sz w:val="22"/>
          <w:szCs w:val="22"/>
        </w:rPr>
        <w:t xml:space="preserve">Owner assignment: task assigned to a specific stakeholder role or individual</w:t>
      </w:r>
    </w:p>
    <w:p>
      <w:pPr>
        <w:pStyle w:val="ListParagraph"/>
        <w:numPr>
          <w:ilvl w:val="0"/>
          <w:numId w:val="2"/>
        </w:numPr>
        <w:spacing w:after="40" w:before="40"/>
      </w:pPr>
      <w:r>
        <w:rPr>
          <w:rFonts w:ascii="Arial" w:cs="Arial" w:eastAsia="Arial" w:hAnsi="Arial"/>
          <w:color w:val="1A1A1A"/>
          <w:sz w:val="22"/>
          <w:szCs w:val="22"/>
        </w:rPr>
        <w:t xml:space="preserve">Due date: absolute date or relative (e.g., 9 months from date of death for federal estate tax)</w:t>
      </w:r>
    </w:p>
    <w:p>
      <w:pPr>
        <w:pStyle w:val="ListParagraph"/>
        <w:numPr>
          <w:ilvl w:val="0"/>
          <w:numId w:val="2"/>
        </w:numPr>
        <w:spacing w:after="40" w:before="40"/>
      </w:pPr>
      <w:r>
        <w:rPr>
          <w:rFonts w:ascii="Arial" w:cs="Arial" w:eastAsia="Arial" w:hAnsi="Arial"/>
          <w:color w:val="1A1A1A"/>
          <w:sz w:val="22"/>
          <w:szCs w:val="22"/>
        </w:rPr>
        <w:t xml:space="preserve">Dependencies: tasks can be blocked until prior tasks are complete</w:t>
      </w:r>
    </w:p>
    <w:p>
      <w:pPr>
        <w:pStyle w:val="ListParagraph"/>
        <w:numPr>
          <w:ilvl w:val="0"/>
          <w:numId w:val="2"/>
        </w:numPr>
        <w:spacing w:after="40" w:before="40"/>
      </w:pPr>
      <w:r>
        <w:rPr>
          <w:rFonts w:ascii="Arial" w:cs="Arial" w:eastAsia="Arial" w:hAnsi="Arial"/>
          <w:color w:val="1A1A1A"/>
          <w:sz w:val="22"/>
          <w:szCs w:val="22"/>
        </w:rPr>
        <w:t xml:space="preserve">Document requirements: tasks can require a document attachment before marking complete</w:t>
      </w:r>
    </w:p>
    <w:p>
      <w:pPr>
        <w:pStyle w:val="ListParagraph"/>
        <w:numPr>
          <w:ilvl w:val="0"/>
          <w:numId w:val="2"/>
        </w:numPr>
        <w:spacing w:after="40" w:before="40"/>
      </w:pPr>
      <w:r>
        <w:rPr>
          <w:rFonts w:ascii="Arial" w:cs="Arial" w:eastAsia="Arial" w:hAnsi="Arial"/>
          <w:color w:val="1A1A1A"/>
          <w:sz w:val="22"/>
          <w:szCs w:val="22"/>
        </w:rPr>
        <w:t xml:space="preserve">Priority: critical, normal, informational</w:t>
      </w:r>
    </w:p>
    <w:p>
      <w:pPr>
        <w:pStyle w:val="ListParagraph"/>
        <w:numPr>
          <w:ilvl w:val="0"/>
          <w:numId w:val="2"/>
        </w:numPr>
        <w:spacing w:after="40" w:before="40"/>
      </w:pPr>
      <w:r>
        <w:rPr>
          <w:rFonts w:ascii="Arial" w:cs="Arial" w:eastAsia="Arial" w:hAnsi="Arial"/>
          <w:color w:val="1A1A1A"/>
          <w:sz w:val="22"/>
          <w:szCs w:val="22"/>
        </w:rPr>
        <w:t xml:space="preserve">Status: not started, in progress, blocked, complete, waived</w:t>
      </w:r>
    </w:p>
    <w:p>
      <w:pPr>
        <w:spacing w:after="0" w:before="80"/>
      </w:pPr>
      <w:r>
        <w:t xml:space="preserve"/>
      </w:r>
    </w:p>
    <w:p>
      <w:pPr>
        <w:pStyle w:val="Heading3"/>
        <w:spacing w:after="80" w:before="200"/>
      </w:pPr>
      <w:r>
        <w:rPr>
          <w:rFonts w:ascii="Arial" w:cs="Arial" w:eastAsia="Arial" w:hAnsi="Arial"/>
          <w:b/>
          <w:bCs/>
          <w:color w:val="1A6B6B"/>
          <w:sz w:val="24"/>
          <w:szCs w:val="24"/>
        </w:rPr>
        <w:t xml:space="preserve">4.2.3  Built-in Task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Immediate 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Death certificates obtained, notify Social Security, freeze credit, locate will/trust, identify executor/trustee, open estate bank 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Asset Inventory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Inventory real estate, bank accounts, investment accounts, retirement accounts, business interests, digital assets, personal property, vehicles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Notification Workflow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Notify each financial institution, creditor, subscription service, employer, insurance company — with template letters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Probate &amp; Court Filings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File petition for probate, publish creditor notice, file inventory with court, obtain letters testamentary</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Tax Obligations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Apply for estate EIN, file final income tax return, file estate tax return (706), file state estate/inheritance tax returns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Asset Transfers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Re-title real estate, transfer investment accounts, distribute personal property, issue K-1s, close estate bank account</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Family 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Beneficiary acknowledgments, interim distribution notices, final accounting approval</w:t>
            </w:r>
          </w:p>
        </w:tc>
      </w:tr>
    </w:tbl>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4.3  Asset &amp; Ownership Registry</w:t>
      </w:r>
    </w:p>
    <w:p>
      <w:pPr>
        <w:spacing w:after="80" w:before="80"/>
      </w:pPr>
      <w:r>
        <w:rPr>
          <w:rFonts w:ascii="Arial" w:cs="Arial" w:eastAsia="Arial" w:hAnsi="Arial"/>
          <w:b w:val="false"/>
          <w:bCs w:val="false"/>
          <w:color w:val="1A1A1A"/>
          <w:sz w:val="22"/>
          <w:szCs w:val="22"/>
        </w:rPr>
        <w:t xml:space="preserve">A structured inventory of every asset in the estate, with ownership clarity attached to each item:</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Asset types: real estate, bank/brokerage accounts, retirement accounts, life insurance, business interests, vehicles, digital assets, personal property, receivables</w:t>
      </w:r>
    </w:p>
    <w:p>
      <w:pPr>
        <w:pStyle w:val="ListParagraph"/>
        <w:numPr>
          <w:ilvl w:val="0"/>
          <w:numId w:val="2"/>
        </w:numPr>
        <w:spacing w:after="40" w:before="40"/>
      </w:pPr>
      <w:r>
        <w:rPr>
          <w:rFonts w:ascii="Arial" w:cs="Arial" w:eastAsia="Arial" w:hAnsi="Arial"/>
          <w:color w:val="1A1A1A"/>
          <w:sz w:val="22"/>
          <w:szCs w:val="22"/>
        </w:rPr>
        <w:t xml:space="preserve">Ownership tags: in trust, joint tenancy, community property, POD/TOD, individual, business-owned</w:t>
      </w:r>
    </w:p>
    <w:p>
      <w:pPr>
        <w:pStyle w:val="ListParagraph"/>
        <w:numPr>
          <w:ilvl w:val="0"/>
          <w:numId w:val="2"/>
        </w:numPr>
        <w:spacing w:after="40" w:before="40"/>
      </w:pPr>
      <w:r>
        <w:rPr>
          <w:rFonts w:ascii="Arial" w:cs="Arial" w:eastAsia="Arial" w:hAnsi="Arial"/>
          <w:color w:val="1A1A1A"/>
          <w:sz w:val="22"/>
          <w:szCs w:val="22"/>
        </w:rPr>
        <w:t xml:space="preserve">Transfer mechanism: probate required, trust administration, beneficiary designation, joint right of survivorship</w:t>
      </w:r>
    </w:p>
    <w:p>
      <w:pPr>
        <w:pStyle w:val="ListParagraph"/>
        <w:numPr>
          <w:ilvl w:val="0"/>
          <w:numId w:val="2"/>
        </w:numPr>
        <w:spacing w:after="40" w:before="40"/>
      </w:pPr>
      <w:r>
        <w:rPr>
          <w:rFonts w:ascii="Arial" w:cs="Arial" w:eastAsia="Arial" w:hAnsi="Arial"/>
          <w:color w:val="1A1A1A"/>
          <w:sz w:val="22"/>
          <w:szCs w:val="22"/>
        </w:rPr>
        <w:t xml:space="preserve">Document attachments: deed, account statement, appraisal, insurance policy attached directly to each asset</w:t>
      </w:r>
    </w:p>
    <w:p>
      <w:pPr>
        <w:pStyle w:val="ListParagraph"/>
        <w:numPr>
          <w:ilvl w:val="0"/>
          <w:numId w:val="2"/>
        </w:numPr>
        <w:spacing w:after="40" w:before="40"/>
      </w:pPr>
      <w:r>
        <w:rPr>
          <w:rFonts w:ascii="Arial" w:cs="Arial" w:eastAsia="Arial" w:hAnsi="Arial"/>
          <w:color w:val="1A1A1A"/>
          <w:sz w:val="22"/>
          <w:szCs w:val="22"/>
        </w:rPr>
        <w:t xml:space="preserve">Valuation tracking: date-of-death value, current estimated value, final appraised value</w:t>
      </w:r>
    </w:p>
    <w:p>
      <w:pPr>
        <w:pStyle w:val="ListParagraph"/>
        <w:numPr>
          <w:ilvl w:val="0"/>
          <w:numId w:val="2"/>
        </w:numPr>
        <w:spacing w:after="40" w:before="40"/>
      </w:pPr>
      <w:r>
        <w:rPr>
          <w:rFonts w:ascii="Arial" w:cs="Arial" w:eastAsia="Arial" w:hAnsi="Arial"/>
          <w:color w:val="1A1A1A"/>
          <w:sz w:val="22"/>
          <w:szCs w:val="22"/>
        </w:rPr>
        <w:t xml:space="preserve">Status lifecycle: discovered → valued → transferred → distributed</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4.4  Entity &amp; Trust Ownership Map</w:t>
      </w:r>
    </w:p>
    <w:p>
      <w:pPr>
        <w:spacing w:after="80" w:before="80"/>
      </w:pPr>
      <w:r>
        <w:rPr>
          <w:rFonts w:ascii="Arial" w:cs="Arial" w:eastAsia="Arial" w:hAnsi="Arial"/>
          <w:b w:val="false"/>
          <w:bCs w:val="false"/>
          <w:color w:val="1A1A1A"/>
          <w:sz w:val="22"/>
          <w:szCs w:val="22"/>
        </w:rPr>
        <w:t xml:space="preserve">For complex estates with multiple trusts, LLCs, FLPs, or other entities, the platform visualizes the ownership structure:</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Visual entity map showing what each trust or entity owns</w:t>
      </w:r>
    </w:p>
    <w:p>
      <w:pPr>
        <w:pStyle w:val="ListParagraph"/>
        <w:numPr>
          <w:ilvl w:val="0"/>
          <w:numId w:val="2"/>
        </w:numPr>
        <w:spacing w:after="40" w:before="40"/>
      </w:pPr>
      <w:r>
        <w:rPr>
          <w:rFonts w:ascii="Arial" w:cs="Arial" w:eastAsia="Arial" w:hAnsi="Arial"/>
          <w:color w:val="1A1A1A"/>
          <w:sz w:val="22"/>
          <w:szCs w:val="22"/>
        </w:rPr>
        <w:t xml:space="preserve">Successor trustee designations and triggering conditions</w:t>
      </w:r>
    </w:p>
    <w:p>
      <w:pPr>
        <w:pStyle w:val="ListParagraph"/>
        <w:numPr>
          <w:ilvl w:val="0"/>
          <w:numId w:val="2"/>
        </w:numPr>
        <w:spacing w:after="40" w:before="40"/>
      </w:pPr>
      <w:r>
        <w:rPr>
          <w:rFonts w:ascii="Arial" w:cs="Arial" w:eastAsia="Arial" w:hAnsi="Arial"/>
          <w:color w:val="1A1A1A"/>
          <w:sz w:val="22"/>
          <w:szCs w:val="22"/>
        </w:rPr>
        <w:t xml:space="preserve">Funding status: which assets have been properly funded into trust vs. those that need attention</w:t>
      </w:r>
    </w:p>
    <w:p>
      <w:pPr>
        <w:pStyle w:val="ListParagraph"/>
        <w:numPr>
          <w:ilvl w:val="0"/>
          <w:numId w:val="2"/>
        </w:numPr>
        <w:spacing w:after="40" w:before="40"/>
      </w:pPr>
      <w:r>
        <w:rPr>
          <w:rFonts w:ascii="Arial" w:cs="Arial" w:eastAsia="Arial" w:hAnsi="Arial"/>
          <w:color w:val="1A1A1A"/>
          <w:sz w:val="22"/>
          <w:szCs w:val="22"/>
        </w:rPr>
        <w:t xml:space="preserve">Pour-over will tracking: assets that need probate before flowing to trust</w:t>
      </w:r>
    </w:p>
    <w:p>
      <w:pPr>
        <w:pStyle w:val="ListParagraph"/>
        <w:numPr>
          <w:ilvl w:val="0"/>
          <w:numId w:val="2"/>
        </w:numPr>
        <w:spacing w:after="40" w:before="40"/>
      </w:pPr>
      <w:r>
        <w:rPr>
          <w:rFonts w:ascii="Arial" w:cs="Arial" w:eastAsia="Arial" w:hAnsi="Arial"/>
          <w:color w:val="1A1A1A"/>
          <w:sz w:val="22"/>
          <w:szCs w:val="22"/>
        </w:rPr>
        <w:t xml:space="preserve">Multi-trust distribution waterfall: who gets what, in what order, under what conditions</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4.5  Deadline &amp; Compliance Calendar</w:t>
      </w:r>
    </w:p>
    <w:p>
      <w:pPr>
        <w:spacing w:after="80" w:before="80"/>
      </w:pPr>
      <w:r>
        <w:rPr>
          <w:rFonts w:ascii="Arial" w:cs="Arial" w:eastAsia="Arial" w:hAnsi="Arial"/>
          <w:b w:val="false"/>
          <w:bCs w:val="false"/>
          <w:color w:val="1A1A1A"/>
          <w:sz w:val="22"/>
          <w:szCs w:val="22"/>
        </w:rPr>
        <w:t xml:space="preserve">Estate administration is deadline-driven. Missing a filing window can mean tax penalties, forfeited rights, or personal liability for the executor. The Compliance Calendar:</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Auto-populates key deadlines from date of death: federal estate tax (9 months), estate tax extension (6 months additional), creditor notice windows (state-specific), beneficiary notice requirements</w:t>
      </w:r>
    </w:p>
    <w:p>
      <w:pPr>
        <w:pStyle w:val="ListParagraph"/>
        <w:numPr>
          <w:ilvl w:val="0"/>
          <w:numId w:val="2"/>
        </w:numPr>
        <w:spacing w:after="40" w:before="40"/>
      </w:pPr>
      <w:r>
        <w:rPr>
          <w:rFonts w:ascii="Arial" w:cs="Arial" w:eastAsia="Arial" w:hAnsi="Arial"/>
          <w:color w:val="1A1A1A"/>
          <w:sz w:val="22"/>
          <w:szCs w:val="22"/>
        </w:rPr>
        <w:t xml:space="preserve">Allows manual deadline entry for state-specific and matter-specific dates</w:t>
      </w:r>
    </w:p>
    <w:p>
      <w:pPr>
        <w:pStyle w:val="ListParagraph"/>
        <w:numPr>
          <w:ilvl w:val="0"/>
          <w:numId w:val="2"/>
        </w:numPr>
        <w:spacing w:after="40" w:before="40"/>
      </w:pPr>
      <w:r>
        <w:rPr>
          <w:rFonts w:ascii="Arial" w:cs="Arial" w:eastAsia="Arial" w:hAnsi="Arial"/>
          <w:color w:val="1A1A1A"/>
          <w:sz w:val="22"/>
          <w:szCs w:val="22"/>
        </w:rPr>
        <w:t xml:space="preserve">Sends email and in-app reminders at configurable intervals (30 days out, 7 days out, day-of)</w:t>
      </w:r>
    </w:p>
    <w:p>
      <w:pPr>
        <w:pStyle w:val="ListParagraph"/>
        <w:numPr>
          <w:ilvl w:val="0"/>
          <w:numId w:val="2"/>
        </w:numPr>
        <w:spacing w:after="40" w:before="40"/>
      </w:pPr>
      <w:r>
        <w:rPr>
          <w:rFonts w:ascii="Arial" w:cs="Arial" w:eastAsia="Arial" w:hAnsi="Arial"/>
          <w:color w:val="1A1A1A"/>
          <w:sz w:val="22"/>
          <w:szCs w:val="22"/>
        </w:rPr>
        <w:t xml:space="preserve">Links each deadline to the responsible task and assignee</w:t>
      </w:r>
    </w:p>
    <w:p>
      <w:pPr>
        <w:pStyle w:val="ListParagraph"/>
        <w:numPr>
          <w:ilvl w:val="0"/>
          <w:numId w:val="2"/>
        </w:numPr>
        <w:spacing w:after="40" w:before="40"/>
      </w:pPr>
      <w:r>
        <w:rPr>
          <w:rFonts w:ascii="Arial" w:cs="Arial" w:eastAsia="Arial" w:hAnsi="Arial"/>
          <w:color w:val="1A1A1A"/>
          <w:sz w:val="22"/>
          <w:szCs w:val="22"/>
        </w:rPr>
        <w:t xml:space="preserve">Tracks deadline status: upcoming, completed, extended, missed</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4.6  Stakeholder Access &amp; Permissions</w:t>
      </w:r>
    </w:p>
    <w:p>
      <w:pPr>
        <w:spacing w:after="80" w:before="80"/>
      </w:pPr>
      <w:r>
        <w:rPr>
          <w:rFonts w:ascii="Arial" w:cs="Arial" w:eastAsia="Arial" w:hAnsi="Arial"/>
          <w:b w:val="false"/>
          <w:bCs w:val="false"/>
          <w:color w:val="1A1A1A"/>
          <w:sz w:val="22"/>
          <w:szCs w:val="22"/>
        </w:rPr>
        <w:t xml:space="preserve">Estate administration involves multiple parties with very different roles and information needs. The permission model reflects this: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060"/>
        <w:gridCol w:w="2800"/>
      </w:tblGrid>
      <w:tr>
        <w:tc>
          <w:tcPr>
            <w:tcW w:type="dxa" w:w="21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Role</w:t>
            </w:r>
          </w:p>
        </w:tc>
        <w:tc>
          <w:tcPr>
            <w:tcW w:type="dxa" w:w="24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Access Level</w:t>
            </w:r>
          </w:p>
        </w:tc>
        <w:tc>
          <w:tcPr>
            <w:tcW w:type="dxa" w:w="206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Can Assign Tasks</w:t>
            </w:r>
          </w:p>
        </w:tc>
        <w:tc>
          <w:tcPr>
            <w:tcW w:type="dxa" w:w="28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Typical User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Matter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access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Lead attorney or RIA</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Professional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tasks &amp; docs</w:t>
            </w:r>
          </w:p>
        </w:tc>
        <w:tc>
          <w:tcPr>
            <w:tcW w:type="dxa" w:w="2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Co-counsel, CPA, advisor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Executor/Trustee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Assigned tasks &amp; docs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Family executor</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Beneficiary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Progress view, docs sent</w:t>
            </w:r>
          </w:p>
        </w:tc>
        <w:tc>
          <w:tcPr>
            <w:tcW w:type="dxa" w:w="2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Heirs, family members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Read-Only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Status view only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Court-appointed parties</w:t>
            </w:r>
          </w:p>
        </w:tc>
      </w:tr>
    </w:tbl>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4.7  Document Management (Workflow-Attached)</w:t>
      </w:r>
    </w:p>
    <w:p>
      <w:pPr>
        <w:spacing w:after="80" w:before="80"/>
      </w:pPr>
      <w:r>
        <w:rPr>
          <w:rFonts w:ascii="Arial" w:cs="Arial" w:eastAsia="Arial" w:hAnsi="Arial"/>
          <w:b w:val="false"/>
          <w:bCs w:val="false"/>
          <w:color w:val="1A1A1A"/>
          <w:sz w:val="22"/>
          <w:szCs w:val="22"/>
        </w:rPr>
        <w:t xml:space="preserve">Documents in Estate Executor OS are attached to tasks and assets — not floating in a folder structure. This means:</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Every document has context: what task it satisfies, what asset it describes, who uploaded it and when</w:t>
      </w:r>
    </w:p>
    <w:p>
      <w:pPr>
        <w:pStyle w:val="ListParagraph"/>
        <w:numPr>
          <w:ilvl w:val="0"/>
          <w:numId w:val="2"/>
        </w:numPr>
        <w:spacing w:after="40" w:before="40"/>
      </w:pPr>
      <w:r>
        <w:rPr>
          <w:rFonts w:ascii="Arial" w:cs="Arial" w:eastAsia="Arial" w:hAnsi="Arial"/>
          <w:color w:val="1A1A1A"/>
          <w:sz w:val="22"/>
          <w:szCs w:val="22"/>
        </w:rPr>
        <w:t xml:space="preserve">Required documents block task completion until uploaded — no more chasing missing paperwork</w:t>
      </w:r>
    </w:p>
    <w:p>
      <w:pPr>
        <w:pStyle w:val="ListParagraph"/>
        <w:numPr>
          <w:ilvl w:val="0"/>
          <w:numId w:val="2"/>
        </w:numPr>
        <w:spacing w:after="40" w:before="40"/>
      </w:pPr>
      <w:r>
        <w:rPr>
          <w:rFonts w:ascii="Arial" w:cs="Arial" w:eastAsia="Arial" w:hAnsi="Arial"/>
          <w:color w:val="1A1A1A"/>
          <w:sz w:val="22"/>
          <w:szCs w:val="22"/>
        </w:rPr>
        <w:t xml:space="preserve">Document request workflow: request a document from any stakeholder, who receives an email link to upload directly</w:t>
      </w:r>
    </w:p>
    <w:p>
      <w:pPr>
        <w:pStyle w:val="ListParagraph"/>
        <w:numPr>
          <w:ilvl w:val="0"/>
          <w:numId w:val="2"/>
        </w:numPr>
        <w:spacing w:after="40" w:before="40"/>
      </w:pPr>
      <w:r>
        <w:rPr>
          <w:rFonts w:ascii="Arial" w:cs="Arial" w:eastAsia="Arial" w:hAnsi="Arial"/>
          <w:color w:val="1A1A1A"/>
          <w:sz w:val="22"/>
          <w:szCs w:val="22"/>
        </w:rPr>
        <w:t xml:space="preserve">Version control: re-uploads create new versions; prior versions are retained with timestamps</w:t>
      </w:r>
    </w:p>
    <w:p>
      <w:pPr>
        <w:pStyle w:val="ListParagraph"/>
        <w:numPr>
          <w:ilvl w:val="0"/>
          <w:numId w:val="2"/>
        </w:numPr>
        <w:spacing w:after="40" w:before="40"/>
      </w:pPr>
      <w:r>
        <w:rPr>
          <w:rFonts w:ascii="Arial" w:cs="Arial" w:eastAsia="Arial" w:hAnsi="Arial"/>
          <w:color w:val="1A1A1A"/>
          <w:sz w:val="22"/>
          <w:szCs w:val="22"/>
        </w:rPr>
        <w:t xml:space="preserve">Smart naming: documents are auto-tagged by type (death certificate, deed, account statement, court filing) via AI classification</w:t>
      </w:r>
    </w:p>
    <w:p>
      <w:pPr>
        <w:pStyle w:val="ListParagraph"/>
        <w:numPr>
          <w:ilvl w:val="0"/>
          <w:numId w:val="2"/>
        </w:numPr>
        <w:spacing w:after="40" w:before="40"/>
      </w:pPr>
      <w:r>
        <w:rPr>
          <w:rFonts w:ascii="Arial" w:cs="Arial" w:eastAsia="Arial" w:hAnsi="Arial"/>
          <w:color w:val="1A1A1A"/>
          <w:sz w:val="22"/>
          <w:szCs w:val="22"/>
        </w:rPr>
        <w:t xml:space="preserve">Bulk download: generate a complete document package for court filing or final record</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4.8  Family Communication Center</w:t>
      </w:r>
    </w:p>
    <w:p>
      <w:pPr>
        <w:spacing w:after="80" w:before="80"/>
      </w:pPr>
      <w:r>
        <w:rPr>
          <w:rFonts w:ascii="Arial" w:cs="Arial" w:eastAsia="Arial" w:hAnsi="Arial"/>
          <w:b w:val="false"/>
          <w:bCs w:val="false"/>
          <w:color w:val="1A1A1A"/>
          <w:sz w:val="22"/>
          <w:szCs w:val="22"/>
        </w:rPr>
        <w:t xml:space="preserve">Family conflict is the leading cause of estate administration delays and litigation. The Communication Center reduces this risk:</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Beneficiary portal: heirs see a clean, read-only progress view appropriate for their role — no access to sensitive attorney-client communications</w:t>
      </w:r>
    </w:p>
    <w:p>
      <w:pPr>
        <w:pStyle w:val="ListParagraph"/>
        <w:numPr>
          <w:ilvl w:val="0"/>
          <w:numId w:val="2"/>
        </w:numPr>
        <w:spacing w:after="40" w:before="40"/>
      </w:pPr>
      <w:r>
        <w:rPr>
          <w:rFonts w:ascii="Arial" w:cs="Arial" w:eastAsia="Arial" w:hAnsi="Arial"/>
          <w:color w:val="1A1A1A"/>
          <w:sz w:val="22"/>
          <w:szCs w:val="22"/>
        </w:rPr>
        <w:t xml:space="preserve">Milestone notifications: automated updates when key milestones are reached (probate filed, inventory complete, distribution approved)</w:t>
      </w:r>
    </w:p>
    <w:p>
      <w:pPr>
        <w:pStyle w:val="ListParagraph"/>
        <w:numPr>
          <w:ilvl w:val="0"/>
          <w:numId w:val="2"/>
        </w:numPr>
        <w:spacing w:after="40" w:before="40"/>
      </w:pPr>
      <w:r>
        <w:rPr>
          <w:rFonts w:ascii="Arial" w:cs="Arial" w:eastAsia="Arial" w:hAnsi="Arial"/>
          <w:color w:val="1A1A1A"/>
          <w:sz w:val="22"/>
          <w:szCs w:val="22"/>
        </w:rPr>
        <w:t xml:space="preserve">Distribution notices: formal digital notifications when distributions are made, with receipt acknowledgment</w:t>
      </w:r>
    </w:p>
    <w:p>
      <w:pPr>
        <w:pStyle w:val="ListParagraph"/>
        <w:numPr>
          <w:ilvl w:val="0"/>
          <w:numId w:val="2"/>
        </w:numPr>
        <w:spacing w:after="40" w:before="40"/>
      </w:pPr>
      <w:r>
        <w:rPr>
          <w:rFonts w:ascii="Arial" w:cs="Arial" w:eastAsia="Arial" w:hAnsi="Arial"/>
          <w:color w:val="1A1A1A"/>
          <w:sz w:val="22"/>
          <w:szCs w:val="22"/>
        </w:rPr>
        <w:t xml:space="preserve">Message threading: all family communications logged in the platform, preventing the he-said-she-said problem</w:t>
      </w:r>
    </w:p>
    <w:p>
      <w:pPr>
        <w:pStyle w:val="ListParagraph"/>
        <w:numPr>
          <w:ilvl w:val="0"/>
          <w:numId w:val="2"/>
        </w:numPr>
        <w:spacing w:after="40" w:before="40"/>
      </w:pPr>
      <w:r>
        <w:rPr>
          <w:rFonts w:ascii="Arial" w:cs="Arial" w:eastAsia="Arial" w:hAnsi="Arial"/>
          <w:color w:val="1A1A1A"/>
          <w:sz w:val="22"/>
          <w:szCs w:val="22"/>
        </w:rPr>
        <w:t xml:space="preserve">Dispute flag: any stakeholder can flag a disputed item for professional review without derailing the main workflow</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4.9  AI Layer</w:t>
      </w:r>
    </w:p>
    <w:p>
      <w:pPr>
        <w:spacing w:after="80" w:before="80"/>
      </w:pPr>
      <w:r>
        <w:rPr>
          <w:rFonts w:ascii="Arial" w:cs="Arial" w:eastAsia="Arial" w:hAnsi="Arial"/>
          <w:b w:val="false"/>
          <w:bCs w:val="false"/>
          <w:color w:val="1A1A1A"/>
          <w:sz w:val="22"/>
          <w:szCs w:val="22"/>
        </w:rPr>
        <w:t xml:space="preserve">AI features accelerate the most time-consuming manual work:</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Document classification: uploaded documents are automatically identified by type and tagged</w:t>
      </w:r>
    </w:p>
    <w:p>
      <w:pPr>
        <w:pStyle w:val="ListParagraph"/>
        <w:numPr>
          <w:ilvl w:val="0"/>
          <w:numId w:val="2"/>
        </w:numPr>
        <w:spacing w:after="40" w:before="40"/>
      </w:pPr>
      <w:r>
        <w:rPr>
          <w:rFonts w:ascii="Arial" w:cs="Arial" w:eastAsia="Arial" w:hAnsi="Arial"/>
          <w:color w:val="1A1A1A"/>
          <w:sz w:val="22"/>
          <w:szCs w:val="22"/>
        </w:rPr>
        <w:t xml:space="preserve">Data extraction: financial account statements, deeds, and insurance policies are parsed to pre-fill asset registry fields</w:t>
      </w:r>
    </w:p>
    <w:p>
      <w:pPr>
        <w:pStyle w:val="ListParagraph"/>
        <w:numPr>
          <w:ilvl w:val="0"/>
          <w:numId w:val="2"/>
        </w:numPr>
        <w:spacing w:after="40" w:before="40"/>
      </w:pPr>
      <w:r>
        <w:rPr>
          <w:rFonts w:ascii="Arial" w:cs="Arial" w:eastAsia="Arial" w:hAnsi="Arial"/>
          <w:color w:val="1A1A1A"/>
          <w:sz w:val="22"/>
          <w:szCs w:val="22"/>
        </w:rPr>
        <w:t xml:space="preserve">Clause extraction: trust documents are scanned for key provisions — distribution triggers, trustee powers, special needs provisions, spendthrift clauses</w:t>
      </w:r>
    </w:p>
    <w:p>
      <w:pPr>
        <w:pStyle w:val="ListParagraph"/>
        <w:numPr>
          <w:ilvl w:val="0"/>
          <w:numId w:val="2"/>
        </w:numPr>
        <w:spacing w:after="40" w:before="40"/>
      </w:pPr>
      <w:r>
        <w:rPr>
          <w:rFonts w:ascii="Arial" w:cs="Arial" w:eastAsia="Arial" w:hAnsi="Arial"/>
          <w:color w:val="1A1A1A"/>
          <w:sz w:val="22"/>
          <w:szCs w:val="22"/>
        </w:rPr>
        <w:t xml:space="preserve">Letter drafting: institution notification letters drafted from asset data with one click</w:t>
      </w:r>
    </w:p>
    <w:p>
      <w:pPr>
        <w:pStyle w:val="ListParagraph"/>
        <w:numPr>
          <w:ilvl w:val="0"/>
          <w:numId w:val="2"/>
        </w:numPr>
        <w:spacing w:after="40" w:before="40"/>
      </w:pPr>
      <w:r>
        <w:rPr>
          <w:rFonts w:ascii="Arial" w:cs="Arial" w:eastAsia="Arial" w:hAnsi="Arial"/>
          <w:color w:val="1A1A1A"/>
          <w:sz w:val="22"/>
          <w:szCs w:val="22"/>
        </w:rPr>
        <w:t xml:space="preserve">Checklist suggestions: based on the asset profile and jurisdiction, suggest additional tasks that may apply</w:t>
      </w:r>
    </w:p>
    <w:p>
      <w:pPr>
        <w:pStyle w:val="ListParagraph"/>
        <w:numPr>
          <w:ilvl w:val="0"/>
          <w:numId w:val="2"/>
        </w:numPr>
        <w:spacing w:after="40" w:before="40"/>
      </w:pPr>
      <w:r>
        <w:rPr>
          <w:rFonts w:ascii="Arial" w:cs="Arial" w:eastAsia="Arial" w:hAnsi="Arial"/>
          <w:color w:val="1A1A1A"/>
          <w:sz w:val="22"/>
          <w:szCs w:val="22"/>
        </w:rPr>
        <w:t xml:space="preserve">Anomaly detection: flag assets or accounts that appear in documents but are not yet in the registry</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4.10  Reporting &amp; Export</w:t>
      </w:r>
    </w:p>
    <w:p>
      <w:pPr>
        <w:pStyle w:val="ListParagraph"/>
        <w:numPr>
          <w:ilvl w:val="0"/>
          <w:numId w:val="2"/>
        </w:numPr>
        <w:spacing w:after="40" w:before="40"/>
      </w:pPr>
      <w:r>
        <w:rPr>
          <w:rFonts w:ascii="Arial" w:cs="Arial" w:eastAsia="Arial" w:hAnsi="Arial"/>
          <w:color w:val="1A1A1A"/>
          <w:sz w:val="22"/>
          <w:szCs w:val="22"/>
        </w:rPr>
        <w:t xml:space="preserve">Matter summary report: full estate overview for court or internal review</w:t>
      </w:r>
    </w:p>
    <w:p>
      <w:pPr>
        <w:pStyle w:val="ListParagraph"/>
        <w:numPr>
          <w:ilvl w:val="0"/>
          <w:numId w:val="2"/>
        </w:numPr>
        <w:spacing w:after="40" w:before="40"/>
      </w:pPr>
      <w:r>
        <w:rPr>
          <w:rFonts w:ascii="Arial" w:cs="Arial" w:eastAsia="Arial" w:hAnsi="Arial"/>
          <w:color w:val="1A1A1A"/>
          <w:sz w:val="22"/>
          <w:szCs w:val="22"/>
        </w:rPr>
        <w:t xml:space="preserve">Asset inventory report: PDF or Excel export of all assets with values and status</w:t>
      </w:r>
    </w:p>
    <w:p>
      <w:pPr>
        <w:pStyle w:val="ListParagraph"/>
        <w:numPr>
          <w:ilvl w:val="0"/>
          <w:numId w:val="2"/>
        </w:numPr>
        <w:spacing w:after="40" w:before="40"/>
      </w:pPr>
      <w:r>
        <w:rPr>
          <w:rFonts w:ascii="Arial" w:cs="Arial" w:eastAsia="Arial" w:hAnsi="Arial"/>
          <w:color w:val="1A1A1A"/>
          <w:sz w:val="22"/>
          <w:szCs w:val="22"/>
        </w:rPr>
        <w:t xml:space="preserve">Task completion audit: timestamped log of every task action for liability protection</w:t>
      </w:r>
    </w:p>
    <w:p>
      <w:pPr>
        <w:pStyle w:val="ListParagraph"/>
        <w:numPr>
          <w:ilvl w:val="0"/>
          <w:numId w:val="2"/>
        </w:numPr>
        <w:spacing w:after="40" w:before="40"/>
      </w:pPr>
      <w:r>
        <w:rPr>
          <w:rFonts w:ascii="Arial" w:cs="Arial" w:eastAsia="Arial" w:hAnsi="Arial"/>
          <w:color w:val="1A1A1A"/>
          <w:sz w:val="22"/>
          <w:szCs w:val="22"/>
        </w:rPr>
        <w:t xml:space="preserve">Distribution ledger: full record of all distributions made, to whom, in what amounts</w:t>
      </w:r>
    </w:p>
    <w:p>
      <w:pPr>
        <w:pStyle w:val="ListParagraph"/>
        <w:numPr>
          <w:ilvl w:val="0"/>
          <w:numId w:val="2"/>
        </w:numPr>
        <w:spacing w:after="40" w:before="40"/>
      </w:pPr>
      <w:r>
        <w:rPr>
          <w:rFonts w:ascii="Arial" w:cs="Arial" w:eastAsia="Arial" w:hAnsi="Arial"/>
          <w:color w:val="1A1A1A"/>
          <w:sz w:val="22"/>
          <w:szCs w:val="22"/>
        </w:rPr>
        <w:t xml:space="preserve">Time tracking export: hours logged per professional per matter for billing purposes</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4.11  Integrations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Integration</w:t>
            </w:r>
          </w:p>
        </w:tc>
        <w:tc>
          <w:tcPr>
            <w:tcW w:type="dxa" w:w="24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Category</w:t>
            </w:r>
          </w:p>
        </w:tc>
        <w:tc>
          <w:tcPr>
            <w:tcW w:type="dxa" w:w="436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Use Case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QuickBooks / Xero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Accounting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Sync estate bank account transactions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Estateably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Fiduciary accounting</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Push asset data to accounting engine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Clio / PracticePanther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Legal practice mgmt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Sync matter, billing, time tracking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DocuSign / HelloSign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E-signatures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Execute distribution consents, receipts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Schwab / Fidelity APIs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Financial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Pull account balances and statements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Salesforce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CRM</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Sync client/matter data for large RIAs</w:t>
            </w:r>
          </w:p>
        </w:tc>
      </w:tr>
    </w:tbl>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5.  How It Works — User Journey</w:t>
      </w:r>
    </w:p>
    <w:p>
      <w:pPr>
        <w:spacing w:after="0" w:before="8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5.1  For the Estate Attorney (Primary Buyer)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Step 1: Open new matter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Attorney receives a new estate client. Opens Estate Executor OS, creates a new matter, enters date of death, state, asset types, and trust/probate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Step 2: System generates plan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Platform auto-generates a phased task checklist, populates the compliance calendar with key deadlines, and creates role slots for professionals and family.</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Step 3: Invite stakeholders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Attorney invites CPA, financial advisor, and executor with role-appropriate permissions. Each receives an email and sees only what is relevant to them.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Step 4: Intake documents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Death certificates, will, trust documents uploaded. AI extracts key provisions and pre-fills entity map and asset fields.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Step 5: Work the workflow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Attorney and team work through tasks — each completed, documented, and logged. Blocked items flagged. Deadlines tracked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Step 6: Communicate to family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Beneficiaries added to their portal. Automated milestone updates sent. Disputes flagged and escalated. Distribution notices sent and acknowledged.</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Step 7: Close the matter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Final distribution ledger exported. Full audit log archived. Matter marked closed. Attorney billing data exported to practice management system.</w:t>
            </w:r>
          </w:p>
        </w:tc>
      </w:tr>
    </w:tbl>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5.2  For the Trustee / Executor (Operator)</w:t>
      </w:r>
    </w:p>
    <w:p>
      <w:pPr>
        <w:spacing w:after="80" w:before="80"/>
      </w:pPr>
      <w:r>
        <w:rPr>
          <w:rFonts w:ascii="Arial" w:cs="Arial" w:eastAsia="Arial" w:hAnsi="Arial"/>
          <w:b w:val="false"/>
          <w:bCs w:val="false"/>
          <w:color w:val="1A1A1A"/>
          <w:sz w:val="22"/>
          <w:szCs w:val="22"/>
        </w:rPr>
        <w:t xml:space="preserve">The executor or trustee often has no professional experience in estate administration. Estate Executor OS gives them a guided, role-appropriate experience:</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They see only the tasks assigned to them — no overwhelm from the full legal workflow</w:t>
      </w:r>
    </w:p>
    <w:p>
      <w:pPr>
        <w:pStyle w:val="ListParagraph"/>
        <w:numPr>
          <w:ilvl w:val="0"/>
          <w:numId w:val="2"/>
        </w:numPr>
        <w:spacing w:after="40" w:before="40"/>
      </w:pPr>
      <w:r>
        <w:rPr>
          <w:rFonts w:ascii="Arial" w:cs="Arial" w:eastAsia="Arial" w:hAnsi="Arial"/>
          <w:color w:val="1A1A1A"/>
          <w:sz w:val="22"/>
          <w:szCs w:val="22"/>
        </w:rPr>
        <w:t xml:space="preserve">Each task has plain-language instructions explaining what to do and why</w:t>
      </w:r>
    </w:p>
    <w:p>
      <w:pPr>
        <w:pStyle w:val="ListParagraph"/>
        <w:numPr>
          <w:ilvl w:val="0"/>
          <w:numId w:val="2"/>
        </w:numPr>
        <w:spacing w:after="40" w:before="40"/>
      </w:pPr>
      <w:r>
        <w:rPr>
          <w:rFonts w:ascii="Arial" w:cs="Arial" w:eastAsia="Arial" w:hAnsi="Arial"/>
          <w:color w:val="1A1A1A"/>
          <w:sz w:val="22"/>
          <w:szCs w:val="22"/>
        </w:rPr>
        <w:t xml:space="preserve">Document uploads are prompted by task — no guessing what to gather</w:t>
      </w:r>
    </w:p>
    <w:p>
      <w:pPr>
        <w:pStyle w:val="ListParagraph"/>
        <w:numPr>
          <w:ilvl w:val="0"/>
          <w:numId w:val="2"/>
        </w:numPr>
        <w:spacing w:after="40" w:before="40"/>
      </w:pPr>
      <w:r>
        <w:rPr>
          <w:rFonts w:ascii="Arial" w:cs="Arial" w:eastAsia="Arial" w:hAnsi="Arial"/>
          <w:color w:val="1A1A1A"/>
          <w:sz w:val="22"/>
          <w:szCs w:val="22"/>
        </w:rPr>
        <w:t xml:space="preserve">Questions go to the attorney through the platform — no phone tag, documented for the record</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5.3  For the RIA / Trust Company (Institutional Buyer)</w:t>
      </w:r>
    </w:p>
    <w:p>
      <w:pPr>
        <w:spacing w:after="80" w:before="80"/>
      </w:pPr>
      <w:r>
        <w:rPr>
          <w:rFonts w:ascii="Arial" w:cs="Arial" w:eastAsia="Arial" w:hAnsi="Arial"/>
          <w:b w:val="false"/>
          <w:bCs w:val="false"/>
          <w:color w:val="1A1A1A"/>
          <w:sz w:val="22"/>
          <w:szCs w:val="22"/>
        </w:rPr>
        <w:t xml:space="preserve">An RIA with a trust department or a trust company manages dozens of estate matters simultaneously. Their experience:</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Portfolio view: see all open matters, their phases, outstanding tasks, and risk flags in one screen</w:t>
      </w:r>
    </w:p>
    <w:p>
      <w:pPr>
        <w:pStyle w:val="ListParagraph"/>
        <w:numPr>
          <w:ilvl w:val="0"/>
          <w:numId w:val="2"/>
        </w:numPr>
        <w:spacing w:after="40" w:before="40"/>
      </w:pPr>
      <w:r>
        <w:rPr>
          <w:rFonts w:ascii="Arial" w:cs="Arial" w:eastAsia="Arial" w:hAnsi="Arial"/>
          <w:color w:val="1A1A1A"/>
          <w:sz w:val="22"/>
          <w:szCs w:val="22"/>
        </w:rPr>
        <w:t xml:space="preserve">Staff assignment: assign junior associates to routine tasks, escalate complex items to senior advisors</w:t>
      </w:r>
    </w:p>
    <w:p>
      <w:pPr>
        <w:pStyle w:val="ListParagraph"/>
        <w:numPr>
          <w:ilvl w:val="0"/>
          <w:numId w:val="2"/>
        </w:numPr>
        <w:spacing w:after="40" w:before="40"/>
      </w:pPr>
      <w:r>
        <w:rPr>
          <w:rFonts w:ascii="Arial" w:cs="Arial" w:eastAsia="Arial" w:hAnsi="Arial"/>
          <w:color w:val="1A1A1A"/>
          <w:sz w:val="22"/>
          <w:szCs w:val="22"/>
        </w:rPr>
        <w:t xml:space="preserve">Client branding: deploy platform under their own firm brand (white-label option)</w:t>
      </w:r>
    </w:p>
    <w:p>
      <w:pPr>
        <w:pStyle w:val="ListParagraph"/>
        <w:numPr>
          <w:ilvl w:val="0"/>
          <w:numId w:val="2"/>
        </w:numPr>
        <w:spacing w:after="40" w:before="40"/>
      </w:pPr>
      <w:r>
        <w:rPr>
          <w:rFonts w:ascii="Arial" w:cs="Arial" w:eastAsia="Arial" w:hAnsi="Arial"/>
          <w:color w:val="1A1A1A"/>
          <w:sz w:val="22"/>
          <w:szCs w:val="22"/>
        </w:rPr>
        <w:t xml:space="preserve">Compliance reporting: export audit logs for regulatory review or internal QC</w:t>
      </w:r>
    </w:p>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6.  Business Model</w:t>
      </w:r>
    </w:p>
    <w:p>
      <w:pPr>
        <w:spacing w:after="0" w:before="8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6.1  Pricing Architecture</w:t>
      </w:r>
    </w:p>
    <w:p>
      <w:pPr>
        <w:spacing w:after="80" w:before="80"/>
      </w:pPr>
      <w:r>
        <w:rPr>
          <w:rFonts w:ascii="Arial" w:cs="Arial" w:eastAsia="Arial" w:hAnsi="Arial"/>
          <w:b w:val="false"/>
          <w:bCs w:val="false"/>
          <w:color w:val="1A1A1A"/>
          <w:sz w:val="22"/>
          <w:szCs w:val="22"/>
        </w:rPr>
        <w:t xml:space="preserve">Estate Executor OS is sold B2B with a SaaS subscription model. Pricing is structured by buyer type and scale: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60"/>
        <w:gridCol w:w="3100"/>
      </w:tblGrid>
      <w:tr>
        <w:tc>
          <w:tcPr>
            <w:tcW w:type="dxa" w:w="18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Tier</w:t>
            </w:r>
          </w:p>
        </w:tc>
        <w:tc>
          <w:tcPr>
            <w:tcW w:type="dxa" w:w="24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 Buyer</w:t>
            </w:r>
          </w:p>
        </w:tc>
        <w:tc>
          <w:tcPr>
            <w:tcW w:type="dxa" w:w="206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Pricing</w:t>
            </w:r>
          </w:p>
        </w:tc>
        <w:tc>
          <w:tcPr>
            <w:tcW w:type="dxa" w:w="31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Included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Starter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Solo estate attorney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$149/mo</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Up to 10 active matters, 2 users, core workflow</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Professional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Small firm (2–5 atty)</w:t>
            </w:r>
          </w:p>
        </w:tc>
        <w:tc>
          <w:tcPr>
            <w:tcW w:type="dxa" w:w="2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$349/mo</w:t>
            </w:r>
          </w:p>
        </w:tc>
        <w:tc>
          <w:tcPr>
            <w:tcW w:type="dxa" w:w="3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Up to 30 matters, 8 users, AI features, integrations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Growth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Mid-size firm / boutique RIA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$749/mo</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Up to 75 matters, 20 users, white-label portal, API access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Enterprise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Trust company / large RIA</w:t>
            </w:r>
          </w:p>
        </w:tc>
        <w:tc>
          <w:tcPr>
            <w:tcW w:type="dxa" w:w="2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Custom ($2K+/mo)</w:t>
            </w:r>
          </w:p>
        </w:tc>
        <w:tc>
          <w:tcPr>
            <w:tcW w:type="dxa" w:w="3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Unlimited matters, SSO, dedicated onboarding, SLA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6B" w:sz="8"/>
              <w:left w:val="single" w:color="1B2A4A" w:sz="16"/>
              <w:bottom w:val="none" w:color="FFFFFF" w:sz="0"/>
              <w:right w:val="none" w:color="FFFFFF" w:sz="0"/>
            </w:tcBorders>
            <w:shd w:fill="E8F4F4"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Pricing Philosophy</w:t>
            </w:r>
          </w:p>
          <w:p>
            <w:pPr>
              <w:spacing w:after="0" w:before="0"/>
            </w:pPr>
            <w:r>
              <w:rPr>
                <w:rFonts w:ascii="Arial" w:cs="Arial" w:eastAsia="Arial" w:hAnsi="Arial"/>
                <w:color w:val="1A1A1A"/>
                <w:sz w:val="20"/>
                <w:szCs w:val="20"/>
              </w:rPr>
              <w:t xml:space="preserve">The value per matter is enormous — even a $299/month subscription is rounding error against a $10,000 attorney fee or a $500,000 estate. Price anchors to the professional fee, not to the SaaS comp set. Do not under-price.</w:t>
            </w:r>
          </w:p>
        </w:tc>
      </w:tr>
    </w:tbl>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6.2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Core SaaS subscription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Primary revenue — monthly/annual recurring by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Per-matter add-ons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High-volume firms can buy matter packs above tier limits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White-label licensing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Trust companies and large RIAs pay premium for branded deployment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Onboarding &amp; training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One-time fee for enterprise implementation and staff training</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API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Per-seat developer API for firms building custom integrations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Referral marketplace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Long-term: connect executors with vetted appraisers, real estate agents, CPAs (rev-share)</w:t>
            </w:r>
          </w:p>
        </w:tc>
      </w:tr>
    </w:tbl>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6.3  Unit Economics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312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Year 1 Target</w:t>
            </w:r>
          </w:p>
        </w:tc>
        <w:tc>
          <w:tcPr>
            <w:tcW w:type="dxa" w:w="312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Year 3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ACV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$3,600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$6,000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Gross margin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75%+</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82%+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Payback period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&lt;12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&lt;8 months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Net Revenue Retention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100%+</w:t>
            </w:r>
          </w:p>
        </w:tc>
        <w:tc>
          <w:tcPr>
            <w:tcW w:type="dxa" w:w="31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110%+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CAC (B2B outbound)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&lt;$1,500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&lt;$2,000</w:t>
            </w:r>
          </w:p>
        </w:tc>
      </w:tr>
    </w:tbl>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7.  Go-To-Market Strategy</w:t>
      </w:r>
    </w:p>
    <w:p>
      <w:pPr>
        <w:spacing w:after="0" w:before="8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7.1  Beachhead Market: Estate Attorneys</w:t>
      </w:r>
    </w:p>
    <w:p>
      <w:pPr>
        <w:spacing w:after="80" w:before="80"/>
      </w:pPr>
      <w:r>
        <w:rPr>
          <w:rFonts w:ascii="Arial" w:cs="Arial" w:eastAsia="Arial" w:hAnsi="Arial"/>
          <w:b w:val="false"/>
          <w:bCs w:val="false"/>
          <w:color w:val="1A1A1A"/>
          <w:sz w:val="22"/>
          <w:szCs w:val="22"/>
        </w:rPr>
        <w:t xml:space="preserve">The first 100 customers should be solo and small-firm estate attorneys (1–5 attorneys). Reasons:</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They have the problem acutely — no staff, no systems, managing everything manually</w:t>
      </w:r>
    </w:p>
    <w:p>
      <w:pPr>
        <w:pStyle w:val="ListParagraph"/>
        <w:numPr>
          <w:ilvl w:val="0"/>
          <w:numId w:val="2"/>
        </w:numPr>
        <w:spacing w:after="40" w:before="40"/>
      </w:pPr>
      <w:r>
        <w:rPr>
          <w:rFonts w:ascii="Arial" w:cs="Arial" w:eastAsia="Arial" w:hAnsi="Arial"/>
          <w:color w:val="1A1A1A"/>
          <w:sz w:val="22"/>
          <w:szCs w:val="22"/>
        </w:rPr>
        <w:t xml:space="preserve">They control the matter and can adopt independently — no enterprise procurement needed</w:t>
      </w:r>
    </w:p>
    <w:p>
      <w:pPr>
        <w:pStyle w:val="ListParagraph"/>
        <w:numPr>
          <w:ilvl w:val="0"/>
          <w:numId w:val="2"/>
        </w:numPr>
        <w:spacing w:after="40" w:before="40"/>
      </w:pPr>
      <w:r>
        <w:rPr>
          <w:rFonts w:ascii="Arial" w:cs="Arial" w:eastAsia="Arial" w:hAnsi="Arial"/>
          <w:color w:val="1A1A1A"/>
          <w:sz w:val="22"/>
          <w:szCs w:val="22"/>
        </w:rPr>
        <w:t xml:space="preserve">They have relationships with the families — early feedback loop is rich</w:t>
      </w:r>
    </w:p>
    <w:p>
      <w:pPr>
        <w:pStyle w:val="ListParagraph"/>
        <w:numPr>
          <w:ilvl w:val="0"/>
          <w:numId w:val="2"/>
        </w:numPr>
        <w:spacing w:after="40" w:before="40"/>
      </w:pPr>
      <w:r>
        <w:rPr>
          <w:rFonts w:ascii="Arial" w:cs="Arial" w:eastAsia="Arial" w:hAnsi="Arial"/>
          <w:color w:val="1A1A1A"/>
          <w:sz w:val="22"/>
          <w:szCs w:val="22"/>
        </w:rPr>
        <w:t xml:space="preserve">They are reachable through bar associations, CLE events, and legal practice management communities</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7.2  Distribution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Direct outbound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LinkedIn outreach to estate attorneys and RIA trust officers — hyper-targeted, founder-led in Year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Bar association CLE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Sponsor or present at estate planning CLE sessions — attorneys get CE credit, you get a room full of buyers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Legal tech publications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Articles in Trusts &amp; Estates magazine, ACTEC Journal, NAEPC publications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Referral from CPAs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CPAs are involved in every estate — offer referral incentives for introductions to attorneys they co-counsel with</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Clio Marketplace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List in Clio's app marketplace to reach their 150K+ legal professional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Content / SEO</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Target 'estate executor checklist', 'estate administration workflow', 'probate task management' — high-intent, low competition</w:t>
            </w:r>
          </w:p>
        </w:tc>
      </w:tr>
    </w:tbl>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7.3  Phase 2: RIAs and Trust Companies</w:t>
      </w:r>
    </w:p>
    <w:p>
      <w:pPr>
        <w:spacing w:after="80" w:before="80"/>
      </w:pPr>
      <w:r>
        <w:rPr>
          <w:rFonts w:ascii="Arial" w:cs="Arial" w:eastAsia="Arial" w:hAnsi="Arial"/>
          <w:b w:val="false"/>
          <w:bCs w:val="false"/>
          <w:color w:val="1A1A1A"/>
          <w:sz w:val="22"/>
          <w:szCs w:val="22"/>
        </w:rPr>
        <w:t xml:space="preserve">After establishing product-market fit with attorneys (first ~50 paying customers), expand to RIAs with trust departments and independent trust companies. These buyers have:</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Higher ACV potential — enterprise pricing at $2K–5K/month</w:t>
      </w:r>
    </w:p>
    <w:p>
      <w:pPr>
        <w:pStyle w:val="ListParagraph"/>
        <w:numPr>
          <w:ilvl w:val="0"/>
          <w:numId w:val="2"/>
        </w:numPr>
        <w:spacing w:after="40" w:before="40"/>
      </w:pPr>
      <w:r>
        <w:rPr>
          <w:rFonts w:ascii="Arial" w:cs="Arial" w:eastAsia="Arial" w:hAnsi="Arial"/>
          <w:color w:val="1A1A1A"/>
          <w:sz w:val="22"/>
          <w:szCs w:val="22"/>
        </w:rPr>
        <w:t xml:space="preserve">Multiple matters in flight simultaneously — clear multi-seat value</w:t>
      </w:r>
    </w:p>
    <w:p>
      <w:pPr>
        <w:pStyle w:val="ListParagraph"/>
        <w:numPr>
          <w:ilvl w:val="0"/>
          <w:numId w:val="2"/>
        </w:numPr>
        <w:spacing w:after="40" w:before="40"/>
      </w:pPr>
      <w:r>
        <w:rPr>
          <w:rFonts w:ascii="Arial" w:cs="Arial" w:eastAsia="Arial" w:hAnsi="Arial"/>
          <w:color w:val="1A1A1A"/>
          <w:sz w:val="22"/>
          <w:szCs w:val="22"/>
        </w:rPr>
        <w:t xml:space="preserve">Existing compliance and audit requirements that the platform directly addresses</w:t>
      </w:r>
    </w:p>
    <w:p>
      <w:pPr>
        <w:pStyle w:val="ListParagraph"/>
        <w:numPr>
          <w:ilvl w:val="0"/>
          <w:numId w:val="2"/>
        </w:numPr>
        <w:spacing w:after="40" w:before="40"/>
      </w:pPr>
      <w:r>
        <w:rPr>
          <w:rFonts w:ascii="Arial" w:cs="Arial" w:eastAsia="Arial" w:hAnsi="Arial"/>
          <w:color w:val="1A1A1A"/>
          <w:sz w:val="22"/>
          <w:szCs w:val="22"/>
        </w:rPr>
        <w:t xml:space="preserve">Procurement process — longer sales cycle but larger and stickier contracts</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7.4  Sales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Lead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Founder-led LinkedIn + CLE/conference outreach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Qualification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20-min discovery call: how many matters per year, current tools, biggest pain points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Demo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Live demo of a mock estate matter — show the workflow from Day 1 intake to final distribution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Trial</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14-day free trial with a real matter — let the product sell itself</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Close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to start, push annual on renewal with discount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Expand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Add users, upgrade tier, refer colleagues</w:t>
            </w:r>
          </w:p>
        </w:tc>
      </w:tr>
    </w:tbl>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8.  Competitive Landscape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400"/>
        <w:gridCol w:w="2960"/>
      </w:tblGrid>
      <w:tr>
        <w:tc>
          <w:tcPr>
            <w:tcW w:type="dxa" w:w="21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Competitor</w:t>
            </w:r>
          </w:p>
        </w:tc>
        <w:tc>
          <w:tcPr>
            <w:tcW w:type="dxa" w:w="19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24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Strength</w:t>
            </w:r>
          </w:p>
        </w:tc>
        <w:tc>
          <w:tcPr>
            <w:tcW w:type="dxa" w:w="296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Weakness vs. Estate Executor OS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EstateExec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Consumer checklist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Brand awareness, affordable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Consumer-only, no B2B, no multi-party coordination, one-time fee model</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Estateably</w:t>
            </w:r>
          </w:p>
        </w:tc>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Fiduciary accounting B2B</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Accounting depth, Canada presence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Accounting-first, not workflow-first; per-file pricing limits ACV; no AI extraction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Trustate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B2B planning +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lifecycle coverage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Tiny team, limited funding, feature gaps, no dominant market position</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Atticus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Consumer + advisor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Clean UX, some advisor features</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Primarily consumer-facing, shallow professional workflow depth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Clio / PracticePanther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General legal 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Large installed base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Not estate-specific — no trust maps, no compliance calendar, no multi-party coordination</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Legacy Logix</w:t>
            </w:r>
          </w:p>
        </w:tc>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Consumer checklist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Simple to use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Minimal features, no B2B, no AI, no professional workflow</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6B" w:sz="8"/>
              <w:left w:val="single" w:color="1B2A4A" w:sz="16"/>
              <w:bottom w:val="none" w:color="FFFFFF" w:sz="0"/>
              <w:right w:val="none" w:color="FFFFFF" w:sz="0"/>
            </w:tcBorders>
            <w:shd w:fill="E8F4F4"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Competitive Moat</w:t>
            </w:r>
          </w:p>
          <w:p>
            <w:pPr>
              <w:spacing w:after="0" w:before="0"/>
            </w:pPr>
            <w:r>
              <w:rPr>
                <w:rFonts w:ascii="Arial" w:cs="Arial" w:eastAsia="Arial" w:hAnsi="Arial"/>
                <w:color w:val="1A1A1A"/>
                <w:sz w:val="20"/>
                <w:szCs w:val="20"/>
              </w:rPr>
              <w:t xml:space="preserve">The defensible position is the workflow layer — not accounting (Estateably owns that) and not document storage (commoditized). Being the multi-party coordination OS means that once all stakeholders on a matter are inside the platform, switching costs become very high. The goal is to make Estate Executor OS the professional standard that estate attorneys recommend to their peers, just as Clio became standard for litigation attorneys.</w:t>
            </w:r>
          </w:p>
        </w:tc>
      </w:tr>
    </w:tbl>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9.  Technology Architecture</w:t>
      </w:r>
    </w:p>
    <w:p>
      <w:pPr>
        <w:spacing w:after="0" w:before="8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9.1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Next.js (web app) — responsive, fast, SEO-friendly for logged-in 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Mobile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React Native — executor and beneficiary mobile access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Node.js / Express — REST API, webhook-ready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Database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PostgreSQL — relational data model for matters, tasks, assets, users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AWS S3 or GCP Cloud Storage — document storage with signed URLs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AI/ML</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Anthropic Claude API — document classification, extraction, drafting</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Auth0 or Clerk — multi-tenant, role-based access, SSO for enterprise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Email</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Resend or Postmark — transactional emails, deadline reminders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Stripe — subscription billing, tier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Infrastructure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Vercel (web) + Railway or GCP Cloud Run (API) — scalable, minimal ops</w:t>
            </w:r>
          </w:p>
        </w:tc>
      </w:tr>
    </w:tbl>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9.2  Data Model — Core Entities</w:t>
      </w:r>
    </w:p>
    <w:p>
      <w:pPr>
        <w:spacing w:after="80" w:before="80"/>
      </w:pPr>
      <w:r>
        <w:rPr>
          <w:rFonts w:ascii="Arial" w:cs="Arial" w:eastAsia="Arial" w:hAnsi="Arial"/>
          <w:b w:val="false"/>
          <w:bCs w:val="false"/>
          <w:color w:val="1A1A1A"/>
          <w:sz w:val="22"/>
          <w:szCs w:val="22"/>
        </w:rPr>
        <w:t xml:space="preserve">The platform is organized around a hierarchy of core entities:</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Firm — the top-level account (law firm, RIA, trust company)</w:t>
      </w:r>
    </w:p>
    <w:p>
      <w:pPr>
        <w:pStyle w:val="ListParagraph"/>
        <w:numPr>
          <w:ilvl w:val="0"/>
          <w:numId w:val="2"/>
        </w:numPr>
        <w:spacing w:after="40" w:before="40"/>
      </w:pPr>
      <w:r>
        <w:rPr>
          <w:rFonts w:ascii="Arial" w:cs="Arial" w:eastAsia="Arial" w:hAnsi="Arial"/>
          <w:color w:val="1A1A1A"/>
          <w:sz w:val="22"/>
          <w:szCs w:val="22"/>
        </w:rPr>
        <w:t xml:space="preserve">Matter — a single estate administration case; belongs to a Firm</w:t>
      </w:r>
    </w:p>
    <w:p>
      <w:pPr>
        <w:pStyle w:val="ListParagraph"/>
        <w:numPr>
          <w:ilvl w:val="0"/>
          <w:numId w:val="2"/>
        </w:numPr>
        <w:spacing w:after="40" w:before="40"/>
      </w:pPr>
      <w:r>
        <w:rPr>
          <w:rFonts w:ascii="Arial" w:cs="Arial" w:eastAsia="Arial" w:hAnsi="Arial"/>
          <w:color w:val="1A1A1A"/>
          <w:sz w:val="22"/>
          <w:szCs w:val="22"/>
        </w:rPr>
        <w:t xml:space="preserve">Stakeholder — a person on a matter with a defined role and permission level</w:t>
      </w:r>
    </w:p>
    <w:p>
      <w:pPr>
        <w:pStyle w:val="ListParagraph"/>
        <w:numPr>
          <w:ilvl w:val="0"/>
          <w:numId w:val="2"/>
        </w:numPr>
        <w:spacing w:after="40" w:before="40"/>
      </w:pPr>
      <w:r>
        <w:rPr>
          <w:rFonts w:ascii="Arial" w:cs="Arial" w:eastAsia="Arial" w:hAnsi="Arial"/>
          <w:color w:val="1A1A1A"/>
          <w:sz w:val="22"/>
          <w:szCs w:val="22"/>
        </w:rPr>
        <w:t xml:space="preserve">Task — an action item within a Matter; assigned to a Stakeholder, with due date and status</w:t>
      </w:r>
    </w:p>
    <w:p>
      <w:pPr>
        <w:pStyle w:val="ListParagraph"/>
        <w:numPr>
          <w:ilvl w:val="0"/>
          <w:numId w:val="2"/>
        </w:numPr>
        <w:spacing w:after="40" w:before="40"/>
      </w:pPr>
      <w:r>
        <w:rPr>
          <w:rFonts w:ascii="Arial" w:cs="Arial" w:eastAsia="Arial" w:hAnsi="Arial"/>
          <w:color w:val="1A1A1A"/>
          <w:sz w:val="22"/>
          <w:szCs w:val="22"/>
        </w:rPr>
        <w:t xml:space="preserve">Asset — a property, account, or interest in the estate; linked to Tasks and Documents</w:t>
      </w:r>
    </w:p>
    <w:p>
      <w:pPr>
        <w:pStyle w:val="ListParagraph"/>
        <w:numPr>
          <w:ilvl w:val="0"/>
          <w:numId w:val="2"/>
        </w:numPr>
        <w:spacing w:after="40" w:before="40"/>
      </w:pPr>
      <w:r>
        <w:rPr>
          <w:rFonts w:ascii="Arial" w:cs="Arial" w:eastAsia="Arial" w:hAnsi="Arial"/>
          <w:color w:val="1A1A1A"/>
          <w:sz w:val="22"/>
          <w:szCs w:val="22"/>
        </w:rPr>
        <w:t xml:space="preserve">Entity — a trust, LLC, or other legal structure that owns Assets</w:t>
      </w:r>
    </w:p>
    <w:p>
      <w:pPr>
        <w:pStyle w:val="ListParagraph"/>
        <w:numPr>
          <w:ilvl w:val="0"/>
          <w:numId w:val="2"/>
        </w:numPr>
        <w:spacing w:after="40" w:before="40"/>
      </w:pPr>
      <w:r>
        <w:rPr>
          <w:rFonts w:ascii="Arial" w:cs="Arial" w:eastAsia="Arial" w:hAnsi="Arial"/>
          <w:color w:val="1A1A1A"/>
          <w:sz w:val="22"/>
          <w:szCs w:val="22"/>
        </w:rPr>
        <w:t xml:space="preserve">Document — a file attached to a Task, Asset, or Matter; versioned and classified</w:t>
      </w:r>
    </w:p>
    <w:p>
      <w:pPr>
        <w:pStyle w:val="ListParagraph"/>
        <w:numPr>
          <w:ilvl w:val="0"/>
          <w:numId w:val="2"/>
        </w:numPr>
        <w:spacing w:after="40" w:before="40"/>
      </w:pPr>
      <w:r>
        <w:rPr>
          <w:rFonts w:ascii="Arial" w:cs="Arial" w:eastAsia="Arial" w:hAnsi="Arial"/>
          <w:color w:val="1A1A1A"/>
          <w:sz w:val="22"/>
          <w:szCs w:val="22"/>
        </w:rPr>
        <w:t xml:space="preserve">Event — an immutable log entry recording every state change across all entities</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9.3  Security &amp; Compliance</w:t>
      </w:r>
    </w:p>
    <w:p>
      <w:pPr>
        <w:pStyle w:val="ListParagraph"/>
        <w:numPr>
          <w:ilvl w:val="0"/>
          <w:numId w:val="2"/>
        </w:numPr>
        <w:spacing w:after="40" w:before="40"/>
      </w:pPr>
      <w:r>
        <w:rPr>
          <w:rFonts w:ascii="Arial" w:cs="Arial" w:eastAsia="Arial" w:hAnsi="Arial"/>
          <w:color w:val="1A1A1A"/>
          <w:sz w:val="22"/>
          <w:szCs w:val="22"/>
        </w:rPr>
        <w:t xml:space="preserve">SOC 2 Type II compliance — target within 18 months of launch</w:t>
      </w:r>
    </w:p>
    <w:p>
      <w:pPr>
        <w:pStyle w:val="ListParagraph"/>
        <w:numPr>
          <w:ilvl w:val="0"/>
          <w:numId w:val="2"/>
        </w:numPr>
        <w:spacing w:after="40" w:before="40"/>
      </w:pPr>
      <w:r>
        <w:rPr>
          <w:rFonts w:ascii="Arial" w:cs="Arial" w:eastAsia="Arial" w:hAnsi="Arial"/>
          <w:color w:val="1A1A1A"/>
          <w:sz w:val="22"/>
          <w:szCs w:val="22"/>
        </w:rPr>
        <w:t xml:space="preserve">Data encryption at rest (AES-256) and in transit (TLS 1.3)</w:t>
      </w:r>
    </w:p>
    <w:p>
      <w:pPr>
        <w:pStyle w:val="ListParagraph"/>
        <w:numPr>
          <w:ilvl w:val="0"/>
          <w:numId w:val="2"/>
        </w:numPr>
        <w:spacing w:after="40" w:before="40"/>
      </w:pPr>
      <w:r>
        <w:rPr>
          <w:rFonts w:ascii="Arial" w:cs="Arial" w:eastAsia="Arial" w:hAnsi="Arial"/>
          <w:color w:val="1A1A1A"/>
          <w:sz w:val="22"/>
          <w:szCs w:val="22"/>
        </w:rPr>
        <w:t xml:space="preserve">Role-based access control enforced at the API layer — no client-side permission trust</w:t>
      </w:r>
    </w:p>
    <w:p>
      <w:pPr>
        <w:pStyle w:val="ListParagraph"/>
        <w:numPr>
          <w:ilvl w:val="0"/>
          <w:numId w:val="2"/>
        </w:numPr>
        <w:spacing w:after="40" w:before="40"/>
      </w:pPr>
      <w:r>
        <w:rPr>
          <w:rFonts w:ascii="Arial" w:cs="Arial" w:eastAsia="Arial" w:hAnsi="Arial"/>
          <w:color w:val="1A1A1A"/>
          <w:sz w:val="22"/>
          <w:szCs w:val="22"/>
        </w:rPr>
        <w:t xml:space="preserve">Complete audit log of every data access and mutation — required for fiduciary defensibility</w:t>
      </w:r>
    </w:p>
    <w:p>
      <w:pPr>
        <w:pStyle w:val="ListParagraph"/>
        <w:numPr>
          <w:ilvl w:val="0"/>
          <w:numId w:val="2"/>
        </w:numPr>
        <w:spacing w:after="40" w:before="40"/>
      </w:pPr>
      <w:r>
        <w:rPr>
          <w:rFonts w:ascii="Arial" w:cs="Arial" w:eastAsia="Arial" w:hAnsi="Arial"/>
          <w:color w:val="1A1A1A"/>
          <w:sz w:val="22"/>
          <w:szCs w:val="22"/>
        </w:rPr>
        <w:t xml:space="preserve">Multi-tenant data isolation — no cross-firm data leakage</w:t>
      </w:r>
    </w:p>
    <w:p>
      <w:pPr>
        <w:pStyle w:val="ListParagraph"/>
        <w:numPr>
          <w:ilvl w:val="0"/>
          <w:numId w:val="2"/>
        </w:numPr>
        <w:spacing w:after="40" w:before="40"/>
      </w:pPr>
      <w:r>
        <w:rPr>
          <w:rFonts w:ascii="Arial" w:cs="Arial" w:eastAsia="Arial" w:hAnsi="Arial"/>
          <w:color w:val="1A1A1A"/>
          <w:sz w:val="22"/>
          <w:szCs w:val="22"/>
        </w:rPr>
        <w:t xml:space="preserve">GDPR and CCPA compliance — data deletion workflows for beneficiary data</w:t>
      </w:r>
    </w:p>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10.  Product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900"/>
        <w:gridCol w:w="3860"/>
      </w:tblGrid>
      <w:tr>
        <w:tc>
          <w:tcPr>
            <w:tcW w:type="dxa" w:w="20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16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Timeframe</w:t>
            </w:r>
          </w:p>
        </w:tc>
        <w:tc>
          <w:tcPr>
            <w:tcW w:type="dxa" w:w="19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Focus</w:t>
            </w:r>
          </w:p>
        </w:tc>
        <w:tc>
          <w:tcPr>
            <w:tcW w:type="dxa" w:w="386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Deliverables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0 — Foundation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Months 1–2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Core infrastructure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Auth, multi-tenant DB, matter creation, basic task management, document upload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1 — MVP</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Months 3–4</w:t>
            </w:r>
          </w:p>
        </w:tc>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Core workflow</w:t>
            </w:r>
          </w:p>
        </w:tc>
        <w:tc>
          <w:tcPr>
            <w:tcW w:type="dxa" w:w="3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Task engine, compliance calendar, asset registry, stakeholder permissions, email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2 — Intelligence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Months 5–6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 + depth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Document AI classification, clause extraction, letter drafting, entity/trust map visualization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3 — Distribution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Months 7–9</w:t>
            </w:r>
          </w:p>
        </w:tc>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Family + beneficiary layer</w:t>
            </w:r>
          </w:p>
        </w:tc>
        <w:tc>
          <w:tcPr>
            <w:tcW w:type="dxa" w:w="3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Beneficiary portal, milestone notifications, distribution ledger, mobile app (executor)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4 — Platform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Months 10–12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Integrations + enterprise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Clio integration, QuickBooks sync, white-label, SSO, Estateably API, enterprise onboarding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5 — Scale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Year 2+</w:t>
            </w:r>
          </w:p>
        </w:tc>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Network effects</w:t>
            </w:r>
          </w:p>
        </w:tc>
        <w:tc>
          <w:tcPr>
            <w:tcW w:type="dxa" w:w="3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Referral marketplace, API ecosystem, expanded jurisdictions (Canada, UK), institutional trust features</w:t>
            </w:r>
          </w:p>
        </w:tc>
      </w:tr>
    </w:tbl>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11.  Financial Projections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Year</w:t>
            </w:r>
          </w:p>
        </w:tc>
        <w:tc>
          <w:tcPr>
            <w:tcW w:type="dxa" w:w="25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Paying Customers</w:t>
            </w:r>
          </w:p>
        </w:tc>
        <w:tc>
          <w:tcPr>
            <w:tcW w:type="dxa" w:w="25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ARR</w:t>
            </w:r>
          </w:p>
        </w:tc>
        <w:tc>
          <w:tcPr>
            <w:tcW w:type="dxa" w:w="286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Milestone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Year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50–80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$180K – $300K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PMF with estate attorneys; first enterprise pilot</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Year 2</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200–350</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$800K – $1.4M</w:t>
            </w:r>
          </w:p>
        </w:tc>
        <w:tc>
          <w:tcPr>
            <w:tcW w:type="dxa" w:w="2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RIA/trust company traction; team of 3–5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Year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600–1,000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$2.5M – $5M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Category leadership; enterprise segment growing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6B" w:sz="8"/>
              <w:left w:val="single" w:color="1B2A4A" w:sz="16"/>
              <w:bottom w:val="none" w:color="FFFFFF" w:sz="0"/>
              <w:right w:val="none" w:color="FFFFFF" w:sz="0"/>
            </w:tcBorders>
            <w:shd w:fill="E8F4F4"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Capital Efficiency Note</w:t>
            </w:r>
          </w:p>
          <w:p>
            <w:pPr>
              <w:spacing w:after="0" w:before="0"/>
            </w:pPr>
            <w:r>
              <w:rPr>
                <w:rFonts w:ascii="Arial" w:cs="Arial" w:eastAsia="Arial" w:hAnsi="Arial"/>
                <w:color w:val="1A1A1A"/>
                <w:sz w:val="20"/>
                <w:szCs w:val="20"/>
              </w:rPr>
              <w:t xml:space="preserve">As a solo founder with deep technical ability, the product can reach $300K ARR with minimal external capital — relying on founder-led sales, content marketing, and a lean tech stack. Raising a seed round ($1.5–2.5M) at that ARR milestone is the preferred path, rather than raising early and diluting before proof points exist.</w:t>
            </w:r>
          </w:p>
        </w:tc>
      </w:tr>
    </w:tbl>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12.  Founder &amp; Team</w:t>
      </w:r>
    </w:p>
    <w:p>
      <w:pPr>
        <w:spacing w:after="0" w:before="8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12.1  Founder Profile</w:t>
      </w:r>
    </w:p>
    <w:p>
      <w:pPr>
        <w:spacing w:after="80" w:before="80"/>
      </w:pPr>
      <w:r>
        <w:rPr>
          <w:rFonts w:ascii="Arial" w:cs="Arial" w:eastAsia="Arial" w:hAnsi="Arial"/>
          <w:b w:val="false"/>
          <w:bCs w:val="false"/>
          <w:color w:val="1A1A1A"/>
          <w:sz w:val="22"/>
          <w:szCs w:val="22"/>
        </w:rPr>
        <w:t xml:space="preserve">The founder brings a rare combination of deep engineering experience and product conviction for this category:</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8+ years of software engineering at Meta, Apple, LinkedIn, and TuSimple — staff-level execution ability</w:t>
      </w:r>
    </w:p>
    <w:p>
      <w:pPr>
        <w:pStyle w:val="ListParagraph"/>
        <w:numPr>
          <w:ilvl w:val="0"/>
          <w:numId w:val="2"/>
        </w:numPr>
        <w:spacing w:after="40" w:before="40"/>
      </w:pPr>
      <w:r>
        <w:rPr>
          <w:rFonts w:ascii="Arial" w:cs="Arial" w:eastAsia="Arial" w:hAnsi="Arial"/>
          <w:color w:val="1A1A1A"/>
          <w:sz w:val="22"/>
          <w:szCs w:val="22"/>
        </w:rPr>
        <w:t xml:space="preserve">Solo builder of Pantopus — a full-stack platform spanning 14+ product domains — demonstrating ability to ship complex product independently</w:t>
      </w:r>
    </w:p>
    <w:p>
      <w:pPr>
        <w:pStyle w:val="ListParagraph"/>
        <w:numPr>
          <w:ilvl w:val="0"/>
          <w:numId w:val="2"/>
        </w:numPr>
        <w:spacing w:after="40" w:before="40"/>
      </w:pPr>
      <w:r>
        <w:rPr>
          <w:rFonts w:ascii="Arial" w:cs="Arial" w:eastAsia="Arial" w:hAnsi="Arial"/>
          <w:color w:val="1A1A1A"/>
          <w:sz w:val="22"/>
          <w:szCs w:val="22"/>
        </w:rPr>
        <w:t xml:space="preserve">First-hand familiarity with the coordination chaos in high-stakes, multi-party processes</w:t>
      </w:r>
    </w:p>
    <w:p>
      <w:pPr>
        <w:pStyle w:val="ListParagraph"/>
        <w:numPr>
          <w:ilvl w:val="0"/>
          <w:numId w:val="2"/>
        </w:numPr>
        <w:spacing w:after="40" w:before="40"/>
      </w:pPr>
      <w:r>
        <w:rPr>
          <w:rFonts w:ascii="Arial" w:cs="Arial" w:eastAsia="Arial" w:hAnsi="Arial"/>
          <w:color w:val="1A1A1A"/>
          <w:sz w:val="22"/>
          <w:szCs w:val="22"/>
        </w:rPr>
        <w:t xml:space="preserve">Deep interest in building systems that turn complex, high-stakes coordination into manageable workflows</w:t>
      </w:r>
    </w:p>
    <w:p>
      <w:pPr>
        <w:spacing w:after="0" w:before="160"/>
      </w:pPr>
      <w:r>
        <w:t xml:space="preserve"/>
      </w:r>
    </w:p>
    <w:p>
      <w:pPr>
        <w:pStyle w:val="Heading2"/>
        <w:pBdr>
          <w:bottom w:val="single" w:color="1A6B6B" w:sz="2"/>
        </w:pBdr>
        <w:spacing w:after="120" w:before="300"/>
      </w:pPr>
      <w:r>
        <w:rPr>
          <w:rFonts w:ascii="Arial" w:cs="Arial" w:eastAsia="Arial" w:hAnsi="Arial"/>
          <w:b/>
          <w:bCs/>
          <w:color w:val="1B2A4A"/>
          <w:sz w:val="28"/>
          <w:szCs w:val="28"/>
        </w:rPr>
        <w:t xml:space="preserve">12.2  Hiring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Month 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Founder only — build, sell, and support first 20 customers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Month 7–12</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Hire 1 customer success / sales hire (estate attorney background preferred)</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Year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Add 1 senior engineer, 1 growth/marketing hire after seed 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Year 3+</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Scale team proportionally to ARR milestone; add enterprise sales</w:t>
            </w:r>
          </w:p>
        </w:tc>
      </w:tr>
    </w:tbl>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13.  Risks &amp; Mitigations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Risk</w:t>
            </w:r>
          </w:p>
        </w:tc>
        <w:tc>
          <w:tcPr>
            <w:tcW w:type="dxa" w:w="140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Severity</w:t>
            </w:r>
          </w:p>
        </w:tc>
        <w:tc>
          <w:tcPr>
            <w:tcW w:type="dxa" w:w="4760"/>
            <w:tcBorders>
              <w:top w:val="single" w:color="1A6B6B" w:sz="1"/>
              <w:left w:val="single" w:color="1A6B6B" w:sz="1"/>
              <w:bottom w:val="single" w:color="1A6B6B" w:sz="1"/>
              <w:right w:val="single" w:color="1A6B6B"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Slow adoption by attorneys (conservative buyers)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CLE sponsorship, bar association partnerships, low-friction 14-day trial, peer referral program</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Estateably expands aggressively into US workflow market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Move faster; win attorney channel first — Estateably is accounting-first; different wedge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Complex legal/compliance requirements by 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Launch in 5 core states (CA, TX, NY, FL, IL); expand jurisdiction coverage progressively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Enterprise sales cycles too long for solo founder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Stay in SMB/mid-market through Year 1; do not pursue enterprise until team is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security breach in sensitive estate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Prioritize SOC 2, encryption, and pen testing before enterprise; carry cyber liability insurance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AI extraction errors leading to professional mistakes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w:t>
            </w:r>
          </w:p>
        </w:tc>
        <w:tc>
          <w:tcPr>
            <w:tcW w:type="dxa" w:w="4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AI output flagged as 'suggested' not 'confirmed'; attorney must verify; clear disclaimer in ToS</w:t>
            </w:r>
          </w:p>
        </w:tc>
      </w:tr>
    </w:tbl>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14.  Long-Term Vision</w:t>
      </w:r>
    </w:p>
    <w:p>
      <w:pPr>
        <w:spacing w:after="0" w:before="80"/>
      </w:pPr>
      <w:r>
        <w:t xml:space="preserve"/>
      </w:r>
    </w:p>
    <w:p>
      <w:pPr>
        <w:spacing w:after="80" w:before="80"/>
      </w:pPr>
      <w:r>
        <w:rPr>
          <w:rFonts w:ascii="Arial" w:cs="Arial" w:eastAsia="Arial" w:hAnsi="Arial"/>
          <w:b w:val="false"/>
          <w:bCs w:val="false"/>
          <w:color w:val="1A1A1A"/>
          <w:sz w:val="22"/>
          <w:szCs w:val="22"/>
        </w:rPr>
        <w:t xml:space="preserve">Estate Executor OS starts as the workflow system for the administration period. The long-term vision is larger:</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Become the professional standard for estate administration the way Clio became standard for legal practice management — the platform every attorney opens the day a client comes in</w:t>
      </w:r>
    </w:p>
    <w:p>
      <w:pPr>
        <w:pStyle w:val="ListParagraph"/>
        <w:numPr>
          <w:ilvl w:val="0"/>
          <w:numId w:val="2"/>
        </w:numPr>
        <w:spacing w:after="40" w:before="40"/>
      </w:pPr>
      <w:r>
        <w:rPr>
          <w:rFonts w:ascii="Arial" w:cs="Arial" w:eastAsia="Arial" w:hAnsi="Arial"/>
          <w:color w:val="1A1A1A"/>
          <w:sz w:val="22"/>
          <w:szCs w:val="22"/>
        </w:rPr>
        <w:t xml:space="preserve">Expand the lifecycle: connect to upstream estate planning tools (will/trust drafting) and downstream financial planning tools — owning the full wealth transfer journey</w:t>
      </w:r>
    </w:p>
    <w:p>
      <w:pPr>
        <w:pStyle w:val="ListParagraph"/>
        <w:numPr>
          <w:ilvl w:val="0"/>
          <w:numId w:val="2"/>
        </w:numPr>
        <w:spacing w:after="40" w:before="40"/>
      </w:pPr>
      <w:r>
        <w:rPr>
          <w:rFonts w:ascii="Arial" w:cs="Arial" w:eastAsia="Arial" w:hAnsi="Arial"/>
          <w:color w:val="1A1A1A"/>
          <w:sz w:val="22"/>
          <w:szCs w:val="22"/>
        </w:rPr>
        <w:t xml:space="preserve">Build the referral network: once thousands of estates are flowing through the platform, connect executors with vetted appraisers, real estate agents, CPA specialists, and financial advisors — a high-margin marketplace layer on top of the workflow engine</w:t>
      </w:r>
    </w:p>
    <w:p>
      <w:pPr>
        <w:pStyle w:val="ListParagraph"/>
        <w:numPr>
          <w:ilvl w:val="0"/>
          <w:numId w:val="2"/>
        </w:numPr>
        <w:spacing w:after="40" w:before="40"/>
      </w:pPr>
      <w:r>
        <w:rPr>
          <w:rFonts w:ascii="Arial" w:cs="Arial" w:eastAsia="Arial" w:hAnsi="Arial"/>
          <w:color w:val="1A1A1A"/>
          <w:sz w:val="22"/>
          <w:szCs w:val="22"/>
        </w:rPr>
        <w:t xml:space="preserve">Expand jurisdictions: Canada (similar legal framework, large wealth transfer market), UK (strong trust infrastructure), Australia</w:t>
      </w:r>
    </w:p>
    <w:p>
      <w:pPr>
        <w:pStyle w:val="ListParagraph"/>
        <w:numPr>
          <w:ilvl w:val="0"/>
          <w:numId w:val="2"/>
        </w:numPr>
        <w:spacing w:after="40" w:before="40"/>
      </w:pPr>
      <w:r>
        <w:rPr>
          <w:rFonts w:ascii="Arial" w:cs="Arial" w:eastAsia="Arial" w:hAnsi="Arial"/>
          <w:color w:val="1A1A1A"/>
          <w:sz w:val="22"/>
          <w:szCs w:val="22"/>
        </w:rPr>
        <w:t xml:space="preserve">Institutional play: as trust companies see increasing competition, offer Estate Executor OS as the technology backbone that allows boutique trust companies to compete with large bank trust departments without building their own systems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6B" w:sz="8"/>
              <w:left w:val="single" w:color="1B2A4A" w:sz="16"/>
              <w:bottom w:val="none" w:color="FFFFFF" w:sz="0"/>
              <w:right w:val="none" w:color="FFFFFF" w:sz="0"/>
            </w:tcBorders>
            <w:shd w:fill="E8F4F4"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The 10-Year Vision</w:t>
            </w:r>
          </w:p>
          <w:p>
            <w:pPr>
              <w:spacing w:after="0" w:before="0"/>
            </w:pPr>
            <w:r>
              <w:rPr>
                <w:rFonts w:ascii="Arial" w:cs="Arial" w:eastAsia="Arial" w:hAnsi="Arial"/>
                <w:color w:val="1A1A1A"/>
                <w:sz w:val="20"/>
                <w:szCs w:val="20"/>
              </w:rPr>
              <w:t xml:space="preserve">Every dollar of the $84 trillion US wealth transfer over the next 20 years passes through a professional advisor. Estate Executor OS becomes the platform those advisors use to manage that transfer — not just as a workflow tool, but as the data layer that makes the entire process visible, auditable, and defensible. That is a multi-hundred-million dollar business.</w:t>
            </w:r>
          </w:p>
        </w:tc>
      </w:tr>
    </w:tbl>
    <w:p>
      <w:pPr>
        <w:spacing w:after="0" w:before="160"/>
      </w:pPr>
      <w:r>
        <w:t xml:space="preserve"/>
      </w:r>
    </w:p>
    <w:p>
      <w:pPr>
        <w:pStyle w:val="Heading1"/>
        <w:pBdr>
          <w:bottom w:val="single" w:color="1A6B6B" w:sz="4"/>
        </w:pBdr>
        <w:shd w:fill="1B2A4A" w:val="clear"/>
        <w:spacing w:after="200" w:before="400"/>
        <w:ind w:left="200" w:right="200"/>
      </w:pPr>
      <w:r>
        <w:rPr>
          <w:rFonts w:ascii="Arial" w:cs="Arial" w:eastAsia="Arial" w:hAnsi="Arial"/>
          <w:b/>
          <w:bCs/>
          <w:color w:val="FFFFFF"/>
          <w:sz w:val="36"/>
          <w:szCs w:val="36"/>
        </w:rPr>
        <w:t xml:space="preserve">Appendix: Glossary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Executor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Person legally appointed to administer a deceased person's estate through probate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Trustee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Person or institution managing assets held in a trust, per trust terms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Probate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Court-supervised process for validating a will and authorizing asset distribution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Fiduciary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Person legally obligated to act in the best interest of another (executor, trustee)</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Letters Testamentary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Court document authorizing executor to act on behalf of the estate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Pour-over Will</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Will directing that assets outside a trust 'pour over' into the trust at death</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Funding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Process of re-titling assets into a trust's name (often incomplete at death)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Form 706</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Federal estate tax return — due 9 months after date of death</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K-1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Tax form distributed to beneficiaries reporting their share of estate income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RIA</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Registered Investment Advisor — fiduciary financial advisor, often manages trust assets</w:t>
            </w:r>
          </w:p>
        </w:tc>
      </w:tr>
      <w:tr>
        <w:tc>
          <w:tcPr>
            <w:tcW w:type="dxa" w:w="2800"/>
            <w:tcBorders>
              <w:top w:val="single" w:color="CCCCCC" w:sz="1"/>
              <w:left w:val="single" w:color="CCCCCC" w:sz="1"/>
              <w:bottom w:val="single" w:color="CCCCCC" w:sz="1"/>
              <w:right w:val="single" w:color="CCCCCC" w:sz="1"/>
            </w:tcBorders>
            <w:shd w:fill="E8F4F4" w:val="clear"/>
            <w:tcMar>
              <w:top w:type="dxa" w:w="80"/>
              <w:left w:type="dxa" w:w="140"/>
              <w:bottom w:type="dxa" w:w="80"/>
              <w:right w:type="dxa" w:w="140"/>
            </w:tcMar>
          </w:tcPr>
          <w:p>
            <w:r>
              <w:rPr>
                <w:rFonts w:ascii="Arial" w:cs="Arial" w:eastAsia="Arial" w:hAnsi="Arial"/>
                <w:b/>
                <w:bCs/>
                <w:color w:val="1A1A1A"/>
                <w:sz w:val="20"/>
                <w:szCs w:val="20"/>
              </w:rPr>
              <w:t xml:space="preserve">ACV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Annual Contract Value — the annual revenue from a single customer contract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ARR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1A1A1A"/>
                <w:sz w:val="20"/>
                <w:szCs w:val="20"/>
              </w:rPr>
              <w:t xml:space="preserve">Annual Recurring Revenue — total annualized subscription revenue</w:t>
            </w:r>
          </w:p>
        </w:tc>
      </w:tr>
    </w:tbl>
    <w:p>
      <w:pPr>
        <w:spacing w:after="0" w:before="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6B" w:sz="2"/>
      </w:pBdr>
      <w:spacing w:before="100"/>
    </w:pPr>
    <w:r>
      <w:rPr>
        <w:rFonts w:ascii="Arial" w:cs="Arial" w:eastAsia="Arial" w:hAnsi="Arial"/>
        <w:color w:val="444444"/>
        <w:sz w:val="18"/>
        <w:szCs w:val="18"/>
      </w:rPr>
      <w:t xml:space="preserve">© 2026 Estate Executor OS  •  Confidential  •  Page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6B" w:sz="2"/>
      </w:pBdr>
      <w:spacing w:after="0"/>
    </w:pPr>
    <w:r>
      <w:rPr>
        <w:rFonts w:ascii="Arial" w:cs="Arial" w:eastAsia="Arial" w:hAnsi="Arial"/>
        <w:color w:val="444444"/>
        <w:sz w:val="18"/>
        <w:szCs w:val="18"/>
      </w:rPr>
      <w:t xml:space="preserve">ESTATE EXECUTOR OS  —  Product &amp; Business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A6B6B"/>
      </w:r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2026-03-21T22:48:06.738Z</dcterms:created>
  <dcterms:modified xsi:type="dcterms:W3CDTF">2026-03-21T22:48:06.739Z</dcterms:modified>
</cp:coreProperties>
</file>

<file path=docProps/custom.xml><?xml version="1.0" encoding="utf-8"?>
<Properties xmlns="http://schemas.openxmlformats.org/officeDocument/2006/custom-properties" xmlns:vt="http://schemas.openxmlformats.org/officeDocument/2006/docPropsVTypes"/>
</file>