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3A15B" w14:textId="77777777" w:rsidR="008115FE" w:rsidRDefault="008115FE"/>
    <w:p w14:paraId="6A51D601" w14:textId="77777777" w:rsidR="008115FE" w:rsidRDefault="0039513C">
      <w:pPr>
        <w:tabs>
          <w:tab w:val="left" w:pos="6870"/>
        </w:tabs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南京邮电大学工程硕士研究生学位论文开题报告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92"/>
        <w:gridCol w:w="74"/>
        <w:gridCol w:w="1245"/>
        <w:gridCol w:w="473"/>
        <w:gridCol w:w="1072"/>
        <w:gridCol w:w="707"/>
        <w:gridCol w:w="13"/>
        <w:gridCol w:w="1793"/>
      </w:tblGrid>
      <w:tr w:rsidR="008115FE" w14:paraId="38BF694F" w14:textId="77777777">
        <w:trPr>
          <w:trHeight w:val="56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DC2C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6ED4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王逸禅</w:t>
            </w:r>
            <w:proofErr w:type="gram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BBF9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班级学号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9E3CC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316120108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E69F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2F9C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3222051309</w:t>
            </w:r>
          </w:p>
        </w:tc>
      </w:tr>
      <w:tr w:rsidR="008115FE" w14:paraId="0EC490A0" w14:textId="77777777">
        <w:trPr>
          <w:trHeight w:val="56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DC49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952A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5263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698B" w14:textId="77777777" w:rsidR="008115FE" w:rsidRDefault="008115FE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E192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导师</w:t>
            </w: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8358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季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木</w:t>
            </w:r>
          </w:p>
        </w:tc>
      </w:tr>
      <w:tr w:rsidR="008115FE" w14:paraId="34E664DA" w14:textId="77777777">
        <w:trPr>
          <w:trHeight w:val="56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12CF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已获得的课程学分</w:t>
            </w: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4A05" w14:textId="77777777" w:rsidR="008115FE" w:rsidRDefault="008115FE">
            <w:pPr>
              <w:tabs>
                <w:tab w:val="left" w:pos="6870"/>
              </w:tabs>
              <w:jc w:val="center"/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F6BD9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是否达到培养计划要求</w:t>
            </w:r>
          </w:p>
        </w:tc>
        <w:tc>
          <w:tcPr>
            <w:tcW w:w="2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928FE" w14:textId="45757E40" w:rsidR="008115FE" w:rsidRDefault="00946085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8115FE" w14:paraId="09F7AA48" w14:textId="77777777">
        <w:trPr>
          <w:trHeight w:val="56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CB1A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初定论文题目</w:t>
            </w:r>
          </w:p>
        </w:tc>
        <w:tc>
          <w:tcPr>
            <w:tcW w:w="71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757FE" w14:textId="61C64CF2" w:rsidR="008115FE" w:rsidRDefault="00A95A16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基于微服务架构的</w:t>
            </w:r>
            <w:r w:rsidR="0039513C">
              <w:rPr>
                <w:rFonts w:hint="eastAsia"/>
                <w:sz w:val="24"/>
              </w:rPr>
              <w:t>交通一卡通</w:t>
            </w:r>
            <w:bookmarkStart w:id="0" w:name="_GoBack"/>
            <w:bookmarkEnd w:id="0"/>
            <w:r w:rsidR="0039513C">
              <w:rPr>
                <w:rFonts w:hint="eastAsia"/>
                <w:sz w:val="24"/>
              </w:rPr>
              <w:t>服务平台的设计与实现</w:t>
            </w:r>
          </w:p>
        </w:tc>
      </w:tr>
      <w:tr w:rsidR="008115FE" w14:paraId="4D0A4BC7" w14:textId="77777777">
        <w:trPr>
          <w:trHeight w:val="56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C3B22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论文选题来源</w:t>
            </w:r>
          </w:p>
        </w:tc>
        <w:tc>
          <w:tcPr>
            <w:tcW w:w="71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58348" w14:textId="77777777" w:rsidR="008115FE" w:rsidRDefault="008115FE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8115FE" w14:paraId="56CB60A7" w14:textId="77777777">
        <w:trPr>
          <w:trHeight w:val="56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FD6B" w14:textId="77777777" w:rsidR="008115FE" w:rsidRDefault="0039513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论文类型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A977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基础研究</w:t>
            </w: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31E4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应用研究</w:t>
            </w: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3D4BD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综合研究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5397D" w14:textId="77777777" w:rsidR="008115FE" w:rsidRDefault="0039513C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</w:tr>
      <w:tr w:rsidR="008115FE" w14:paraId="242EDB25" w14:textId="77777777">
        <w:trPr>
          <w:trHeight w:val="7542"/>
          <w:jc w:val="center"/>
        </w:trPr>
        <w:tc>
          <w:tcPr>
            <w:tcW w:w="85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C467" w14:textId="77777777" w:rsidR="008115FE" w:rsidRDefault="0039513C">
            <w:pPr>
              <w:pStyle w:val="1"/>
              <w:numPr>
                <w:ilvl w:val="0"/>
                <w:numId w:val="1"/>
              </w:numPr>
              <w:tabs>
                <w:tab w:val="left" w:pos="6870"/>
              </w:tabs>
              <w:ind w:firstLineChars="0"/>
            </w:pPr>
            <w:r>
              <w:rPr>
                <w:rFonts w:hint="eastAsia"/>
              </w:rPr>
              <w:t>导师对所选课题的基本要求</w:t>
            </w:r>
          </w:p>
          <w:p w14:paraId="0346862D" w14:textId="77777777" w:rsidR="008115FE" w:rsidRDefault="0039513C">
            <w:pPr>
              <w:tabs>
                <w:tab w:val="left" w:pos="6870"/>
              </w:tabs>
            </w:pPr>
            <w:r>
              <w:rPr>
                <w:rFonts w:hint="eastAsia"/>
              </w:rPr>
              <w:t>创新性工作</w:t>
            </w:r>
          </w:p>
          <w:p w14:paraId="43962F42" w14:textId="77777777" w:rsidR="008115FE" w:rsidRDefault="008115FE">
            <w:pPr>
              <w:tabs>
                <w:tab w:val="left" w:pos="6870"/>
              </w:tabs>
            </w:pPr>
          </w:p>
          <w:p w14:paraId="739FD8AF" w14:textId="77777777" w:rsidR="008115FE" w:rsidRDefault="0039513C">
            <w:pPr>
              <w:pStyle w:val="1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</w:pPr>
            <w:r>
              <w:rPr>
                <w:rFonts w:hint="eastAsia"/>
              </w:rPr>
              <w:t>选题依据（综述报告）</w:t>
            </w:r>
          </w:p>
          <w:p w14:paraId="56489D05" w14:textId="77777777" w:rsidR="008115FE" w:rsidRDefault="0039513C">
            <w:pPr>
              <w:snapToGrid w:val="0"/>
              <w:ind w:firstLineChars="200" w:firstLine="4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年7月交通运输部《城市公共交通IC卡技术规范》正式发布，江苏省依据此标准于2017年8月，全面完成江苏省域范围内公共交通互联互通工作；此工程的完成不仅加快了城市群协同发展步伐，也进一步促进了城市交通信息化、便捷化、互联化的建设，提高了公共交通的运营能力和服务水平。</w:t>
            </w:r>
          </w:p>
          <w:p w14:paraId="3ABCB4F0" w14:textId="77777777" w:rsidR="008115FE" w:rsidRDefault="0039513C">
            <w:pPr>
              <w:snapToGrid w:val="0"/>
              <w:ind w:firstLineChars="200" w:firstLine="4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着网络支付、移动支付和国家信用体系等方面技术的发展，交通支付虚拟化趋势越发紧迫。为了更好的实现便捷、丰富、安全的交通移动支付，2016年10月交通运输部出台了《交通一卡通移动支付技术规范》，2018年2月出台《交通一卡通二维码支付技术规范》。</w:t>
            </w:r>
          </w:p>
          <w:p w14:paraId="74763925" w14:textId="77777777" w:rsidR="008115FE" w:rsidRDefault="0039513C">
            <w:pPr>
              <w:tabs>
                <w:tab w:val="left" w:pos="6870"/>
              </w:tabs>
            </w:pPr>
            <w:r>
              <w:rPr>
                <w:rFonts w:hint="eastAsia"/>
                <w:color w:val="000000"/>
              </w:rPr>
              <w:t>江苏省交通运输厅为了深化推广交通</w:t>
            </w:r>
            <w:proofErr w:type="gramStart"/>
            <w:r>
              <w:rPr>
                <w:rFonts w:hint="eastAsia"/>
                <w:color w:val="000000"/>
              </w:rPr>
              <w:t>一</w:t>
            </w:r>
            <w:proofErr w:type="gramEnd"/>
            <w:r>
              <w:rPr>
                <w:rFonts w:hint="eastAsia"/>
                <w:color w:val="000000"/>
              </w:rPr>
              <w:t>卡通互联互通工作，有序推进移动支付在公共交通领域中的应用，结合江苏省公共交通行业特点和转型升级需要，要求搭建具有江苏特色的交通一卡通移动支付管理与服务平台。</w:t>
            </w:r>
          </w:p>
          <w:p w14:paraId="767B3819" w14:textId="77777777" w:rsidR="008115FE" w:rsidRDefault="008115FE">
            <w:pPr>
              <w:tabs>
                <w:tab w:val="left" w:pos="6870"/>
              </w:tabs>
            </w:pPr>
          </w:p>
          <w:p w14:paraId="70241A6E" w14:textId="77777777" w:rsidR="008115FE" w:rsidRDefault="0039513C">
            <w:pPr>
              <w:pStyle w:val="1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</w:pPr>
            <w:r>
              <w:rPr>
                <w:rFonts w:hint="eastAsia"/>
              </w:rPr>
              <w:t>选题的研究目标，研究内容，所要解决的主要问题及可能的创新点</w:t>
            </w:r>
          </w:p>
          <w:p w14:paraId="3416D7D6" w14:textId="77777777" w:rsidR="008115FE" w:rsidRDefault="0039513C">
            <w:r>
              <w:t>多种接入方式的移动支付的可用性</w:t>
            </w:r>
          </w:p>
          <w:p w14:paraId="6B62F98B" w14:textId="666133CF" w:rsidR="008115FE" w:rsidRDefault="0039513C">
            <w:r>
              <w:t>允许大众可以通过手机NFC功能/USIM卡/</w:t>
            </w:r>
            <w:proofErr w:type="gramStart"/>
            <w:r>
              <w:t>蓝牙卡</w:t>
            </w:r>
            <w:proofErr w:type="gramEnd"/>
            <w:r>
              <w:t xml:space="preserve"> 进行开通公交卡，公交卡充值及公交卡查询的操作；</w:t>
            </w:r>
            <w:r w:rsidR="00644E2E">
              <w:rPr>
                <w:rFonts w:hint="eastAsia"/>
              </w:rPr>
              <w:t>方便大众只通过一部设备,</w:t>
            </w:r>
            <w:r w:rsidR="00644E2E">
              <w:t xml:space="preserve"> </w:t>
            </w:r>
            <w:r w:rsidR="00644E2E">
              <w:rPr>
                <w:rFonts w:hint="eastAsia"/>
              </w:rPr>
              <w:t>就可以完成卡片开通,</w:t>
            </w:r>
            <w:r w:rsidR="00644E2E">
              <w:t xml:space="preserve"> </w:t>
            </w:r>
            <w:r w:rsidR="00644E2E">
              <w:rPr>
                <w:rFonts w:hint="eastAsia"/>
              </w:rPr>
              <w:t>卡片充值和查询的操作,</w:t>
            </w:r>
            <w:r w:rsidR="00644E2E">
              <w:t xml:space="preserve"> </w:t>
            </w:r>
          </w:p>
          <w:p w14:paraId="4F0C2A4E" w14:textId="77777777" w:rsidR="008115FE" w:rsidRDefault="0039513C">
            <w:r>
              <w:t>从使用方，便捷出行，一部手机可以刷任意符合交通</w:t>
            </w:r>
            <w:proofErr w:type="gramStart"/>
            <w:r>
              <w:t>一</w:t>
            </w:r>
            <w:proofErr w:type="gramEnd"/>
            <w:r>
              <w:t>卡通规范的设备；</w:t>
            </w:r>
          </w:p>
          <w:p w14:paraId="20BFBFE4" w14:textId="77777777" w:rsidR="008115FE" w:rsidRDefault="0039513C">
            <w:r>
              <w:t>从数据提供方，能够更精准及时的获取到大众的出行数据，挖掘出行习惯，有利于公交线路合理化调整，并可以对高峰时段人员出行提出有效的出行方案；</w:t>
            </w:r>
          </w:p>
          <w:p w14:paraId="7731413A" w14:textId="77777777" w:rsidR="008115FE" w:rsidRDefault="0039513C">
            <w:proofErr w:type="gramStart"/>
            <w:r>
              <w:t>从运维推广</w:t>
            </w:r>
            <w:proofErr w:type="gramEnd"/>
            <w:r>
              <w:t>角度，可以根据精准的出行信息分析，更有效的对目标用户进行优惠，</w:t>
            </w:r>
          </w:p>
          <w:p w14:paraId="37A03F23" w14:textId="77777777" w:rsidR="008115FE" w:rsidRDefault="008115FE">
            <w:pPr>
              <w:tabs>
                <w:tab w:val="left" w:pos="6870"/>
              </w:tabs>
            </w:pPr>
          </w:p>
          <w:p w14:paraId="19A2FF4E" w14:textId="77777777" w:rsidR="008115FE" w:rsidRDefault="0039513C">
            <w:pPr>
              <w:pStyle w:val="1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</w:pPr>
            <w:r>
              <w:rPr>
                <w:rFonts w:hint="eastAsia"/>
              </w:rPr>
              <w:t>研究方法（预期思路或技术路线）及可行性分析</w:t>
            </w:r>
          </w:p>
          <w:p w14:paraId="1D2901CB" w14:textId="77777777" w:rsidR="008115FE" w:rsidRDefault="0039513C">
            <w:pPr>
              <w:tabs>
                <w:tab w:val="left" w:pos="6870"/>
              </w:tabs>
            </w:pPr>
            <w:r>
              <w:t>对当前已有的运营产品进行分析；</w:t>
            </w:r>
          </w:p>
          <w:p w14:paraId="493693E6" w14:textId="77777777" w:rsidR="008115FE" w:rsidRDefault="0039513C">
            <w:pPr>
              <w:tabs>
                <w:tab w:val="left" w:pos="6870"/>
              </w:tabs>
            </w:pPr>
            <w:r>
              <w:t>对已有交通卡制卡规范进行解读，提取可通用的方案；</w:t>
            </w:r>
          </w:p>
          <w:p w14:paraId="4DD4BF83" w14:textId="77777777" w:rsidR="008115FE" w:rsidRDefault="0039513C">
            <w:pPr>
              <w:tabs>
                <w:tab w:val="left" w:pos="6870"/>
              </w:tabs>
            </w:pPr>
            <w:r>
              <w:lastRenderedPageBreak/>
              <w:t>对可能的接入方及接入方案进行归纳总结；</w:t>
            </w:r>
          </w:p>
          <w:p w14:paraId="75C3E013" w14:textId="77777777" w:rsidR="008115FE" w:rsidRDefault="008115FE">
            <w:pPr>
              <w:tabs>
                <w:tab w:val="left" w:pos="6870"/>
              </w:tabs>
            </w:pPr>
          </w:p>
          <w:p w14:paraId="767830C9" w14:textId="77777777" w:rsidR="008115FE" w:rsidRDefault="0039513C">
            <w:pPr>
              <w:tabs>
                <w:tab w:val="left" w:pos="6870"/>
              </w:tabs>
            </w:pPr>
            <w:r>
              <w:t>可行性</w:t>
            </w:r>
          </w:p>
          <w:p w14:paraId="7BF480D5" w14:textId="77777777" w:rsidR="008115FE" w:rsidRDefault="0039513C">
            <w:pPr>
              <w:tabs>
                <w:tab w:val="left" w:pos="6870"/>
              </w:tabs>
            </w:pPr>
            <w:r>
              <w:t>依据统一的公交通卡IC卡的技术规范，可以</w:t>
            </w:r>
          </w:p>
          <w:p w14:paraId="6DFF6848" w14:textId="77777777" w:rsidR="008115FE" w:rsidRDefault="008115FE">
            <w:pPr>
              <w:tabs>
                <w:tab w:val="left" w:pos="6870"/>
              </w:tabs>
            </w:pPr>
          </w:p>
          <w:p w14:paraId="7A508A90" w14:textId="77777777" w:rsidR="008115FE" w:rsidRDefault="0039513C">
            <w:pPr>
              <w:pStyle w:val="1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</w:pPr>
            <w:r>
              <w:rPr>
                <w:rFonts w:hint="eastAsia"/>
              </w:rPr>
              <w:t>研究基础与条件</w:t>
            </w:r>
          </w:p>
          <w:p w14:paraId="7EE0B29D" w14:textId="77777777" w:rsidR="008115FE" w:rsidRDefault="0039513C">
            <w:r>
              <w:t>基于交通卡的标准文档</w:t>
            </w:r>
          </w:p>
          <w:p w14:paraId="0D313E6E" w14:textId="77777777" w:rsidR="008115FE" w:rsidRDefault="008115FE">
            <w:pPr>
              <w:tabs>
                <w:tab w:val="left" w:pos="6870"/>
              </w:tabs>
            </w:pPr>
          </w:p>
          <w:p w14:paraId="3534AC26" w14:textId="77777777" w:rsidR="008115FE" w:rsidRDefault="0039513C">
            <w:pPr>
              <w:pStyle w:val="1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</w:pPr>
            <w:r>
              <w:rPr>
                <w:rFonts w:hint="eastAsia"/>
              </w:rPr>
              <w:t>研究进度及具体时间安排（包括起始时间、主要研究内容和预期结果）</w:t>
            </w:r>
          </w:p>
          <w:p w14:paraId="40BCEB65" w14:textId="77777777" w:rsidR="008115FE" w:rsidRDefault="008115FE">
            <w:pPr>
              <w:tabs>
                <w:tab w:val="left" w:pos="6870"/>
              </w:tabs>
            </w:pPr>
          </w:p>
          <w:p w14:paraId="2A9F675F" w14:textId="77777777" w:rsidR="008115FE" w:rsidRDefault="008115FE">
            <w:pPr>
              <w:tabs>
                <w:tab w:val="left" w:pos="6870"/>
              </w:tabs>
            </w:pPr>
          </w:p>
          <w:p w14:paraId="404D6DA5" w14:textId="77777777" w:rsidR="008115FE" w:rsidRDefault="008115FE">
            <w:pPr>
              <w:tabs>
                <w:tab w:val="left" w:pos="6870"/>
              </w:tabs>
            </w:pPr>
          </w:p>
          <w:p w14:paraId="75742D60" w14:textId="77777777" w:rsidR="008115FE" w:rsidRDefault="0039513C">
            <w:pPr>
              <w:tabs>
                <w:tab w:val="left" w:pos="6870"/>
              </w:tabs>
            </w:pPr>
            <w:r>
              <w:t xml:space="preserve">2. </w:t>
            </w:r>
            <w:r>
              <w:rPr>
                <w:rFonts w:hint="eastAsia"/>
              </w:rPr>
              <w:t>阅读文献资料进行调研的综述（</w:t>
            </w:r>
            <w:r>
              <w:t>10</w:t>
            </w:r>
            <w:r>
              <w:rPr>
                <w:rFonts w:hint="eastAsia"/>
              </w:rPr>
              <w:t>篇左右）；</w:t>
            </w:r>
          </w:p>
          <w:p w14:paraId="04FDC54C" w14:textId="77777777" w:rsidR="008115FE" w:rsidRDefault="0039513C">
            <w:pPr>
              <w:tabs>
                <w:tab w:val="left" w:pos="6870"/>
              </w:tabs>
            </w:pPr>
            <w:r>
              <w:t xml:space="preserve">3. </w:t>
            </w:r>
            <w:r>
              <w:rPr>
                <w:rFonts w:hint="eastAsia"/>
              </w:rPr>
              <w:t>根据任务书的任务及文献调研结果，初步拟定的执行（实施）方案（</w:t>
            </w:r>
            <w:proofErr w:type="gramStart"/>
            <w:r>
              <w:rPr>
                <w:rFonts w:hint="eastAsia"/>
              </w:rPr>
              <w:t>含具体</w:t>
            </w:r>
            <w:proofErr w:type="gramEnd"/>
            <w:r>
              <w:rPr>
                <w:rFonts w:hint="eastAsia"/>
              </w:rPr>
              <w:t>进度计划）。</w:t>
            </w:r>
          </w:p>
          <w:p w14:paraId="1686AD2F" w14:textId="77777777" w:rsidR="008115FE" w:rsidRDefault="008115FE">
            <w:pPr>
              <w:tabs>
                <w:tab w:val="left" w:pos="6870"/>
              </w:tabs>
              <w:spacing w:line="300" w:lineRule="auto"/>
              <w:rPr>
                <w:rFonts w:ascii="宋体" w:hAnsi="宋体"/>
                <w:sz w:val="24"/>
              </w:rPr>
            </w:pPr>
          </w:p>
          <w:p w14:paraId="47AE9CDF" w14:textId="77777777" w:rsidR="008115FE" w:rsidRDefault="008115FE">
            <w:pPr>
              <w:tabs>
                <w:tab w:val="left" w:pos="6870"/>
              </w:tabs>
              <w:spacing w:line="300" w:lineRule="auto"/>
              <w:rPr>
                <w:rFonts w:ascii="宋体" w:hAnsi="宋体" w:cs="宋体"/>
                <w:bCs/>
                <w:sz w:val="24"/>
              </w:rPr>
            </w:pPr>
          </w:p>
          <w:p w14:paraId="10C4E4B7" w14:textId="77777777" w:rsidR="008115FE" w:rsidRDefault="008115FE">
            <w:pPr>
              <w:tabs>
                <w:tab w:val="left" w:pos="6870"/>
              </w:tabs>
              <w:spacing w:line="300" w:lineRule="auto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</w:p>
          <w:p w14:paraId="6C8701D1" w14:textId="77777777" w:rsidR="008115FE" w:rsidRDefault="0039513C">
            <w:pPr>
              <w:tabs>
                <w:tab w:val="left" w:pos="6870"/>
              </w:tabs>
              <w:spacing w:line="30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四、进度计划</w:t>
            </w:r>
          </w:p>
          <w:p w14:paraId="125D97C1" w14:textId="77777777" w:rsidR="008115FE" w:rsidRDefault="0039513C">
            <w:pPr>
              <w:tabs>
                <w:tab w:val="left" w:pos="6870"/>
              </w:tabs>
              <w:spacing w:line="300" w:lineRule="auto"/>
              <w:ind w:left="1560" w:hangingChars="650" w:hanging="1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1-2</w:t>
            </w:r>
            <w:r>
              <w:rPr>
                <w:rFonts w:hint="eastAsia"/>
                <w:sz w:val="24"/>
              </w:rPr>
              <w:t>周：</w:t>
            </w:r>
            <w:r>
              <w:rPr>
                <w:rFonts w:ascii="宋体" w:hAnsi="宋体" w:cs="宋体" w:hint="eastAsia"/>
                <w:sz w:val="24"/>
              </w:rPr>
              <w:t>理解课题、查阅文献、撰写开题报告、开题；</w:t>
            </w:r>
          </w:p>
          <w:p w14:paraId="2B937F16" w14:textId="77777777" w:rsidR="008115FE" w:rsidRDefault="0039513C">
            <w:pPr>
              <w:tabs>
                <w:tab w:val="left" w:pos="6870"/>
              </w:tabs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3-4</w:t>
            </w:r>
            <w:r>
              <w:rPr>
                <w:rFonts w:hint="eastAsia"/>
                <w:sz w:val="24"/>
              </w:rPr>
              <w:t>周：了</w:t>
            </w:r>
            <w:r>
              <w:rPr>
                <w:rFonts w:hint="eastAsia"/>
                <w:bCs/>
                <w:sz w:val="24"/>
              </w:rPr>
              <w:t>解了解一级倒立</w:t>
            </w:r>
            <w:proofErr w:type="gramStart"/>
            <w:r>
              <w:rPr>
                <w:rFonts w:hint="eastAsia"/>
                <w:bCs/>
                <w:sz w:val="24"/>
              </w:rPr>
              <w:t>摆系统</w:t>
            </w:r>
            <w:proofErr w:type="gramEnd"/>
            <w:r>
              <w:rPr>
                <w:rFonts w:hint="eastAsia"/>
                <w:bCs/>
                <w:sz w:val="24"/>
              </w:rPr>
              <w:t>的结构，建立其数学模型，设计</w:t>
            </w:r>
            <w:r>
              <w:rPr>
                <w:bCs/>
                <w:sz w:val="24"/>
              </w:rPr>
              <w:t>LQR</w:t>
            </w:r>
            <w:r>
              <w:rPr>
                <w:rFonts w:hint="eastAsia"/>
                <w:bCs/>
                <w:sz w:val="24"/>
              </w:rPr>
              <w:t>控制器；</w:t>
            </w:r>
          </w:p>
          <w:p w14:paraId="547F3CC4" w14:textId="77777777" w:rsidR="008115FE" w:rsidRDefault="0039513C">
            <w:pPr>
              <w:tabs>
                <w:tab w:val="left" w:pos="6870"/>
              </w:tabs>
              <w:spacing w:line="300" w:lineRule="auto"/>
              <w:ind w:left="1560" w:hangingChars="650" w:hanging="1560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5-8</w:t>
            </w:r>
            <w:r>
              <w:rPr>
                <w:rFonts w:hint="eastAsia"/>
                <w:sz w:val="24"/>
              </w:rPr>
              <w:t>周：熟悉课题算法，</w:t>
            </w:r>
            <w:r>
              <w:rPr>
                <w:rFonts w:ascii="宋体" w:hAnsi="宋体" w:cs="宋体" w:hint="eastAsia"/>
                <w:sz w:val="24"/>
              </w:rPr>
              <w:t>完成毕业论文设计工作和外文资料的翻译</w:t>
            </w:r>
            <w:r>
              <w:rPr>
                <w:rFonts w:hint="eastAsia"/>
                <w:sz w:val="24"/>
              </w:rPr>
              <w:t>；</w:t>
            </w:r>
          </w:p>
          <w:p w14:paraId="304B19E0" w14:textId="77777777" w:rsidR="008115FE" w:rsidRDefault="0039513C">
            <w:pPr>
              <w:tabs>
                <w:tab w:val="left" w:pos="6870"/>
              </w:tabs>
              <w:spacing w:line="300" w:lineRule="auto"/>
              <w:ind w:left="1560" w:hangingChars="650" w:hanging="1560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9-10</w:t>
            </w:r>
            <w:r>
              <w:rPr>
                <w:rFonts w:hint="eastAsia"/>
                <w:sz w:val="24"/>
              </w:rPr>
              <w:t>周：</w:t>
            </w:r>
            <w:r>
              <w:rPr>
                <w:rFonts w:hint="eastAsia"/>
                <w:bCs/>
                <w:sz w:val="24"/>
              </w:rPr>
              <w:t>利用遗传算法对</w:t>
            </w:r>
            <w:r>
              <w:rPr>
                <w:bCs/>
                <w:sz w:val="24"/>
              </w:rPr>
              <w:t>LQR</w:t>
            </w:r>
            <w:r>
              <w:rPr>
                <w:rFonts w:hint="eastAsia"/>
                <w:bCs/>
                <w:sz w:val="24"/>
              </w:rPr>
              <w:t>控制器进行优化设计并验证</w:t>
            </w:r>
            <w:r>
              <w:rPr>
                <w:rFonts w:hint="eastAsia"/>
                <w:sz w:val="24"/>
              </w:rPr>
              <w:t>；</w:t>
            </w:r>
          </w:p>
          <w:p w14:paraId="4C2C64B7" w14:textId="77777777" w:rsidR="008115FE" w:rsidRDefault="0039513C">
            <w:pPr>
              <w:tabs>
                <w:tab w:val="left" w:pos="6870"/>
              </w:tabs>
              <w:spacing w:line="300" w:lineRule="auto"/>
              <w:ind w:left="1560" w:hangingChars="650" w:hanging="1560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11-14</w:t>
            </w:r>
            <w:r>
              <w:rPr>
                <w:rFonts w:hint="eastAsia"/>
                <w:sz w:val="24"/>
              </w:rPr>
              <w:t>周：撰写毕业设计论文；</w:t>
            </w:r>
          </w:p>
          <w:p w14:paraId="5E209F1D" w14:textId="77777777" w:rsidR="008115FE" w:rsidRDefault="0039513C">
            <w:pPr>
              <w:tabs>
                <w:tab w:val="left" w:pos="6870"/>
              </w:tabs>
              <w:spacing w:line="300" w:lineRule="auto"/>
              <w:ind w:left="1560" w:hangingChars="650" w:hanging="1560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15</w:t>
            </w:r>
            <w:r>
              <w:rPr>
                <w:rFonts w:hint="eastAsia"/>
                <w:sz w:val="24"/>
              </w:rPr>
              <w:t>周：修改毕业设计论文；</w:t>
            </w:r>
          </w:p>
          <w:p w14:paraId="24850530" w14:textId="77777777" w:rsidR="008115FE" w:rsidRDefault="0039513C">
            <w:pPr>
              <w:tabs>
                <w:tab w:val="left" w:pos="6870"/>
              </w:tabs>
              <w:spacing w:line="300" w:lineRule="auto"/>
              <w:ind w:left="1560" w:hangingChars="650" w:hanging="1560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周：答辩。</w:t>
            </w:r>
          </w:p>
          <w:p w14:paraId="1E24BA43" w14:textId="77777777" w:rsidR="008115FE" w:rsidRDefault="0039513C">
            <w:pPr>
              <w:numPr>
                <w:ilvl w:val="0"/>
                <w:numId w:val="3"/>
              </w:numPr>
              <w:tabs>
                <w:tab w:val="left" w:pos="6870"/>
              </w:tabs>
              <w:spacing w:line="300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参考文献</w:t>
            </w:r>
          </w:p>
          <w:p w14:paraId="020A5C2F" w14:textId="77777777" w:rsidR="008115FE" w:rsidRDefault="0039513C">
            <w:pPr>
              <w:widowControl/>
              <w:spacing w:line="300" w:lineRule="auto"/>
              <w:jc w:val="left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[1] </w:t>
            </w:r>
            <w:r>
              <w:rPr>
                <w:rFonts w:ascii="宋体" w:hAnsi="宋体" w:cs="宋体" w:hint="eastAsia"/>
                <w:sz w:val="24"/>
              </w:rPr>
              <w:t>蔡自兴，徐光祐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>
              <w:rPr>
                <w:rFonts w:ascii="宋体" w:hAnsi="宋体" w:cs="宋体" w:hint="eastAsia"/>
                <w:sz w:val="24"/>
              </w:rPr>
              <w:t>人工智能及其应用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>
              <w:rPr>
                <w:rFonts w:ascii="宋体" w:hAnsi="宋体" w:cs="宋体" w:hint="eastAsia"/>
                <w:sz w:val="24"/>
              </w:rPr>
              <w:t>北京：清华大学出版社，</w:t>
            </w:r>
            <w:r>
              <w:rPr>
                <w:rFonts w:ascii="宋体" w:hAnsi="宋体" w:cs="宋体" w:hint="eastAsia"/>
                <w:sz w:val="24"/>
              </w:rPr>
              <w:t>2012.</w:t>
            </w:r>
          </w:p>
          <w:p w14:paraId="627F2142" w14:textId="77777777" w:rsidR="008115FE" w:rsidRDefault="0039513C">
            <w:pPr>
              <w:topLinePunct/>
              <w:spacing w:line="300" w:lineRule="auto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[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10]</w:t>
            </w:r>
            <w:r>
              <w:rPr>
                <w:sz w:val="24"/>
              </w:rPr>
              <w:t>Jiao</w:t>
            </w:r>
            <w:proofErr w:type="gramEnd"/>
            <w:r>
              <w:rPr>
                <w:sz w:val="24"/>
              </w:rPr>
              <w:t xml:space="preserve">-long Zhang, Wei </w:t>
            </w:r>
            <w:proofErr w:type="spellStart"/>
            <w:r>
              <w:rPr>
                <w:sz w:val="24"/>
              </w:rPr>
              <w:t>Zhang.LQR</w:t>
            </w:r>
            <w:proofErr w:type="spellEnd"/>
            <w:r>
              <w:rPr>
                <w:sz w:val="24"/>
              </w:rPr>
              <w:t xml:space="preserve"> self-adjusting based control for the planar </w:t>
            </w:r>
          </w:p>
          <w:p w14:paraId="422BC4EF" w14:textId="77777777" w:rsidR="008115FE" w:rsidRDefault="0039513C">
            <w:pPr>
              <w:topLinePunct/>
              <w:spacing w:line="300" w:lineRule="auto"/>
              <w:jc w:val="left"/>
              <w:rPr>
                <w:rFonts w:ascii="AdobeSongStd-Light" w:eastAsia="AdobeSongStd-Light" w:hAnsi="AdobeSongStd-Light"/>
                <w:sz w:val="24"/>
              </w:rPr>
            </w:pPr>
            <w:r>
              <w:rPr>
                <w:sz w:val="24"/>
              </w:rPr>
              <w:lastRenderedPageBreak/>
              <w:t xml:space="preserve">    double inverted </w:t>
            </w:r>
            <w:proofErr w:type="spellStart"/>
            <w:proofErr w:type="gramStart"/>
            <w:r>
              <w:rPr>
                <w:sz w:val="24"/>
              </w:rPr>
              <w:t>pendulum.Physics</w:t>
            </w:r>
            <w:proofErr w:type="spellEnd"/>
            <w:proofErr w:type="gramEnd"/>
            <w:r>
              <w:rPr>
                <w:sz w:val="24"/>
              </w:rPr>
              <w:t xml:space="preserve"> Procedia, 24(C):1669-1676,2012.</w:t>
            </w:r>
          </w:p>
        </w:tc>
      </w:tr>
    </w:tbl>
    <w:p w14:paraId="3499D782" w14:textId="77777777" w:rsidR="008115FE" w:rsidRDefault="008115FE"/>
    <w:p w14:paraId="0CED717E" w14:textId="77777777" w:rsidR="008115FE" w:rsidRDefault="008115FE"/>
    <w:p w14:paraId="0C27AB65" w14:textId="77777777" w:rsidR="008115FE" w:rsidRDefault="008115FE"/>
    <w:p w14:paraId="68E6F324" w14:textId="77777777" w:rsidR="008115FE" w:rsidRDefault="008115FE"/>
    <w:p w14:paraId="7F0AA7C8" w14:textId="77777777" w:rsidR="008115FE" w:rsidRDefault="008115FE"/>
    <w:p w14:paraId="56D39F96" w14:textId="77777777" w:rsidR="008115FE" w:rsidRDefault="008115FE"/>
    <w:p w14:paraId="0F9E281E" w14:textId="77777777" w:rsidR="008115FE" w:rsidRDefault="008115FE"/>
    <w:p w14:paraId="4175CC95" w14:textId="77777777" w:rsidR="008115FE" w:rsidRDefault="008115FE"/>
    <w:p w14:paraId="5F36471E" w14:textId="77777777" w:rsidR="008115FE" w:rsidRDefault="008115FE"/>
    <w:p w14:paraId="405345AE" w14:textId="77777777" w:rsidR="008115FE" w:rsidRDefault="008115FE"/>
    <w:p w14:paraId="55A500BF" w14:textId="77777777" w:rsidR="008115FE" w:rsidRDefault="008115FE"/>
    <w:p w14:paraId="361A85BD" w14:textId="77777777" w:rsidR="008115FE" w:rsidRDefault="008115FE"/>
    <w:p w14:paraId="32898225" w14:textId="77777777" w:rsidR="008115FE" w:rsidRDefault="008115FE"/>
    <w:p w14:paraId="6052A127" w14:textId="77777777" w:rsidR="008115FE" w:rsidRDefault="008115FE"/>
    <w:p w14:paraId="5CFD3B98" w14:textId="77777777" w:rsidR="008115FE" w:rsidRDefault="008115FE"/>
    <w:p w14:paraId="79E41BAB" w14:textId="77777777" w:rsidR="008115FE" w:rsidRDefault="008115FE"/>
    <w:p w14:paraId="3F066D13" w14:textId="77777777" w:rsidR="008115FE" w:rsidRDefault="008115FE"/>
    <w:p w14:paraId="749358C7" w14:textId="77777777" w:rsidR="008115FE" w:rsidRDefault="008115FE"/>
    <w:sectPr w:rsidR="00811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725B8" w14:textId="77777777" w:rsidR="00EC07DF" w:rsidRDefault="00EC07DF" w:rsidP="00644E2E">
      <w:r>
        <w:separator/>
      </w:r>
    </w:p>
  </w:endnote>
  <w:endnote w:type="continuationSeparator" w:id="0">
    <w:p w14:paraId="5DE69DD1" w14:textId="77777777" w:rsidR="00EC07DF" w:rsidRDefault="00EC07DF" w:rsidP="0064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SongStd-Light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A7367" w14:textId="77777777" w:rsidR="00EC07DF" w:rsidRDefault="00EC07DF" w:rsidP="00644E2E">
      <w:r>
        <w:separator/>
      </w:r>
    </w:p>
  </w:footnote>
  <w:footnote w:type="continuationSeparator" w:id="0">
    <w:p w14:paraId="5FCD930A" w14:textId="77777777" w:rsidR="00EC07DF" w:rsidRDefault="00EC07DF" w:rsidP="00644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972D3"/>
    <w:multiLevelType w:val="singleLevel"/>
    <w:tmpl w:val="532972D3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731C406F"/>
    <w:multiLevelType w:val="multilevel"/>
    <w:tmpl w:val="731C40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763B6"/>
    <w:multiLevelType w:val="multilevel"/>
    <w:tmpl w:val="737763B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E9"/>
    <w:rsid w:val="F7B49519"/>
    <w:rsid w:val="00182716"/>
    <w:rsid w:val="00207E6A"/>
    <w:rsid w:val="00393E05"/>
    <w:rsid w:val="0039513C"/>
    <w:rsid w:val="00397BA8"/>
    <w:rsid w:val="003F5650"/>
    <w:rsid w:val="00516B71"/>
    <w:rsid w:val="005859E9"/>
    <w:rsid w:val="005C392F"/>
    <w:rsid w:val="00606135"/>
    <w:rsid w:val="00644E2E"/>
    <w:rsid w:val="007055A4"/>
    <w:rsid w:val="00716C85"/>
    <w:rsid w:val="00770604"/>
    <w:rsid w:val="008115FE"/>
    <w:rsid w:val="008600FC"/>
    <w:rsid w:val="00946085"/>
    <w:rsid w:val="00A95A16"/>
    <w:rsid w:val="00D53D00"/>
    <w:rsid w:val="00E44315"/>
    <w:rsid w:val="00EC07DF"/>
    <w:rsid w:val="5F3F0CD0"/>
    <w:rsid w:val="6EFB0106"/>
    <w:rsid w:val="6FDFF67C"/>
    <w:rsid w:val="7BE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C505"/>
  <w15:docId w15:val="{AE7A5C50-20AD-45A8-BC7B-4507FC81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44E2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4E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Chan</cp:lastModifiedBy>
  <cp:revision>8</cp:revision>
  <dcterms:created xsi:type="dcterms:W3CDTF">2019-05-15T09:46:00Z</dcterms:created>
  <dcterms:modified xsi:type="dcterms:W3CDTF">2020-06-17T13:56:00Z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