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 Unicode MS" w:hAnsi="Arial Unicode MS" w:eastAsia="Arial Unicode MS"/>
          <w:b/>
          <w:i w:val="0"/>
          <w:color w:val="1C2024"/>
          <w:sz w:val="46"/>
        </w:rPr>
        <w:t>RAG 系统结构化实验报告</w:t>
      </w:r>
    </w:p>
    <w:p>
      <w:pPr>
        <w:spacing w:after="280"/>
      </w:pPr>
      <w:r>
        <w:rPr>
          <w:rFonts w:ascii="Arial Unicode MS" w:hAnsi="Arial Unicode MS" w:eastAsia="Arial Unicode MS"/>
          <w:b w:val="0"/>
          <w:i w:val="0"/>
          <w:color w:val="5A626C"/>
          <w:sz w:val="28"/>
        </w:rPr>
        <w:t>安装、使用与检索链路的非业务验收样本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C2024"/>
                <w:sz w:val="21"/>
              </w:rPr>
              <w:t>文档编号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1"/>
              </w:rPr>
              <w:t>RAG-ACCEPT-2026-0801-A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C2024"/>
                <w:sz w:val="21"/>
              </w:rPr>
              <w:t>测试属性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1"/>
              </w:rPr>
              <w:t>最小非业务验收 Fixture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C2024"/>
                <w:sz w:val="21"/>
              </w:rPr>
              <w:t>报告单位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1"/>
              </w:rPr>
              <w:t>LazyAI研究院（虚构测试组织）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C2024"/>
                <w:sz w:val="21"/>
              </w:rPr>
              <w:t>报告日期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1"/>
              </w:rPr>
              <w:t>2026年8月1日</w:t>
            </w:r>
          </w:p>
        </w:tc>
      </w:tr>
    </w:tbl>
    <w:p/>
    <w:p>
      <w:pPr>
        <w:pStyle w:val="Heading1"/>
      </w:pPr>
      <w:r>
        <w:t>报告摘要</w:t>
      </w:r>
    </w:p>
    <w:p>
      <w:pPr>
        <w:widowControl/>
      </w:pPr>
      <w:r>
        <w:rPr>
          <w:rFonts w:ascii="Arial Unicode MS" w:hAnsi="Arial Unicode MS" w:eastAsia="Arial Unicode MS"/>
          <w:b w:val="0"/>
          <w:i w:val="0"/>
          <w:color w:val="1C2024"/>
          <w:sz w:val="22"/>
        </w:rPr>
        <w:t>本报告记录一套完全虚构的技术验收过程。LazyAI研究院于2026年8月1日完成 RAGFlow v0.26.4 环境安装，并使用 PostgreSQL、Elasticsearch、MinIO 与 Redis 组成基础数据服务。报告正文按安装、使用和验证三个章节组织。</w:t>
      </w:r>
    </w:p>
    <w:p>
      <w:pPr>
        <w:pStyle w:val="Heading1"/>
      </w:pPr>
      <w:r>
        <w:t>第一章 安装</w:t>
      </w:r>
    </w:p>
    <w:p>
      <w:pPr>
        <w:pStyle w:val="Heading2"/>
      </w:pPr>
      <w:r>
        <w:t>1.1 环境基线</w:t>
      </w:r>
    </w:p>
    <w:p>
      <w:pPr>
        <w:widowControl/>
      </w:pPr>
      <w:r>
        <w:rPr>
          <w:rFonts w:ascii="Arial Unicode MS" w:hAnsi="Arial Unicode MS" w:eastAsia="Arial Unicode MS"/>
          <w:b w:val="0"/>
          <w:i w:val="0"/>
          <w:color w:val="1C2024"/>
          <w:sz w:val="22"/>
        </w:rPr>
        <w:t>LazyAI研究院于2026年8月1日完成RAGFlow v0.26.4环境安装。安装环境采用 Docker Compose 编排，RAG Gateway 通过内部网络调用 RAGFlow Server。</w:t>
      </w:r>
    </w:p>
    <w:p>
      <w:pPr>
        <w:pStyle w:val="Heading2"/>
      </w:pPr>
      <w:r>
        <w:t>1.2 数据组件</w:t>
      </w:r>
    </w:p>
    <w:p>
      <w:pPr>
        <w:widowControl/>
      </w:pPr>
      <w:r>
        <w:rPr>
          <w:rFonts w:ascii="Arial Unicode MS" w:hAnsi="Arial Unicode MS" w:eastAsia="Arial Unicode MS"/>
          <w:b w:val="0"/>
          <w:i w:val="0"/>
          <w:color w:val="1C2024"/>
          <w:sz w:val="22"/>
        </w:rPr>
        <w:t>PostgreSQL 保存应用业务记录，Elasticsearch 保存可检索内容，MinIO 保存原始文件，Redis 提供任务协调和缓存。所有名称均为技术验证信息，不代表真实生产部署。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500"/>
        <w:gridCol w:w="35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C2024"/>
                <w:sz w:val="20"/>
              </w:rPr>
              <w:t>类别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C2024"/>
                <w:sz w:val="20"/>
              </w:rPr>
              <w:t>实体或配置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C2024"/>
                <w:sz w:val="20"/>
              </w:rPr>
              <w:t>验收事实</w:t>
            </w:r>
          </w:p>
        </w:tc>
      </w:tr>
      <w:tr>
        <w:tc>
          <w:tcPr>
            <w:tcW w:type="dxa" w:w="23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组织</w:t>
            </w:r>
          </w:p>
        </w:tc>
        <w:tc>
          <w:tcPr>
            <w:tcW w:type="dxa" w:w="35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LazyAI研究院</w:t>
            </w:r>
          </w:p>
        </w:tc>
        <w:tc>
          <w:tcPr>
            <w:tcW w:type="dxa" w:w="356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虚构测试组织</w:t>
            </w:r>
          </w:p>
        </w:tc>
      </w:tr>
      <w:tr>
        <w:tc>
          <w:tcPr>
            <w:tcW w:type="dxa" w:w="23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日期</w:t>
            </w:r>
          </w:p>
        </w:tc>
        <w:tc>
          <w:tcPr>
            <w:tcW w:type="dxa" w:w="35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2026年8月1日</w:t>
            </w:r>
          </w:p>
        </w:tc>
        <w:tc>
          <w:tcPr>
            <w:tcW w:type="dxa" w:w="356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环境安装完成日期</w:t>
            </w:r>
          </w:p>
        </w:tc>
      </w:tr>
      <w:tr>
        <w:tc>
          <w:tcPr>
            <w:tcW w:type="dxa" w:w="23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版本</w:t>
            </w:r>
          </w:p>
        </w:tc>
        <w:tc>
          <w:tcPr>
            <w:tcW w:type="dxa" w:w="35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RAGFlow v0.26.4</w:t>
            </w:r>
          </w:p>
        </w:tc>
        <w:tc>
          <w:tcPr>
            <w:tcW w:type="dxa" w:w="356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固定验收版本</w:t>
            </w:r>
          </w:p>
        </w:tc>
      </w:tr>
      <w:tr>
        <w:tc>
          <w:tcPr>
            <w:tcW w:type="dxa" w:w="23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存储</w:t>
            </w:r>
          </w:p>
        </w:tc>
        <w:tc>
          <w:tcPr>
            <w:tcW w:type="dxa" w:w="35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PostgreSQL</w:t>
            </w:r>
          </w:p>
        </w:tc>
        <w:tc>
          <w:tcPr>
            <w:tcW w:type="dxa" w:w="356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保存应用业务记录</w:t>
            </w:r>
          </w:p>
        </w:tc>
      </w:tr>
    </w:tbl>
    <w:p/>
    <w:p>
      <w:r>
        <w:br w:type="page"/>
      </w:r>
    </w:p>
    <w:p>
      <w:pPr>
        <w:pStyle w:val="Heading1"/>
      </w:pPr>
      <w:r>
        <w:t>第二章 使用</w:t>
      </w:r>
    </w:p>
    <w:p>
      <w:pPr>
        <w:pStyle w:val="Heading2"/>
      </w:pPr>
      <w:r>
        <w:t>2.1 创建知识库</w:t>
      </w:r>
    </w:p>
    <w:p>
      <w:pPr>
        <w:widowControl/>
      </w:pPr>
      <w:r>
        <w:rPr>
          <w:rFonts w:ascii="Arial Unicode MS" w:hAnsi="Arial Unicode MS" w:eastAsia="Arial Unicode MS"/>
          <w:b w:val="0"/>
          <w:i w:val="0"/>
          <w:color w:val="1C2024"/>
          <w:sz w:val="22"/>
        </w:rPr>
        <w:t>第一步创建知识库。测试人员创建名为“技术验收空间”的知识库，并为其选择固定的解析、分块、Embedding 和检索 Profile。</w:t>
      </w:r>
    </w:p>
    <w:p>
      <w:pPr>
        <w:pStyle w:val="Heading2"/>
      </w:pPr>
      <w:r>
        <w:t>2.2 上传文档</w:t>
      </w:r>
    </w:p>
    <w:p>
      <w:pPr>
        <w:widowControl/>
      </w:pPr>
      <w:r>
        <w:rPr>
          <w:rFonts w:ascii="Arial Unicode MS" w:hAnsi="Arial Unicode MS" w:eastAsia="Arial Unicode MS"/>
          <w:b w:val="0"/>
          <w:i w:val="0"/>
          <w:color w:val="1C2024"/>
          <w:sz w:val="22"/>
        </w:rPr>
        <w:t>第二步上传文档。系统计算文件的 content_sha256，并把原文件暂存后提交异步解析任务。同一安全 Scope 与同一知识库内，完全相同的文件应被识别为精确重复。</w:t>
      </w:r>
    </w:p>
    <w:p>
      <w:pPr>
        <w:pStyle w:val="Heading2"/>
      </w:pPr>
      <w:r>
        <w:t>2.3 执行检索</w:t>
      </w:r>
    </w:p>
    <w:p>
      <w:pPr>
        <w:widowControl/>
      </w:pPr>
      <w:r>
        <w:rPr>
          <w:rFonts w:ascii="Arial Unicode MS" w:hAnsi="Arial Unicode MS" w:eastAsia="Arial Unicode MS"/>
          <w:b w:val="0"/>
          <w:i w:val="0"/>
          <w:color w:val="1C2024"/>
          <w:sz w:val="22"/>
        </w:rPr>
        <w:t>第三步执行检索。系统并行执行向量路线和关键词路线，再使用加权 RRF 融合排名。查询结果只返回当前 security_scope_id 有权访问的文档内容。</w:t>
      </w:r>
    </w:p>
    <w:p>
      <w:pPr>
        <w:pStyle w:val="Heading2"/>
      </w:pPr>
      <w:r>
        <w:t>2.4 操作顺序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500"/>
        <w:gridCol w:w="35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C2024"/>
                <w:sz w:val="20"/>
              </w:rPr>
              <w:t>类别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C2024"/>
                <w:sz w:val="20"/>
              </w:rPr>
              <w:t>实体或配置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C2024"/>
                <w:sz w:val="20"/>
              </w:rPr>
              <w:t>验收事实</w:t>
            </w:r>
          </w:p>
        </w:tc>
      </w:tr>
      <w:tr>
        <w:tc>
          <w:tcPr>
            <w:tcW w:type="dxa" w:w="23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第一步</w:t>
            </w:r>
          </w:p>
        </w:tc>
        <w:tc>
          <w:tcPr>
            <w:tcW w:type="dxa" w:w="35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创建知识库</w:t>
            </w:r>
          </w:p>
        </w:tc>
        <w:tc>
          <w:tcPr>
            <w:tcW w:type="dxa" w:w="356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得到可隔离的知识空间</w:t>
            </w:r>
          </w:p>
        </w:tc>
      </w:tr>
      <w:tr>
        <w:tc>
          <w:tcPr>
            <w:tcW w:type="dxa" w:w="23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第二步</w:t>
            </w:r>
          </w:p>
        </w:tc>
        <w:tc>
          <w:tcPr>
            <w:tcW w:type="dxa" w:w="35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上传并解析文档</w:t>
            </w:r>
          </w:p>
        </w:tc>
        <w:tc>
          <w:tcPr>
            <w:tcW w:type="dxa" w:w="356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得到 Chunk 与层级侧车索引</w:t>
            </w:r>
          </w:p>
        </w:tc>
      </w:tr>
      <w:tr>
        <w:tc>
          <w:tcPr>
            <w:tcW w:type="dxa" w:w="23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第三步</w:t>
            </w:r>
          </w:p>
        </w:tc>
        <w:tc>
          <w:tcPr>
            <w:tcW w:type="dxa" w:w="35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执行混合检索</w:t>
            </w:r>
          </w:p>
        </w:tc>
        <w:tc>
          <w:tcPr>
            <w:tcW w:type="dxa" w:w="356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得到带来源的候选内容</w:t>
            </w:r>
          </w:p>
        </w:tc>
      </w:tr>
      <w:tr>
        <w:tc>
          <w:tcPr>
            <w:tcW w:type="dxa" w:w="23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第四步</w:t>
            </w:r>
          </w:p>
        </w:tc>
        <w:tc>
          <w:tcPr>
            <w:tcW w:type="dxa" w:w="35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生成回答</w:t>
            </w:r>
          </w:p>
        </w:tc>
        <w:tc>
          <w:tcPr>
            <w:tcW w:type="dxa" w:w="356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输出带引用的流式答案</w:t>
            </w:r>
          </w:p>
        </w:tc>
      </w:tr>
    </w:tbl>
    <w:p/>
    <w:p>
      <w:pPr>
        <w:widowControl/>
      </w:pPr>
      <w:r>
        <w:rPr>
          <w:rFonts w:ascii="Arial Unicode MS" w:hAnsi="Arial Unicode MS" w:eastAsia="Arial Unicode MS"/>
          <w:b/>
          <w:i w:val="0"/>
          <w:color w:val="1C2024"/>
          <w:sz w:val="22"/>
        </w:rPr>
        <w:t>示例查询：</w:t>
      </w:r>
      <w:r>
        <w:rPr>
          <w:rFonts w:ascii="Arial Unicode MS" w:hAnsi="Arial Unicode MS" w:eastAsia="Arial Unicode MS"/>
          <w:b w:val="0"/>
          <w:i w:val="0"/>
          <w:color w:val="1C2024"/>
          <w:sz w:val="22"/>
        </w:rPr>
        <w:t>LazyAI研究院在什么日期完成哪个版本的安装？系统应定位到第一章，并返回2026年8月1日与RAGFlow v0.26.4。</w:t>
      </w:r>
    </w:p>
    <w:p>
      <w:r>
        <w:br w:type="page"/>
      </w:r>
    </w:p>
    <w:p>
      <w:pPr>
        <w:pStyle w:val="Heading1"/>
      </w:pPr>
      <w:r>
        <w:t>第三章 验证</w:t>
      </w:r>
    </w:p>
    <w:p>
      <w:pPr>
        <w:pStyle w:val="Heading2"/>
      </w:pPr>
      <w:r>
        <w:t>3.1 分块与层级索引</w:t>
      </w:r>
    </w:p>
    <w:p>
      <w:pPr>
        <w:widowControl/>
      </w:pPr>
      <w:r>
        <w:rPr>
          <w:rFonts w:ascii="Arial Unicode MS" w:hAnsi="Arial Unicode MS" w:eastAsia="Arial Unicode MS"/>
          <w:b w:val="0"/>
          <w:i w:val="0"/>
          <w:color w:val="1C2024"/>
          <w:sz w:val="22"/>
        </w:rPr>
        <w:t>解析完成后，系统保留 RAGFlow 原始 Chunk，并在应用 PostgreSQL 中构建 Document Summary、Section 与 Parent 节点。Summary 用于概览导航，Section 表示章节，Parent 把相邻子块组织为较大的上下文。</w:t>
      </w:r>
    </w:p>
    <w:p>
      <w:pPr>
        <w:pStyle w:val="Heading2"/>
      </w:pPr>
      <w:r>
        <w:t>3.2 重复语义样本</w:t>
      </w:r>
    </w:p>
    <w:p>
      <w:pPr>
        <w:widowControl/>
      </w:pPr>
      <w:r>
        <w:rPr>
          <w:rFonts w:ascii="Arial Unicode MS" w:hAnsi="Arial Unicode MS" w:eastAsia="Arial Unicode MS"/>
          <w:b w:val="0"/>
          <w:i w:val="0"/>
          <w:color w:val="1C2024"/>
          <w:sz w:val="22"/>
        </w:rPr>
        <w:t>系统使用PostgreSQL保存业务数据。</w:t>
      </w:r>
    </w:p>
    <w:p>
      <w:pPr>
        <w:widowControl/>
      </w:pPr>
      <w:r>
        <w:rPr>
          <w:rFonts w:ascii="Arial Unicode MS" w:hAnsi="Arial Unicode MS" w:eastAsia="Arial Unicode MS"/>
          <w:b w:val="0"/>
          <w:i w:val="0"/>
          <w:color w:val="1C2024"/>
          <w:sz w:val="22"/>
        </w:rPr>
        <w:t>系统使用 PostgreSQL 保存业务数据！</w:t>
      </w:r>
    </w:p>
    <w:p>
      <w:pPr>
        <w:widowControl/>
      </w:pPr>
      <w:r>
        <w:rPr>
          <w:rFonts w:ascii="Arial Unicode MS" w:hAnsi="Arial Unicode MS" w:eastAsia="Arial Unicode MS"/>
          <w:b w:val="0"/>
          <w:i w:val="0"/>
          <w:color w:val="1C2024"/>
          <w:sz w:val="22"/>
        </w:rPr>
        <w:t>应用系统将业务记录持久化在 PostgreSQL 数据库中。这三句话文字并不完全相同，但含义接近，可用于观察召回候选的正文 Hash 去重与 Embedding 语义近重复删除。</w:t>
      </w:r>
    </w:p>
    <w:p>
      <w:pPr>
        <w:pStyle w:val="Heading2"/>
      </w:pPr>
      <w:r>
        <w:t>3.3 结构化实体</w:t>
      </w:r>
    </w:p>
    <w:p>
      <w:pPr>
        <w:widowControl/>
      </w:pPr>
      <w:r>
        <w:rPr>
          <w:rFonts w:ascii="Arial Unicode MS" w:hAnsi="Arial Unicode MS" w:eastAsia="Arial Unicode MS"/>
          <w:b w:val="0"/>
          <w:i w:val="0"/>
          <w:color w:val="1C2024"/>
          <w:sz w:val="22"/>
        </w:rPr>
        <w:t>实体样本包含组织 LazyAI研究院、日期 2026年8月1日、版本 RAGFlow v0.26.4、数据库 PostgreSQL、搜索引擎 Elasticsearch、对象存储 MinIO 和缓存 Redis。</w:t>
      </w:r>
    </w:p>
    <w:p>
      <w:pPr>
        <w:pStyle w:val="Heading2"/>
      </w:pPr>
      <w:r>
        <w:t>3.4 验收检查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C2024"/>
                <w:sz w:val="20"/>
              </w:rPr>
              <w:t>验收维度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Arial Unicode MS" w:hAnsi="Arial Unicode MS" w:eastAsia="Arial Unicode MS"/>
                <w:b/>
                <w:i w:val="0"/>
                <w:color w:val="1C2024"/>
                <w:sz w:val="20"/>
              </w:rPr>
              <w:t>预期结果</w:t>
            </w:r>
          </w:p>
        </w:tc>
      </w:tr>
      <w:tr>
        <w:tc>
          <w:tcPr>
            <w:tcW w:type="dxa" w:w="31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标题与章节</w:t>
            </w:r>
          </w:p>
        </w:tc>
        <w:tc>
          <w:tcPr>
            <w:tcW w:type="dxa" w:w="626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能识别第一章、第二章、第三章及其子标题</w:t>
            </w:r>
          </w:p>
        </w:tc>
      </w:tr>
      <w:tr>
        <w:tc>
          <w:tcPr>
            <w:tcW w:type="dxa" w:w="31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Document Summary</w:t>
            </w:r>
          </w:p>
        </w:tc>
        <w:tc>
          <w:tcPr>
            <w:tcW w:type="dxa" w:w="626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概览问题可导航回真实源 Chunk</w:t>
            </w:r>
          </w:p>
        </w:tc>
      </w:tr>
      <w:tr>
        <w:tc>
          <w:tcPr>
            <w:tcW w:type="dxa" w:w="31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Section 与 Parent</w:t>
            </w:r>
          </w:p>
        </w:tc>
        <w:tc>
          <w:tcPr>
            <w:tcW w:type="dxa" w:w="626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章节和相邻上下文可回读，但引用仍来自原始块</w:t>
            </w:r>
          </w:p>
        </w:tc>
      </w:tr>
      <w:tr>
        <w:tc>
          <w:tcPr>
            <w:tcW w:type="dxa" w:w="31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实体与元数据</w:t>
            </w:r>
          </w:p>
        </w:tc>
        <w:tc>
          <w:tcPr>
            <w:tcW w:type="dxa" w:w="626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能抽取组织、日期、年份、版本和技术词</w:t>
            </w:r>
          </w:p>
        </w:tc>
      </w:tr>
      <w:tr>
        <w:tc>
          <w:tcPr>
            <w:tcW w:type="dxa" w:w="310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近重复候选</w:t>
            </w:r>
          </w:p>
        </w:tc>
        <w:tc>
          <w:tcPr>
            <w:tcW w:type="dxa" w:w="6260"/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1C2024"/>
                <w:sz w:val="20"/>
              </w:rPr>
              <w:t>召回后删除高度相似候选，不删除原始文档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5A626C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 Unicode MS" w:hAnsi="Arial Unicode MS" w:eastAsia="Arial Unicode MS"/>
        <w:b w:val="0"/>
        <w:i w:val="0"/>
        <w:color w:val="5A626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i w:val="0"/>
        <w:color w:val="5A626C"/>
        <w:sz w:val="18"/>
      </w:rPr>
      <w:t>LazyTT RAG 验收 Fixture · 结构化实验报告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