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</w:p>
    <w:p>
      <w:pPr>
        <w:pStyle w:val="4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&lt;移动办公中间件&gt;</w:t>
      </w:r>
      <w:r>
        <w:rPr>
          <w:rFonts w:ascii="Arial" w:hAnsi="Arial"/>
        </w:rPr>
        <w:fldChar w:fldCharType="end"/>
      </w:r>
    </w:p>
    <w:p>
      <w:pPr>
        <w:pStyle w:val="4"/>
        <w:jc w:val="right"/>
      </w:pPr>
      <w:r>
        <w:rPr>
          <w:rFonts w:hint="eastAsia"/>
        </w:rPr>
        <w:t>项目范围说明书</w:t>
      </w:r>
    </w:p>
    <w:p/>
    <w:p/>
    <w:p>
      <w:pPr>
        <w:pStyle w:val="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"/>
        <w:rPr>
          <w:sz w:val="28"/>
        </w:rPr>
      </w:pPr>
    </w:p>
    <w:p/>
    <w:p>
      <w:r>
        <w:br w:type="page"/>
      </w:r>
    </w:p>
    <w:p>
      <w:pPr>
        <w:pStyle w:val="4"/>
      </w:pPr>
      <w:r>
        <w:rPr>
          <w:rFonts w:hint="eastAsia"/>
        </w:rPr>
        <w:t>修订历史记录</w:t>
      </w:r>
    </w:p>
    <w:tbl>
      <w:tblPr>
        <w:tblStyle w:val="5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9"/>
            </w:pPr>
            <w:r>
              <w:rPr>
                <w:rFonts w:hint="eastAsia" w:ascii="Times New Roman"/>
              </w:rPr>
              <w:t>2011-</w:t>
            </w:r>
            <w:r>
              <w:rPr>
                <w:rFonts w:ascii="Times New Roman"/>
              </w:rPr>
              <w:t xml:space="preserve"> 4-17</w:t>
            </w:r>
          </w:p>
        </w:tc>
        <w:tc>
          <w:tcPr>
            <w:tcW w:w="1152" w:type="dxa"/>
          </w:tcPr>
          <w:p>
            <w:pPr>
              <w:pStyle w:val="9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9"/>
            </w:pPr>
            <w:r>
              <w:rPr>
                <w:rFonts w:hint="eastAsia" w:ascii="Times New Roman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>
            <w:pPr>
              <w:pStyle w:val="9"/>
            </w:pPr>
            <w:r>
              <w:rPr>
                <w:rFonts w:hint="eastAsia" w:ascii="Times New Roman"/>
              </w:rPr>
              <w:t>王心彤、张晓焕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9"/>
            </w:pPr>
          </w:p>
        </w:tc>
        <w:tc>
          <w:tcPr>
            <w:tcW w:w="1152" w:type="dxa"/>
          </w:tcPr>
          <w:p>
            <w:pPr>
              <w:pStyle w:val="9"/>
            </w:pPr>
          </w:p>
        </w:tc>
        <w:tc>
          <w:tcPr>
            <w:tcW w:w="3744" w:type="dxa"/>
          </w:tcPr>
          <w:p>
            <w:pPr>
              <w:pStyle w:val="9"/>
            </w:pPr>
          </w:p>
        </w:tc>
        <w:tc>
          <w:tcPr>
            <w:tcW w:w="2304" w:type="dxa"/>
          </w:tcPr>
          <w:p>
            <w:pPr>
              <w:pStyle w:val="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9"/>
            </w:pPr>
          </w:p>
        </w:tc>
        <w:tc>
          <w:tcPr>
            <w:tcW w:w="1152" w:type="dxa"/>
          </w:tcPr>
          <w:p>
            <w:pPr>
              <w:pStyle w:val="9"/>
            </w:pPr>
          </w:p>
        </w:tc>
        <w:tc>
          <w:tcPr>
            <w:tcW w:w="3744" w:type="dxa"/>
          </w:tcPr>
          <w:p>
            <w:pPr>
              <w:pStyle w:val="9"/>
            </w:pPr>
          </w:p>
        </w:tc>
        <w:tc>
          <w:tcPr>
            <w:tcW w:w="2304" w:type="dxa"/>
          </w:tcPr>
          <w:p>
            <w:pPr>
              <w:pStyle w:val="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9"/>
            </w:pPr>
          </w:p>
        </w:tc>
        <w:tc>
          <w:tcPr>
            <w:tcW w:w="1152" w:type="dxa"/>
          </w:tcPr>
          <w:p>
            <w:pPr>
              <w:pStyle w:val="9"/>
            </w:pPr>
          </w:p>
        </w:tc>
        <w:tc>
          <w:tcPr>
            <w:tcW w:w="3744" w:type="dxa"/>
          </w:tcPr>
          <w:p>
            <w:pPr>
              <w:pStyle w:val="9"/>
            </w:pPr>
          </w:p>
        </w:tc>
        <w:tc>
          <w:tcPr>
            <w:tcW w:w="2304" w:type="dxa"/>
          </w:tcPr>
          <w:p>
            <w:pPr>
              <w:pStyle w:val="9"/>
            </w:pPr>
          </w:p>
        </w:tc>
      </w:tr>
    </w:tbl>
    <w:p/>
    <w:p/>
    <w:p>
      <w:r>
        <w:br w:type="page"/>
      </w:r>
    </w:p>
    <w:p>
      <w:pPr>
        <w:pStyle w:val="4"/>
      </w:pPr>
      <w:r>
        <w:rPr>
          <w:rFonts w:hint="eastAsia"/>
        </w:rPr>
        <w:t>目录</w:t>
      </w:r>
    </w:p>
    <w:p>
      <w:pPr>
        <w:pStyle w:val="3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>
      <w:pPr>
        <w:pStyle w:val="3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>
      <w:pPr>
        <w:pStyle w:val="3"/>
        <w:tabs>
          <w:tab w:val="left" w:pos="432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rPr>
          <w:rFonts w:hint="eastAsia"/>
          <w:lang w:val="en-US" w:eastAsia="zh-CN"/>
        </w:rPr>
        <w:t>4</w:t>
      </w:r>
      <w:bookmarkStart w:id="5" w:name="_GoBack"/>
      <w:bookmarkEnd w:id="5"/>
    </w:p>
    <w:p>
      <w:pPr>
        <w:pStyle w:val="3"/>
        <w:tabs>
          <w:tab w:val="left" w:pos="432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3"/>
        <w:tabs>
          <w:tab w:val="left" w:pos="432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rPr>
          <w:rFonts w:ascii="Times New Roman"/>
        </w:rPr>
      </w:pPr>
      <w:r>
        <w:rPr>
          <w:rFonts w:ascii="Times New Roman"/>
        </w:rPr>
        <w:fldChar w:fldCharType="end"/>
      </w:r>
    </w:p>
    <w:p>
      <w: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藤蔓打卡。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现如今网络发达，手机，平板以及电脑等功能齐全，各种娱乐软件百花齐放。在如此环境下，人们想要专注于一件事情，就要克服种种诱惑。藤蔓打卡这个软件就是为了解决这个问题。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用户可以拥有专属于某件待办事项的专注时间，在此期间，用户认为会扰乱用户计划的软件均不可用。并运用一定的奖励机制来增加趣味性。这将有效提高用户的工作学习效率，提高专注度。</w:t>
      </w:r>
    </w:p>
    <w:p>
      <w:pPr>
        <w:ind w:firstLine="560" w:firstLineChars="20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此项目的优点是：</w:t>
      </w:r>
    </w:p>
    <w:p>
      <w:pPr>
        <w:pStyle w:val="11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提供严格模式，可以禁用部分软件，采用强制的办法，提高专注度</w:t>
      </w:r>
    </w:p>
    <w:p>
      <w:pPr>
        <w:pStyle w:val="11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分打卡模式和专注模式两种，轻松养成好习惯</w:t>
      </w:r>
    </w:p>
    <w:p>
      <w:pPr>
        <w:pStyle w:val="11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有奖励机制，使专注更有趣味</w:t>
      </w:r>
    </w:p>
    <w:p>
      <w:pPr>
        <w:pStyle w:val="11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记录用户完成的待办事项，进步可见，专注更有动力</w:t>
      </w:r>
    </w:p>
    <w:p>
      <w:pPr>
        <w:pStyle w:val="11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查看他人专注程度，有对比才有进步</w:t>
      </w:r>
    </w:p>
    <w:p>
      <w:pPr>
        <w:pStyle w:val="2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p/>
    <w:p>
      <w:r>
        <w:br w:type="page"/>
      </w:r>
    </w:p>
    <w:p/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602"/>
        <w:gridCol w:w="1658"/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noWrap w:val="0"/>
            <w:vAlign w:val="top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阶段（里程碑）</w:t>
            </w:r>
          </w:p>
        </w:tc>
        <w:tc>
          <w:tcPr>
            <w:tcW w:w="1602" w:type="dxa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子阶段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开始日期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截止日期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  <w:noWrap w:val="0"/>
            <w:vAlign w:val="top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预启动</w:t>
            </w:r>
          </w:p>
        </w:tc>
        <w:tc>
          <w:tcPr>
            <w:tcW w:w="1602" w:type="dxa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识别项目机会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20年3月1日</w:t>
            </w:r>
          </w:p>
        </w:tc>
        <w:tc>
          <w:tcPr>
            <w:tcW w:w="2126" w:type="dxa"/>
            <w:vMerge w:val="restart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商业分析报告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寻找解决方案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20年3月2日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20年3月2日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商业分析报告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20年3月3日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20年3月3日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评估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20年3月4日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20年3月4日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缓冲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20年3月5日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20年3月5日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  <w:noWrap w:val="0"/>
            <w:vAlign w:val="top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启动</w:t>
            </w: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任命项目经理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eastAsia"/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20年3月16日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20年3月16日</w:t>
            </w:r>
          </w:p>
        </w:tc>
        <w:tc>
          <w:tcPr>
            <w:tcW w:w="2126" w:type="dxa"/>
            <w:vMerge w:val="restart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核心团队说明、里程碑计划、干系人登记册、项目章程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both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组建核心团队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20年3月16日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20年3月16日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干系人分析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20年3月17日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20年3月17日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里程碑计划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20年3月17日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20年3月17日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制定项目章程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20年3月18日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20年3月18日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启动大会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20年3月18日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20年3月18日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  <w:noWrap w:val="0"/>
            <w:vAlign w:val="top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</w:t>
            </w: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制定需求说明书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20年3月19日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20年3月19日</w:t>
            </w:r>
          </w:p>
        </w:tc>
        <w:tc>
          <w:tcPr>
            <w:tcW w:w="2126" w:type="dxa"/>
            <w:vMerge w:val="restart"/>
            <w:noWrap w:val="0"/>
            <w:vAlign w:val="top"/>
          </w:tcPr>
          <w:p>
            <w:pPr>
              <w:jc w:val="left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</w:rPr>
              <w:t>需求说明书、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详细设计说明书、</w:t>
            </w:r>
            <w:r>
              <w:rPr>
                <w:rFonts w:hint="eastAsia"/>
                <w:sz w:val="21"/>
                <w:szCs w:val="21"/>
              </w:rPr>
              <w:t>范围说明书、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wps、测试计划书、测试用例、人力资源计划、人员配备管理计划、沟通管理计划、采购文件、风险登记册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界面设计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20年3月20日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20年3月20日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详细设计说明书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20年3月20日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20年3月20日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范围说明书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20年3月23日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20年3月23日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创建wps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20年3月24日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20年4月7日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形成范围基准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20年3月24日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20年3月24日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制定测试计划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20年4月2日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20年4月3日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制定测试用例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20年4月6日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20年4月10日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制定人力资源计划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20年4月13日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20年4月14日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制定人员配备管理计划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20年4月15日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20年4月15日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制定沟通管理计划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20年4月16日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20年4月17日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自制外购分析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20年4月20日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20年4月2日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制定采购文件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20年4月23日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20年5月1日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识别风险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20年4月24日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20年4月24日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制定风险登记册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20年4月28日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  <w:lang w:val="zh-CN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20年4月28日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</w:t>
            </w: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组建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项目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团队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jc w:val="center"/>
              <w:rPr>
                <w:rFonts w:hint="eastAsia" w:ascii="宋体" w:eastAsia="宋体" w:cs="宋体"/>
                <w:kern w:val="0"/>
                <w:sz w:val="21"/>
                <w:szCs w:val="21"/>
                <w:lang w:val="zh-CN" w:eastAsia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20年5月4日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center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20年5月6日</w:t>
            </w:r>
          </w:p>
        </w:tc>
        <w:tc>
          <w:tcPr>
            <w:tcW w:w="2126" w:type="dxa"/>
            <w:vMerge w:val="restart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每日编译、源码、变更请求、可运行产品、测试报告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执行编码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jc w:val="center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20年5月20日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center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20年6月9日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监控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jc w:val="center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20年6月10日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center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20年6月12日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0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管理干系人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jc w:val="center"/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20年6月15日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center"/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20年6月15日</w:t>
            </w:r>
          </w:p>
        </w:tc>
        <w:tc>
          <w:tcPr>
            <w:tcW w:w="2126" w:type="dxa"/>
            <w:vMerge w:val="continue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稳定</w:t>
            </w: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</w:p>
        </w:tc>
        <w:tc>
          <w:tcPr>
            <w:tcW w:w="1658" w:type="dxa"/>
            <w:noWrap w:val="0"/>
            <w:vAlign w:val="top"/>
          </w:tcPr>
          <w:p>
            <w:pPr>
              <w:jc w:val="center"/>
              <w:rPr>
                <w:rFonts w:hint="eastAsia" w:ascii="宋体" w:eastAsia="宋体" w:cs="宋体"/>
                <w:kern w:val="0"/>
                <w:sz w:val="21"/>
                <w:szCs w:val="21"/>
                <w:lang w:val="zh-CN" w:eastAsia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20年6月16日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center"/>
              <w:rPr>
                <w:rFonts w:hint="eastAsia" w:ascii="宋体" w:eastAsia="宋体" w:cs="宋体"/>
                <w:kern w:val="0"/>
                <w:sz w:val="21"/>
                <w:szCs w:val="21"/>
                <w:lang w:val="zh-CN" w:eastAsia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20年6月30日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变更请求、用户手册、部署手册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收尾</w:t>
            </w:r>
          </w:p>
        </w:tc>
        <w:tc>
          <w:tcPr>
            <w:tcW w:w="16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</w:p>
        </w:tc>
        <w:tc>
          <w:tcPr>
            <w:tcW w:w="1658" w:type="dxa"/>
            <w:noWrap w:val="0"/>
            <w:vAlign w:val="top"/>
          </w:tcPr>
          <w:p>
            <w:pPr>
              <w:jc w:val="center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20年7月1日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center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20年7月1日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1"/>
        <w:widowControl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软件需要联网使用，且须用户登录</w:t>
      </w:r>
    </w:p>
    <w:p>
      <w:pPr>
        <w:pStyle w:val="2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>
      <w:pPr>
        <w:pStyle w:val="11"/>
        <w:widowControl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网络良好即可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971"/>
    <w:multiLevelType w:val="multilevel"/>
    <w:tmpl w:val="3A48297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F73F7D"/>
    <w:multiLevelType w:val="multilevel"/>
    <w:tmpl w:val="5FF73F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807E15"/>
    <w:multiLevelType w:val="multilevel"/>
    <w:tmpl w:val="79807E1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04"/>
    <w:rsid w:val="00451687"/>
    <w:rsid w:val="005A6953"/>
    <w:rsid w:val="00B94B1E"/>
    <w:rsid w:val="00F04E04"/>
    <w:rsid w:val="00F42BFA"/>
    <w:rsid w:val="3F0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4">
    <w:name w:val="Title"/>
    <w:basedOn w:val="1"/>
    <w:next w:val="1"/>
    <w:link w:val="8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6">
    <w:name w:val="Table Grid"/>
    <w:basedOn w:val="5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字符"/>
    <w:basedOn w:val="7"/>
    <w:link w:val="4"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9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111</Words>
  <Characters>637</Characters>
  <Lines>5</Lines>
  <Paragraphs>1</Paragraphs>
  <TotalTime>1</TotalTime>
  <ScaleCrop>false</ScaleCrop>
  <LinksUpToDate>false</LinksUpToDate>
  <CharactersWithSpaces>747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2020-04-17T12:11:00Z</dcterms:created>
  <dc:creator>王 欣彤</dc:creator>
  <cp:lastModifiedBy> 026-兰博   </cp:lastModifiedBy>
  <dcterms:modified xsi:type="dcterms:W3CDTF">2020-04-17T12:50:14Z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