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00000001">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START OF FILE 物品/道具提取指令·全风格通用版</w:t>
      </w:r>
      <w:r>
        <w:rPr>
          <w:rFonts w:ascii="Gungsuh" w:hAnsi="Gungsuh" w:eastAsia="Gungsuh" w:cs="Gungsuh"/>
          <w:b w:val="1"/>
          <w:bCs w:val="1"/>
          <w:color w:val="0550ae"/>
          <w:sz w:val="21"/>
          <w:szCs w:val="21"/>
          <w:rtl w:val="0"/>
        </w:rPr>
        <w:t xml:space="preserve"> ---</w:t>
      </w:r>
    </w:p>
    <w:p w14:paraId="00000002">
      <w:pPr>
        <w:rPr>
          <w:rFonts w:ascii="Courier New" w:hAnsi="Courier New" w:eastAsia="Courier New" w:cs="Courier New"/>
          <w:b w:val="1"/>
          <w:bCs w:val="1"/>
          <w:color w:val="0550ae"/>
          <w:sz w:val="21"/>
          <w:szCs w:val="21"/>
        </w:rPr>
      </w:pPr>
    </w:p>
    <w:p w14:paraId="00000003">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模块一：物品/道具提取指令·通用资产去人像版</w:t>
      </w:r>
    </w:p>
    <w:p w14:paraId="00000004">
      <w:pPr>
        <w:rPr>
          <w:rFonts w:ascii="Courier New" w:hAnsi="Courier New" w:eastAsia="Courier New" w:cs="Courier New"/>
          <w:b w:val="1"/>
          <w:bCs w:val="1"/>
          <w:color w:val="0550ae"/>
          <w:sz w:val="21"/>
          <w:szCs w:val="21"/>
        </w:rPr>
      </w:pPr>
    </w:p>
    <w:p w14:paraId="00000005">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根据提供的小说原文、推文文案和故事情节，**系统性提取文中出现的所有具有叙事功能的物品/道具**，输出为JSON数组。</w:t>
      </w:r>
    </w:p>
    <w:p w14:paraId="00000006">
      <w:pPr>
        <w:rPr>
          <w:rFonts w:ascii="Courier New" w:hAnsi="Courier New" w:eastAsia="Courier New" w:cs="Courier New"/>
          <w:b w:val="1"/>
          <w:bCs w:val="1"/>
          <w:color w:val="0550ae"/>
          <w:sz w:val="21"/>
          <w:szCs w:val="21"/>
        </w:rPr>
      </w:pPr>
    </w:p>
    <w:p w14:paraId="00000007">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一、提取范围要求</w:t>
      </w:r>
    </w:p>
    <w:p w14:paraId="00000008">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1. **穷尽性**：不得遗漏任何推动剧情、承载情感、作为线索或具有象征意义的物品（武器、信物、文件、首饰、衣物、食物、道具等）。</w:t>
      </w:r>
    </w:p>
    <w:p w14:paraId="00000009">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2. **去重逻辑**：同一物品在不同物理状态下（如“完好”与“碎裂”）应视为**不同物品状态**分别提取。</w:t>
      </w:r>
    </w:p>
    <w:p w14:paraId="0000000A">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3. **命名规范**：物品名称不少于4个字，格式为「核心物品+关键特征/状态」。</w:t>
      </w:r>
    </w:p>
    <w:p w14:paraId="0000000B">
      <w:pPr>
        <w:rPr>
          <w:rFonts w:ascii="Courier New" w:hAnsi="Courier New" w:eastAsia="Courier New" w:cs="Courier New"/>
          <w:b w:val="1"/>
          <w:bCs w:val="1"/>
          <w:color w:val="0550ae"/>
          <w:sz w:val="21"/>
          <w:szCs w:val="21"/>
        </w:rPr>
      </w:pPr>
    </w:p>
    <w:p w14:paraId="0000000C">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二、字段定义与规范</w:t>
      </w:r>
    </w:p>
    <w:p w14:paraId="0000000D">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字段 | 说明与防人像约束 |</w:t>
      </w:r>
    </w:p>
    <w:p w14:paraId="0000000E">
      <w:pPr>
        <w:rPr>
          <w:rFonts w:ascii="Courier New" w:hAnsi="Courier New" w:eastAsia="Courier New" w:cs="Courier New"/>
          <w:b w:val="1"/>
          <w:bCs w:val="1"/>
          <w:color w:val="0550ae"/>
          <w:sz w:val="21"/>
          <w:szCs w:val="21"/>
        </w:rPr>
      </w:pPr>
      <w:r>
        <w:rPr>
          <w:rFonts w:ascii="Courier New" w:hAnsi="Courier New" w:eastAsia="Courier New" w:cs="Courier New"/>
          <w:b w:val="1"/>
          <w:bCs w:val="1"/>
          <w:color w:val="0550ae"/>
          <w:sz w:val="21"/>
          <w:szCs w:val="21"/>
          <w:rtl w:val="0"/>
        </w:rPr>
        <w:t>| :--- | :--- |</w:t>
      </w:r>
    </w:p>
    <w:p w14:paraId="0000000F">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`name` | 物品全称，不少于4字，格式「物品+特征/状态」。 |</w:t>
      </w:r>
    </w:p>
    <w:p w14:paraId="00000010">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`aliases` | 文中所有代称/别称，用英文逗号分隔。 |</w:t>
      </w:r>
    </w:p>
    <w:p w14:paraId="00000011">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`category` | 物品分类：武器/信物首饰/文件纸张/电子产品/衣物服饰/食物饮品/药品毒物/交通工具/家具陈设/收藏品/日常用品/其他。 |</w:t>
      </w:r>
    </w:p>
    <w:p w14:paraId="00000012">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`material` | 材质构成：主要材质+次要材质。 |</w:t>
      </w:r>
    </w:p>
    <w:p w14:paraId="00000013">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`color` | 主色调：2-3个精确色彩关键词。 |</w:t>
      </w:r>
    </w:p>
    <w:p w14:paraId="00000014">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`size` | **绝对公制尺寸**：严禁出现人体参照词（如“巴掌大、手持”等），必须使用绝对公制数值（如“长30cm, 宽5cm”）。 |</w:t>
      </w:r>
    </w:p>
    <w:p w14:paraId="00000015">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`condition` | 物理状态：全新/完好/轻微磨损/明显旧化/破损/残缺/碎裂。 |</w:t>
      </w:r>
    </w:p>
    <w:p w14:paraId="00000016">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`appearance` | **纯资产外观结构细节**：详细描述几何结构、物理纹理、接缝、材质反光与磨损瑕疵。**严禁包含佩戴、手持等人物动作**。 |</w:t>
      </w:r>
    </w:p>
    <w:p w14:paraId="00000017">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`function` | 物品功能：实际物理功能 + 剧本叙事功能。 |</w:t>
      </w:r>
    </w:p>
    <w:p w14:paraId="00000018">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`symbolism` | 象征/隐喻意义，无则填“无”。 |</w:t>
      </w:r>
    </w:p>
    <w:p w14:paraId="00000019">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`owner` | 归属代称：仅标注身份属性（如“男主”“反派”），**严禁出现人名**。 |</w:t>
      </w:r>
    </w:p>
    <w:p w14:paraId="0000001A">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`scenes` | 出现场景列表：用英文逗号分隔。 |</w:t>
      </w:r>
    </w:p>
    <w:p w14:paraId="0000001B">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`importance` | 重要性评分：1-5分。 |</w:t>
      </w:r>
    </w:p>
    <w:p w14:paraId="0000001C">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`plot_nodes` | 该物品承载的关键剧情节点摘要，**严禁包含人名**。 |</w:t>
      </w:r>
    </w:p>
    <w:p w14:paraId="0000001D">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`description` | **中立视觉概念描述**：整合结构、材质、色彩、光泽与物理细节，置于纯净单一背景上。**严禁包含人体与穿戴交互**。 |</w:t>
      </w:r>
    </w:p>
    <w:p w14:paraId="00000029">
      <w:pPr>
        <w:pStyle w:val="ahf35i"/>
      </w:pPr>
      <w:r>
        <w:rPr>
          <w:rFonts w:hint="eastAsia" w:ascii="Gungsuh" w:hAnsi="Gungsuh" w:eastAsia="Gungsuh" w:cs="Gungsuh"/>
          <w:b w:val="1"/>
          <w:bCs w:val="1"/>
          <w:color w:val="0550ae"/>
          <w:sz w:val="21"/>
          <w:szCs w:val="21"/>
          <w:rtl w:val="0"/>
        </w:rPr>
        <w:t>| `image_prompt` | **AI生图通用提示词**：提炼纯英文提示词，格式为 `[</w:t>
      </w:r>
      <w:r>
        <w:rPr>
          <w:rFonts w:hint="eastAsia" w:ascii="Gungsuh" w:hAnsi="Gungsuh" w:eastAsia="Gungsuh" w:cs="Gungsuh"/>
          <w:b w:val="1"/>
          <w:bCs w:val="1"/>
          <w:color w:val="0550ae"/>
          <w:sz w:val="21"/>
          <w:szCs w:val="21"/>
          <w:rtl w:val="0"/>
        </w:rPr>
        <w:t>Subject &amp; Features], [Material &amp; Details], [Color Palette], [Lighting], {风格英文词}</w:t>
      </w:r>
      <w:r>
        <w:rPr>
          <w:rFonts w:hint="eastAsia" w:ascii="Gungsuh" w:hAnsi="Gungsuh" w:eastAsia="Gungsuh" w:cs="Gungsuh"/>
          <w:b w:val="1"/>
          <w:bCs w:val="1"/>
          <w:color w:val="0550ae"/>
          <w:sz w:val="21"/>
          <w:szCs w:val="21"/>
          <w:rtl w:val="0"/>
        </w:rPr>
        <w:t>, isolated, clean background, asset concept design`。其中 `{风格英文词}` 取 `{{视觉风格}}` 的英文部分，**不单独填写**。</w:t>
      </w:r>
      <w:r>
        <w:rPr>
          <w:rFonts w:ascii="Gungsuh" w:hAnsi="Gungsuh" w:eastAsia="Gungsuh" w:cs="Gungsuh"/>
          <w:b w:val="1"/>
          <w:bCs w:val="1"/>
          <w:color w:val="0550ae"/>
          <w:sz w:val="21"/>
          <w:szCs w:val="21"/>
          <w:rtl w:val="0"/>
        </w:rPr>
        <w:t xml:space="preserve"> |</w:t>
      </w:r>
    </w:p>
    <w:p w14:paraId="0000002A">
      <w:pPr>
        <w:pStyle w:val="ahf35i"/>
        <w:rPr>
          <w:rFonts w:ascii="SimSun" w:hAnsi="SimSun" w:eastAsia="SimSun"/>
          <w:sz w:val="24"/>
          <w:szCs w:val="24"/>
        </w:rPr>
      </w:pPr>
      <w:r>
        <w:rPr>
          <w:rFonts w:hint="eastAsia" w:ascii="SimSun" w:hAnsi="SimSun" w:eastAsia="SimSun"/>
          <w:sz w:val="24"/>
          <w:szCs w:val="24"/>
        </w:rPr>
        <w:t>| `negative_prompt` | **负面提示词（纯英文关键词）**：`human, hands, fingers, body, person, wearing, text, watermark`。平台无关写法：Midjourney 追加 `--no ...`；SD / ComfyUI 填入负面提示词框；即梦 / 可灵填入反向提示词框。 |</w:t>
      </w:r>
    </w:p>
    <w:p w14:paraId="0000001F">
      <w:pPr>
        <w:rPr>
          <w:rFonts w:ascii="Courier New" w:hAnsi="Courier New" w:eastAsia="Courier New" w:cs="Courier New"/>
          <w:b w:val="1"/>
          <w:bCs w:val="1"/>
          <w:color w:val="0550ae"/>
          <w:sz w:val="21"/>
          <w:szCs w:val="21"/>
        </w:rPr>
      </w:pPr>
    </w:p>
    <w:p w14:paraId="00000020">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三、输入信息占位符</w:t>
      </w:r>
    </w:p>
    <w:p w14:paraId="00000021">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`{{小说原文}}`</w:t>
      </w:r>
    </w:p>
    <w:p w14:paraId="00000022">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`{{推文文案}}`</w:t>
      </w:r>
    </w:p>
    <w:p w14:paraId="00000023">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`{{故事情节}}`</w:t>
      </w:r>
    </w:p>
    <w:p w14:paraId="0000002B">
      <w:pPr>
        <w:pStyle w:val="ahf35i"/>
      </w:pPr>
      <w:r>
        <w:rPr>
          <w:rFonts w:hint="eastAsia" w:ascii="Gungsuh" w:hAnsi="Gungsuh" w:eastAsia="Gungsuh" w:cs="Gungsuh"/>
          <w:b w:val="1"/>
          <w:bCs w:val="1"/>
          <w:color w:val="0550ae"/>
          <w:sz w:val="21"/>
          <w:szCs w:val="21"/>
          <w:rtl w:val="0"/>
        </w:rPr>
        <w:t>* `{{视觉风格}}</w:t>
      </w:r>
      <w:r>
        <w:rPr>
          <w:rFonts w:hint="eastAsia" w:ascii="Gungsuh" w:hAnsi="Gungsuh" w:eastAsia="Gungsuh" w:cs="Gungsuh"/>
          <w:b w:val="1"/>
          <w:bCs w:val="1"/>
          <w:color w:val="0550ae"/>
          <w:sz w:val="21"/>
          <w:szCs w:val="21"/>
          <w:rtl w:val="0"/>
        </w:rPr>
        <w:t>`（中文口径 / English keywords，例：`写实真人实拍 / Photorealistic live-action, cinematic, desaturated cool palette`；`二次元现代动漫 / Anime style, cel shading, clean lineart`。若未指定，则依据作品题材与故事调性自动适配）</w:t>
      </w:r>
    </w:p>
    <w:p w14:paraId="0000002C">
      <w:pPr>
        <w:pStyle w:val="ahf35i"/>
        <w:rPr>
          <w:rFonts w:ascii="SimSun" w:hAnsi="SimSun" w:eastAsia="SimSun"/>
          <w:sz w:val="24"/>
          <w:szCs w:val="24"/>
        </w:rPr>
      </w:pPr>
      <w:r>
        <w:rPr>
          <w:rFonts w:hint="eastAsia" w:ascii="SimSun" w:hAnsi="SimSun" w:eastAsia="SimSun"/>
          <w:sz w:val="24"/>
          <w:szCs w:val="24"/>
        </w:rPr>
        <w:t>&gt; **风格中立原则（全风格通用版）**：本模板不预设任何画风。所有风格相关描述（材质反光、色彩倾向、光影质感）只写视觉上客观成立的内容，严禁写死具体画风词汇（如“赛璐璐上色”“动漫大眼”，或“毛孔级真实”“棚拍布光”）。生成提示词时由 `{{视觉风格}}` 统一注入；格式串中的 `{风格英文词}` 一律取其英文部分。</w:t>
      </w:r>
    </w:p>
    <w:p w14:paraId="00000025">
      <w:pPr>
        <w:rPr>
          <w:rFonts w:ascii="Courier New" w:hAnsi="Courier New" w:eastAsia="Courier New" w:cs="Courier New"/>
          <w:b w:val="1"/>
          <w:bCs w:val="1"/>
          <w:color w:val="0550ae"/>
          <w:sz w:val="21"/>
          <w:szCs w:val="21"/>
        </w:rPr>
      </w:pPr>
    </w:p>
    <w:p w14:paraId="00000026">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 四、输出要求</w:t>
      </w:r>
    </w:p>
    <w:p w14:paraId="00000027">
      <w:pPr>
        <w:rPr>
          <w:rFonts w:ascii="Courier New" w:hAnsi="Courier New" w:eastAsia="Courier New" w:cs="Courier New"/>
          <w:b w:val="1"/>
          <w:bCs w:val="1"/>
          <w:color w:val="0550ae"/>
          <w:sz w:val="21"/>
          <w:szCs w:val="21"/>
        </w:rPr>
      </w:pPr>
      <w:r>
        <w:rPr>
          <w:rFonts w:hint="eastAsia" w:ascii="Gungsuh" w:hAnsi="Gungsuh" w:eastAsia="Gungsuh" w:cs="Gungsuh"/>
          <w:b w:val="1"/>
          <w:bCs w:val="1"/>
          <w:color w:val="0550ae"/>
          <w:sz w:val="21"/>
          <w:szCs w:val="21"/>
          <w:rtl w:val="0"/>
        </w:rPr>
        <w:t>1. 按 `importance` 评分从高到低排序。</w:t>
      </w:r>
    </w:p>
    <w:p w14:paraId="0000002D">
      <w:pPr>
        <w:pStyle w:val="ahf35i"/>
      </w:pPr>
      <w:r>
        <w:rPr>
          <w:rFonts w:hint="eastAsia" w:ascii="Gungsuh" w:hAnsi="Gungsuh" w:eastAsia="Gungsuh" w:cs="Gungsuh"/>
          <w:b w:val="1"/>
          <w:bCs w:val="1"/>
          <w:color w:val="0550ae"/>
          <w:sz w:val="21"/>
          <w:szCs w:val="21"/>
          <w:rtl w:val="0"/>
        </w:rPr>
        <w:t>2. 仅输出合规的 JSON 代码块，包裹在 `json` 中，不得包含任何导言与额外文字。</w:t>
      </w:r>
    </w:p>
    <w:p w14:paraId="0000002E">
      <w:pPr>
        <w:pStyle w:val="ahf35i"/>
        <w:rPr>
          <w:rFonts w:ascii="SimSun" w:hAnsi="SimSun" w:eastAsia="SimSun"/>
          <w:sz w:val="24"/>
          <w:szCs w:val="24"/>
        </w:rPr>
      </w:pPr>
      <w:r>
        <w:rPr>
          <w:rFonts w:hint="eastAsia" w:ascii="SimSun" w:hAnsi="SimSun" w:eastAsia="SimSun"/>
          <w:sz w:val="24"/>
          <w:szCs w:val="24"/>
        </w:rPr>
        <w:t>### 五、标准输出样例</w:t>
      </w:r>
    </w:p>
    <w:p w14:paraId="0000002F">
      <w:pPr>
        <w:pStyle w:val="ahf35i"/>
        <w:rPr>
          <w:rFonts w:ascii="SimSun" w:hAnsi="SimSun" w:eastAsia="SimSun"/>
          <w:sz w:val="24"/>
          <w:szCs w:val="24"/>
        </w:rPr>
      </w:pPr>
      <w:r>
        <w:rPr>
          <w:rFonts w:hint="eastAsia" w:ascii="SimSun" w:hAnsi="SimSun" w:eastAsia="SimSun"/>
          <w:sz w:val="24"/>
          <w:szCs w:val="24"/>
        </w:rPr>
        <w:t>以下两个样例使用的物品完全相同，**仅 `{{视觉风格}}` 风格位不同**，用于示范该风格位的可替换性；实际输出必须以传入的 `{{视觉风格}}` 为准，不得照抄任一例的画风。</w:t>
      </w:r>
    </w:p>
    <w:p w14:paraId="00000030">
      <w:pPr>
        <w:pStyle w:val="ahf35i"/>
        <w:rPr>
          <w:rFonts w:ascii="SimSun" w:hAnsi="SimSun" w:eastAsia="SimSun"/>
          <w:sz w:val="24"/>
          <w:szCs w:val="24"/>
        </w:rPr>
      </w:pPr>
      <w:r>
        <w:rPr>
          <w:rFonts w:hint="eastAsia" w:ascii="SimSun" w:hAnsi="SimSun" w:eastAsia="SimSun"/>
          <w:sz w:val="24"/>
          <w:szCs w:val="24"/>
        </w:rPr>
        <w:t>【写实版】[{"name":"深墨绿色工装夹克","aliases":"工装外套,夹克","category":"衣物服饰","material":"主要材质为厚实棉质帆布，次要材质为氧化黄铜拉链头与皮质袖口包边","color":"深墨绿,炭黑,黄铜色","size":"衣长约72cm，肩宽约48cm，袖长约62cm","condition":"明显旧化","appearance":"立领结构，前襟为黄铜双头拉链，左右胸各有一处带按扣的贴袋；左臂外侧缝有矩形魔术贴位；面料可见经纬织纹与多处折痕磨白，肘部起毛，拉链齿氧化发暗。","function":"物理功能为防风御寒的外穿衣物；叙事功能为标记角色的海上作业身份与拮据生活状态","symbolism":"无","owner":"男主","scenes":"渔港码头,老旧仓库","importance":4,"plot_nodes":"角色首次出场时穿着；后在同一场景脱下水浸湿","description":"深墨绿色厚棉帆布工装夹克，立领与黄铜双头拉链结构，胸前按扣贴袋，面料呈明显旧化与折痕磨白，金属件氧化发暗，置于纯净单一背景上。","image_prompt":"A worn dark forest-green cotton canvas work jacket, stand collar, brass two-way zipper, chest flap pockets, frayed elbows, oxidized metal hardware, deep desaturated green with charcoal and brass accents, soft overcast window light from camera left, Photorealistic live-action, cinematic, desaturated cool palette, isolated, clean background, asset concept design","negative_prompt":"human, hands, fingers, body, person, wearing, text, watermark"}]</w:t>
      </w:r>
    </w:p>
    <w:p w14:paraId="00000031">
      <w:pPr>
        <w:pStyle w:val="ahf35i"/>
        <w:rPr>
          <w:rFonts w:ascii="SimSun" w:hAnsi="SimSun" w:eastAsia="SimSun"/>
          <w:sz w:val="24"/>
          <w:szCs w:val="24"/>
        </w:rPr>
      </w:pPr>
      <w:r>
        <w:rPr>
          <w:rFonts w:hint="eastAsia" w:ascii="SimSun" w:hAnsi="SimSun" w:eastAsia="SimSun"/>
          <w:sz w:val="24"/>
          <w:szCs w:val="24"/>
        </w:rPr>
        <w:t>【动漫版】[{"name":"深墨绿色工装夹克","aliases":"工装外套,夹克","category":"衣物服饰","material":"主要材质为厚实棉质帆布，次要材质为氧化黄铜拉链头与皮质袖口包边","color":"深墨绿,炭黑,黄铜色","size":"衣长约72cm，肩宽约48cm，袖长约62cm","condition":"明显旧化","appearance":"立领结构，前襟为黄铜双头拉链，左右胸各有一处带按扣的贴袋；左臂外侧缝有矩形魔术贴位；面料可见经纬织纹与多处折痕磨白，肘部起毛，拉链齿氧化发暗。","function":"物理功能为防风御寒的外穿衣物；叙事功能为标记角色的海上作业身份与拮据生活状态","symbolism":"无","owner":"男主","scenes":"渔港码头,老旧仓库","importance":4,"plot_nodes":"角色首次出场时穿着；后在同一场景脱下水浸湿","description":"深墨绿色厚棉帆布工装夹克，立领与黄铜双头拉链结构，胸前按扣贴袋，面料呈明显旧化与折痕磨白，金属件氧化发暗，置于纯净单一背景上。","image_prompt":"A worn dark forest-green cotton canvas work jacket, stand collar, brass two-way zipper, chest flap pockets, frayed elbows, oxidized metal hardware, deep desaturated green with charcoal and brass accents, soft overcast window light from camera left, Anime style, cel shading, clean lineart, isolated, clean background, asset concept design","negative_prompt":"human, hands, fingers, body, person, wearing, text, watermark"}]</w:t>
      </w:r>
    </w:p>
    <w:p w14:paraId="00000032">
      <w:pPr>
        <w:pStyle w:val="ahf35i"/>
        <w:rPr>
          <w:rFonts w:ascii="SimSun" w:hAnsi="SimSun" w:eastAsia="SimSun"/>
          <w:sz w:val="24"/>
          <w:szCs w:val="24"/>
        </w:rPr>
      </w:pPr>
      <w:r>
        <w:rPr>
          <w:rFonts w:hint="eastAsia" w:ascii="SimSun" w:hAnsi="SimSun" w:eastAsia="SimSun"/>
          <w:sz w:val="24"/>
          <w:szCs w:val="24"/>
        </w:rPr>
        <w:t>### 六、运行与自查清单</w:t>
      </w:r>
    </w:p>
    <w:p w14:paraId="00000033">
      <w:pPr>
        <w:pStyle w:val="ahf35i"/>
        <w:rPr>
          <w:rFonts w:ascii="SimSun" w:hAnsi="SimSun" w:eastAsia="SimSun"/>
          <w:sz w:val="24"/>
          <w:szCs w:val="24"/>
        </w:rPr>
      </w:pPr>
      <w:r>
        <w:rPr>
          <w:rFonts w:hint="eastAsia" w:ascii="SimSun" w:hAnsi="SimSun" w:eastAsia="SimSun"/>
          <w:sz w:val="24"/>
          <w:szCs w:val="24"/>
        </w:rPr>
        <w:t>输出前必须自查：</w:t>
      </w:r>
    </w:p>
    <w:p w14:paraId="00000034">
      <w:pPr>
        <w:pStyle w:val="ahf35i"/>
        <w:rPr>
          <w:rFonts w:ascii="SimSun" w:hAnsi="SimSun" w:eastAsia="SimSun"/>
          <w:sz w:val="24"/>
          <w:szCs w:val="24"/>
        </w:rPr>
      </w:pPr>
      <w:r>
        <w:rPr>
          <w:rFonts w:hint="eastAsia" w:ascii="SimSun" w:hAnsi="SimSun" w:eastAsia="SimSun"/>
          <w:sz w:val="24"/>
          <w:szCs w:val="24"/>
        </w:rPr>
        <w:t>1. **穷尽性自查**：是否遗漏推动剧情、承载情感或作为线索的物品？同一物品的不同物理状态是否已拆分为不同条目？</w:t>
      </w:r>
    </w:p>
    <w:p w14:paraId="00000035">
      <w:pPr>
        <w:pStyle w:val="ahf35i"/>
        <w:rPr>
          <w:rFonts w:ascii="SimSun" w:hAnsi="SimSun" w:eastAsia="SimSun"/>
          <w:sz w:val="24"/>
          <w:szCs w:val="24"/>
        </w:rPr>
      </w:pPr>
      <w:r>
        <w:rPr>
          <w:rFonts w:hint="eastAsia" w:ascii="SimSun" w:hAnsi="SimSun" w:eastAsia="SimSun"/>
          <w:sz w:val="24"/>
          <w:szCs w:val="24"/>
        </w:rPr>
        <w:t>2. **去人像自查**：`appearance`／`description` 是否彻底排除了人体、佩戴与手持交互？`owner`／`plot_nodes` 是否只写身份代称、未出现人名？</w:t>
      </w:r>
    </w:p>
    <w:p w14:paraId="00000036">
      <w:pPr>
        <w:pStyle w:val="ahf35i"/>
        <w:rPr>
          <w:rFonts w:ascii="SimSun" w:hAnsi="SimSun" w:eastAsia="SimSun"/>
          <w:sz w:val="24"/>
          <w:szCs w:val="24"/>
        </w:rPr>
      </w:pPr>
      <w:r>
        <w:rPr>
          <w:rFonts w:hint="eastAsia" w:ascii="SimSun" w:hAnsi="SimSun" w:eastAsia="SimSun"/>
          <w:sz w:val="24"/>
          <w:szCs w:val="24"/>
        </w:rPr>
        <w:t>3. **尺寸自查**：`size` 是否只使用绝对公制数值，未出现“巴掌大”“手持”等人体参照词？</w:t>
      </w:r>
    </w:p>
    <w:p w14:paraId="00000037">
      <w:pPr>
        <w:pStyle w:val="ahf35i"/>
        <w:rPr>
          <w:rFonts w:ascii="SimSun" w:hAnsi="SimSun" w:eastAsia="SimSun"/>
          <w:sz w:val="24"/>
          <w:szCs w:val="24"/>
        </w:rPr>
      </w:pPr>
      <w:r>
        <w:rPr>
          <w:rFonts w:hint="eastAsia" w:ascii="SimSun" w:hAnsi="SimSun" w:eastAsia="SimSun"/>
          <w:sz w:val="24"/>
          <w:szCs w:val="24"/>
        </w:rPr>
        <w:t>4. **风格解耦自查**：是否没有写死任何具体画风词汇，且所有风格相关描述均能随 `{{视觉风格}}` 灵活适配？`{风格英文词}` 是否与 `{{视觉风格}}` 的英文部分一致？</w:t>
      </w:r>
    </w:p>
    <w:p w14:paraId="00000028">
      <w:pPr>
        <w:rPr>
          <w:rFonts w:ascii="Courier New" w:hAnsi="Courier New" w:eastAsia="Courier New" w:cs="Courier New"/>
          <w:b w:val="1"/>
          <w:bCs w:val="1"/>
          <w:color w:val="0550ae"/>
          <w:sz w:val="21"/>
          <w:szCs w:val="21"/>
        </w:rPr>
      </w:pPr>
    </w:p>
    <w:sectPr>
      <w:pgSz w:w="11909" w:h="16834" w:orient="portrait"/>
      <w:pgMar w:top="1440" w:right="1440" w:bottom="1440" w:left="1440" w:header="720" w:footer="720"/>
      <w:pgNumType w:start="1"/>
    </w:sectPr>
  </w:body>
</w:document>
</file>

<file path=word/fontTable.xml><?xml version="1.0" encoding="utf-8"?>
<w:fonts xmlns:w="http://schemas.openxmlformats.org/wordprocessingml/2006/main">
  <w:font w:name="Arial"/>
  <w:font w:name="Courier New"/>
  <w:font w:name="Gungsuh"/>
</w:fonts>
</file>

<file path=word/settings.xml><?xml version="1.0" encoding="utf-8"?>
<w:settings xmlns:w="http://schemas.openxmlformats.org/wordprocessingml/2006/main">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eastAsia="Arial" w:cs="Arial"/>
        <w:sz w:val="22"/>
        <w:szCs w:val="22"/>
        <w:lang w:val="zh_CN"/>
      </w:rPr>
    </w:rPrDefault>
    <w:pPrDefault>
      <w:pPr>
        <w:spacing w:line="276" w:lineRule="auto"/>
      </w:pPr>
    </w:pPrDefault>
  </w:docDefaults>
  <w:style w:type="paragraph" w:styleId="000008">
    <w:name w:val="heading 6"/>
    <w:basedOn w:val="000002"/>
    <w:next w:val="000002"/>
    <w:pPr>
      <w:keepNext w:val="1"/>
      <w:keepLines w:val="1"/>
      <w:pageBreakBefore w:val="0"/>
      <w:spacing w:before="240" w:after="80" w:lineRule="auto"/>
    </w:pPr>
    <w:rPr>
      <w:i w:val="1"/>
      <w:iCs w:val="1"/>
      <w:color w:val="666666"/>
      <w:sz w:val="22"/>
      <w:szCs w:val="22"/>
    </w:rPr>
  </w:style>
  <w:style w:type="paragraph" w:styleId="000009">
    <w:name w:val="Title"/>
    <w:basedOn w:val="000002"/>
    <w:next w:val="000002"/>
    <w:pPr>
      <w:keepNext w:val="1"/>
      <w:keepLines w:val="1"/>
      <w:pageBreakBefore w:val="0"/>
      <w:spacing w:before="0" w:after="60" w:lineRule="auto"/>
    </w:pPr>
    <w:rPr>
      <w:sz w:val="52"/>
      <w:szCs w:val="52"/>
    </w:rPr>
  </w:style>
  <w:style w:type="paragraph" w:styleId="000002" w:default="1">
    <w:name w:val="normal"/>
  </w:style>
  <w:style w:type="paragraph" w:styleId="000006">
    <w:name w:val="heading 4"/>
    <w:basedOn w:val="000002"/>
    <w:next w:val="000002"/>
    <w:pPr>
      <w:keepNext w:val="1"/>
      <w:keepLines w:val="1"/>
      <w:pageBreakBefore w:val="0"/>
      <w:spacing w:before="280" w:after="80" w:lineRule="auto"/>
    </w:pPr>
    <w:rPr>
      <w:color w:val="666666"/>
      <w:sz w:val="24"/>
      <w:szCs w:val="24"/>
    </w:rPr>
  </w:style>
  <w:style w:type="paragraph" w:styleId="ahf35i" w:default="1">
    <w:name w:val="Normal"/>
    <w:pPr>
      <w:widowControl w:val="0"/>
      <w:jc w:val="left"/>
    </w:pPr>
  </w:style>
  <w:style w:type="paragraph" w:styleId="00000a">
    <w:name w:val="Subtitle"/>
    <w:basedOn w:val="000002"/>
    <w:next w:val="000002"/>
    <w:pPr>
      <w:keepNext w:val="1"/>
      <w:keepLines w:val="1"/>
      <w:pageBreakBefore w:val="0"/>
      <w:spacing w:before="0" w:after="320" w:lineRule="auto"/>
    </w:pPr>
    <w:rPr>
      <w:rFonts w:ascii="Arial" w:hAnsi="Arial" w:eastAsia="Arial" w:cs="Arial"/>
      <w:i w:val="0"/>
      <w:iCs w:val="0"/>
      <w:color w:val="666666"/>
      <w:sz w:val="30"/>
      <w:szCs w:val="30"/>
    </w:rPr>
  </w:style>
  <w:style w:type="paragraph" w:styleId="000007">
    <w:name w:val="heading 5"/>
    <w:basedOn w:val="000002"/>
    <w:next w:val="000002"/>
    <w:pPr>
      <w:keepNext w:val="1"/>
      <w:keepLines w:val="1"/>
      <w:pageBreakBefore w:val="0"/>
      <w:spacing w:before="240" w:after="80" w:lineRule="auto"/>
    </w:pPr>
    <w:rPr>
      <w:color w:val="666666"/>
      <w:sz w:val="22"/>
      <w:szCs w:val="22"/>
    </w:rPr>
  </w:style>
  <w:style w:type="paragraph" w:styleId="000003">
    <w:name w:val="heading 1"/>
    <w:basedOn w:val="000002"/>
    <w:next w:val="000002"/>
    <w:pPr>
      <w:keepNext w:val="1"/>
      <w:keepLines w:val="1"/>
      <w:pageBreakBefore w:val="0"/>
      <w:spacing w:before="400" w:after="120" w:lineRule="auto"/>
    </w:pPr>
    <w:rPr>
      <w:sz w:val="40"/>
      <w:szCs w:val="40"/>
    </w:rPr>
  </w:style>
  <w:style w:type="paragraph" w:styleId="000004">
    <w:name w:val="heading 2"/>
    <w:basedOn w:val="000002"/>
    <w:next w:val="000002"/>
    <w:pPr>
      <w:keepNext w:val="1"/>
      <w:keepLines w:val="1"/>
      <w:pageBreakBefore w:val="0"/>
      <w:spacing w:before="360" w:after="120" w:lineRule="auto"/>
    </w:pPr>
    <w:rPr>
      <w:b w:val="0"/>
      <w:bCs w:val="0"/>
      <w:sz w:val="32"/>
      <w:szCs w:val="32"/>
    </w:rPr>
  </w:style>
  <w:style w:type="paragraph" w:styleId="000005">
    <w:name w:val="heading 3"/>
    <w:basedOn w:val="000002"/>
    <w:next w:val="000002"/>
    <w:pPr>
      <w:keepNext w:val="1"/>
      <w:keepLines w:val="1"/>
      <w:pageBreakBefore w:val="0"/>
      <w:spacing w:before="320" w:after="80" w:lineRule="auto"/>
    </w:pPr>
    <w:rPr>
      <w:b w:val="0"/>
      <w:bCs w:val="0"/>
      <w:color w:val="434343"/>
      <w:sz w:val="28"/>
      <w:szCs w:val="28"/>
    </w:rPr>
  </w:style>
  <w:style w:type="table" w:styleId="000001" w:default="1">
    <w:name w:val="TableNormal"/>
    <w:tblPr>
      <w:tblCellMar>
        <w:top w:w="100" w:type="dxa"/>
        <w:left w:w="100" w:type="dxa"/>
        <w:bottom w:w="100" w:type="dxa"/>
        <w:right w:w="100" w:type="dxa"/>
      </w:tblCellMar>
    </w:tbl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2026-09-22T15:15:50Z</dcterms:created>
  <dcterms:modified xsi:type="dcterms:W3CDTF">2026-09-22T15:15:50Z</dcterms:modified>
</cp:coreProperties>
</file>