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Создаем функцию шифрования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63561"/>
            <wp:effectExtent b="0" l="0" r="0" t="0"/>
            <wp:docPr descr="Figure 1: 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Функция шифрования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Введем данные из условия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827517"/>
            <wp:effectExtent b="0" l="0" r="0" t="0"/>
            <wp:docPr descr="Figure 2: Данные из условия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Данные из условия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Зашифруем текст с помощью ключа К. Создадим последовательность, с помощью которой будем расшифровывать текст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4064000" cy="1181100"/>
            <wp:effectExtent b="0" l="0" r="0" t="0"/>
            <wp:docPr descr="Figure 3: Шиф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Шифрование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Передадим ее в функцию шифрования вместе с зашифрованным текстом. Запустим программу и получим результат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2257149"/>
            <wp:effectExtent b="0" l="0" r="0" t="0"/>
            <wp:docPr descr="Figure 4: Результат выполнения программы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Результат выполнения программы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8" w:name="refs"/>
    <w:bookmarkStart w:id="35" w:name="ref-encryption"/>
    <w:p>
      <w:pPr>
        <w:pStyle w:val="Bibliography"/>
      </w:pPr>
      <w:r>
        <w:t xml:space="preserve">1. Шифрование информации: как защитить свои данные 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https://gb.ru/blog/shifrovanie-informatsii/</w:t>
        </w:r>
      </w:hyperlink>
      <w:r>
        <w:t xml:space="preserve">.</w:t>
      </w:r>
    </w:p>
    <w:bookmarkEnd w:id="35"/>
    <w:bookmarkStart w:id="37" w:name="ref-gamma"/>
    <w:p>
      <w:pPr>
        <w:pStyle w:val="Bibliography"/>
      </w:pPr>
      <w:r>
        <w:t xml:space="preserve">2. Гаммирование 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https://science.fandom.com/ru/wiki/%D0%93%D0%B0%D0%BC%D0%BC%D0%B8%D1%80%D0%BE%D0%B2%D0%B0%D0%BD%D0%B8%D0%B5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Ван И</dc:creator>
  <dc:language>ru-RU</dc:language>
  <cp:keywords/>
  <dcterms:created xsi:type="dcterms:W3CDTF">2023-10-28T19:55:43Z</dcterms:created>
  <dcterms:modified xsi:type="dcterms:W3CDTF">2023-10-28T19:55:43Z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