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6CCC0" w14:textId="77777777" w:rsidR="00064E7D" w:rsidRDefault="00043D9F" w:rsidP="00251CD6">
      <w:pPr>
        <w:jc w:val="center"/>
        <w:rPr>
          <w:b/>
          <w:bCs/>
          <w:sz w:val="28"/>
          <w:szCs w:val="32"/>
        </w:rPr>
      </w:pPr>
      <w:r w:rsidRPr="00043D9F">
        <w:rPr>
          <w:b/>
          <w:bCs/>
          <w:sz w:val="28"/>
          <w:szCs w:val="32"/>
        </w:rPr>
        <w:t>Literature Reading Report</w:t>
      </w:r>
      <w:r w:rsidRPr="00043D9F">
        <w:rPr>
          <w:rFonts w:hint="eastAsia"/>
          <w:b/>
          <w:bCs/>
          <w:sz w:val="28"/>
          <w:szCs w:val="32"/>
        </w:rPr>
        <w:t>:</w:t>
      </w:r>
      <w:r w:rsidRPr="00043D9F">
        <w:rPr>
          <w:b/>
          <w:bCs/>
          <w:sz w:val="28"/>
          <w:szCs w:val="32"/>
        </w:rPr>
        <w:t xml:space="preserve"> </w:t>
      </w:r>
      <w:r w:rsidRPr="00043D9F">
        <w:rPr>
          <w:b/>
          <w:bCs/>
          <w:sz w:val="28"/>
          <w:szCs w:val="32"/>
        </w:rPr>
        <w:t>Gradual Reduction of Sugar in Soft Drinks Without Substitution as a Strategy to Reduce Overweight, Obesity, and Type 2 Diabetes: A Modelling Study</w:t>
      </w:r>
    </w:p>
    <w:p w14:paraId="7389B119" w14:textId="77777777" w:rsidR="00043D9F" w:rsidRPr="00567B7E" w:rsidRDefault="00567B7E" w:rsidP="00567B7E">
      <w:pPr>
        <w:jc w:val="center"/>
        <w:rPr>
          <w:rFonts w:hint="eastAsia"/>
        </w:rPr>
      </w:pPr>
      <w:r w:rsidRPr="00567B7E">
        <w:rPr>
          <w:rFonts w:hint="eastAsia"/>
        </w:rPr>
        <w:t>H</w:t>
      </w:r>
      <w:r w:rsidRPr="00567B7E">
        <w:t>ui Chen</w:t>
      </w:r>
    </w:p>
    <w:p w14:paraId="045BF3A3" w14:textId="77777777" w:rsidR="00043D9F" w:rsidRPr="00043D9F" w:rsidRDefault="00043D9F" w:rsidP="00043D9F">
      <w:pPr>
        <w:rPr>
          <w:rFonts w:hint="eastAsia"/>
          <w:b/>
          <w:bCs/>
          <w:sz w:val="24"/>
          <w:szCs w:val="28"/>
        </w:rPr>
      </w:pPr>
      <w:r w:rsidRPr="00043D9F">
        <w:rPr>
          <w:rFonts w:hint="eastAsia"/>
          <w:b/>
          <w:bCs/>
          <w:sz w:val="24"/>
          <w:szCs w:val="28"/>
        </w:rPr>
        <w:t>B</w:t>
      </w:r>
      <w:r w:rsidRPr="00043D9F">
        <w:rPr>
          <w:b/>
          <w:bCs/>
          <w:sz w:val="24"/>
          <w:szCs w:val="28"/>
        </w:rPr>
        <w:t>ASIC INFORMATION</w:t>
      </w:r>
    </w:p>
    <w:p w14:paraId="569E68E3" w14:textId="77777777" w:rsidR="00043D9F" w:rsidRPr="00043D9F" w:rsidRDefault="00043D9F" w:rsidP="00043D9F">
      <w:r w:rsidRPr="00043D9F">
        <w:rPr>
          <w:rFonts w:hint="eastAsia"/>
          <w:b/>
          <w:bCs/>
          <w:u w:val="single"/>
        </w:rPr>
        <w:t>J</w:t>
      </w:r>
      <w:r w:rsidRPr="00043D9F">
        <w:rPr>
          <w:b/>
          <w:bCs/>
          <w:u w:val="single"/>
        </w:rPr>
        <w:t>OURNAL</w:t>
      </w:r>
      <w:r w:rsidRPr="00043D9F">
        <w:t xml:space="preserve"> </w:t>
      </w:r>
      <w:r w:rsidRPr="00043D9F">
        <w:t xml:space="preserve">Lancet Diabetes </w:t>
      </w:r>
      <w:r w:rsidR="00EF68DB">
        <w:t xml:space="preserve">&amp; </w:t>
      </w:r>
      <w:r w:rsidRPr="00043D9F">
        <w:t>Endocrinol</w:t>
      </w:r>
      <w:r>
        <w:t xml:space="preserve"> (</w:t>
      </w:r>
      <w:r w:rsidRPr="00043D9F">
        <w:t>CiteScore</w:t>
      </w:r>
      <w:r w:rsidRPr="00043D9F">
        <w:t xml:space="preserve"> </w:t>
      </w:r>
      <w:r w:rsidRPr="00043D9F">
        <w:t>6.39</w:t>
      </w:r>
      <w:r>
        <w:t xml:space="preserve">, </w:t>
      </w:r>
      <w:r w:rsidRPr="00043D9F">
        <w:t>Impact Factor 24.54</w:t>
      </w:r>
      <w:r>
        <w:t>)</w:t>
      </w:r>
    </w:p>
    <w:p w14:paraId="162AC0E8" w14:textId="77777777" w:rsidR="00043D9F" w:rsidRPr="00043D9F" w:rsidRDefault="00043D9F" w:rsidP="00043D9F">
      <w:r w:rsidRPr="00043D9F">
        <w:rPr>
          <w:rFonts w:hint="eastAsia"/>
          <w:b/>
          <w:bCs/>
          <w:u w:val="single"/>
        </w:rPr>
        <w:t>T</w:t>
      </w:r>
      <w:r w:rsidRPr="00043D9F">
        <w:rPr>
          <w:b/>
          <w:bCs/>
          <w:u w:val="single"/>
        </w:rPr>
        <w:t>IME</w:t>
      </w:r>
      <w:r w:rsidRPr="00EF68DB">
        <w:rPr>
          <w:b/>
          <w:bCs/>
        </w:rPr>
        <w:t xml:space="preserve"> </w:t>
      </w:r>
      <w:r w:rsidRPr="00043D9F">
        <w:t xml:space="preserve">Feb. </w:t>
      </w:r>
      <w:r w:rsidRPr="00043D9F">
        <w:t>2016</w:t>
      </w:r>
    </w:p>
    <w:p w14:paraId="0137421A" w14:textId="77777777" w:rsidR="00043D9F" w:rsidRPr="00043D9F" w:rsidRDefault="00043D9F" w:rsidP="00043D9F">
      <w:r w:rsidRPr="00043D9F">
        <w:rPr>
          <w:b/>
          <w:bCs/>
          <w:u w:val="single"/>
        </w:rPr>
        <w:t>DOI</w:t>
      </w:r>
      <w:r w:rsidRPr="00043D9F">
        <w:t xml:space="preserve"> </w:t>
      </w:r>
      <w:r w:rsidRPr="00043D9F">
        <w:t>10.1016/S2213-8587(15)00477-5</w:t>
      </w:r>
    </w:p>
    <w:p w14:paraId="3FEF8D4D" w14:textId="77777777" w:rsidR="00043D9F" w:rsidRPr="00043D9F" w:rsidRDefault="00043D9F" w:rsidP="00043D9F">
      <w:r w:rsidRPr="00043D9F">
        <w:rPr>
          <w:rFonts w:hint="eastAsia"/>
          <w:b/>
          <w:bCs/>
          <w:u w:val="single"/>
        </w:rPr>
        <w:t>A</w:t>
      </w:r>
      <w:r w:rsidRPr="00043D9F">
        <w:rPr>
          <w:b/>
          <w:bCs/>
          <w:u w:val="single"/>
        </w:rPr>
        <w:t>UTHORS</w:t>
      </w:r>
      <w:r w:rsidRPr="00043D9F">
        <w:t xml:space="preserve"> </w:t>
      </w:r>
      <w:r w:rsidRPr="00043D9F">
        <w:t>Yuan Ma</w:t>
      </w:r>
      <w:r w:rsidRPr="00043D9F">
        <w:t xml:space="preserve">, </w:t>
      </w:r>
      <w:r w:rsidRPr="00043D9F">
        <w:t>Feng J He</w:t>
      </w:r>
      <w:r w:rsidRPr="00043D9F">
        <w:t xml:space="preserve">, </w:t>
      </w:r>
      <w:r w:rsidRPr="00043D9F">
        <w:t>Kawther M Hashem, Yunjian Yin</w:t>
      </w:r>
      <w:r w:rsidRPr="00043D9F">
        <w:t>,</w:t>
      </w:r>
      <w:r w:rsidRPr="00043D9F">
        <w:t xml:space="preserve"> Graham A MacGregor</w:t>
      </w:r>
    </w:p>
    <w:p w14:paraId="640CA31B" w14:textId="77777777" w:rsidR="00043D9F" w:rsidRPr="00043D9F" w:rsidRDefault="00043D9F" w:rsidP="00043D9F">
      <w:r w:rsidRPr="00043D9F">
        <w:rPr>
          <w:b/>
          <w:bCs/>
          <w:u w:val="single"/>
        </w:rPr>
        <w:t>AFFILIATIONS</w:t>
      </w:r>
      <w:r w:rsidRPr="00043D9F">
        <w:t xml:space="preserve"> </w:t>
      </w:r>
      <w:r w:rsidRPr="00043D9F">
        <w:t>Queen Mary University of London</w:t>
      </w:r>
      <w:r w:rsidRPr="00043D9F">
        <w:t>, Peking University</w:t>
      </w:r>
    </w:p>
    <w:p w14:paraId="53DA29D6" w14:textId="77777777" w:rsidR="00043D9F" w:rsidRDefault="00043D9F" w:rsidP="00043D9F">
      <w:pPr>
        <w:rPr>
          <w:sz w:val="22"/>
          <w:szCs w:val="24"/>
        </w:rPr>
      </w:pPr>
    </w:p>
    <w:p w14:paraId="7383C736" w14:textId="77777777" w:rsidR="00043D9F" w:rsidRPr="009E7B22" w:rsidRDefault="009E7B22" w:rsidP="00043D9F">
      <w:pPr>
        <w:rPr>
          <w:b/>
          <w:bCs/>
          <w:sz w:val="24"/>
          <w:szCs w:val="28"/>
        </w:rPr>
      </w:pPr>
      <w:r w:rsidRPr="009E7B22">
        <w:rPr>
          <w:rFonts w:hint="eastAsia"/>
          <w:b/>
          <w:bCs/>
          <w:sz w:val="24"/>
          <w:szCs w:val="28"/>
        </w:rPr>
        <w:t>M</w:t>
      </w:r>
      <w:r w:rsidRPr="009E7B22">
        <w:rPr>
          <w:b/>
          <w:bCs/>
          <w:sz w:val="24"/>
          <w:szCs w:val="28"/>
        </w:rPr>
        <w:t>AIN CONTENT</w:t>
      </w:r>
    </w:p>
    <w:p w14:paraId="217E65F8" w14:textId="77777777" w:rsidR="00EF68DB" w:rsidRPr="00567B7E" w:rsidRDefault="00EF68DB" w:rsidP="00043D9F">
      <w:pPr>
        <w:rPr>
          <w:rFonts w:hint="eastAsia"/>
          <w:szCs w:val="21"/>
        </w:rPr>
      </w:pPr>
      <w:r w:rsidRPr="00567B7E">
        <w:rPr>
          <w:rFonts w:hint="eastAsia"/>
          <w:b/>
          <w:bCs/>
          <w:szCs w:val="21"/>
          <w:u w:val="single"/>
        </w:rPr>
        <w:t>B</w:t>
      </w:r>
      <w:r w:rsidRPr="00567B7E">
        <w:rPr>
          <w:b/>
          <w:bCs/>
          <w:szCs w:val="21"/>
          <w:u w:val="single"/>
        </w:rPr>
        <w:t>ACKGROUND</w:t>
      </w:r>
      <w:r w:rsidRPr="00567B7E">
        <w:rPr>
          <w:b/>
          <w:bCs/>
          <w:szCs w:val="21"/>
        </w:rPr>
        <w:t xml:space="preserve"> </w:t>
      </w:r>
      <w:r w:rsidRPr="00567B7E">
        <w:rPr>
          <w:szCs w:val="21"/>
        </w:rPr>
        <w:t xml:space="preserve">The British government's previous project of reducing salt intake has achieved remarkable results. Now, the salt content in British food is 30% - 40% less than before. Because this change is gradually completed, people do not notice the difference. This is a successful public health policy. People buy the same food, but the salt intake has decreased, and food companies will not lose profits, Instead, make healthier food. The principle of reducing sugar is </w:t>
      </w:r>
      <w:proofErr w:type="gramStart"/>
      <w:r w:rsidRPr="00567B7E">
        <w:rPr>
          <w:szCs w:val="21"/>
        </w:rPr>
        <w:t>similar to</w:t>
      </w:r>
      <w:proofErr w:type="gramEnd"/>
      <w:r w:rsidRPr="00567B7E">
        <w:rPr>
          <w:szCs w:val="21"/>
        </w:rPr>
        <w:t xml:space="preserve"> the principle of reducing salt. Now the author </w:t>
      </w:r>
      <w:proofErr w:type="gramStart"/>
      <w:r w:rsidRPr="00567B7E">
        <w:rPr>
          <w:szCs w:val="21"/>
        </w:rPr>
        <w:t>models</w:t>
      </w:r>
      <w:proofErr w:type="gramEnd"/>
      <w:r w:rsidRPr="00567B7E">
        <w:rPr>
          <w:szCs w:val="21"/>
        </w:rPr>
        <w:t xml:space="preserve"> similar strategies to be used in sugar control projects, which require reducing sugar content in sugary drinks. In the future, the author will try to study similar measures such as reducing saturated fat content.</w:t>
      </w:r>
      <w:r w:rsidR="009E7B22" w:rsidRPr="00567B7E">
        <w:rPr>
          <w:szCs w:val="21"/>
        </w:rPr>
        <w:t xml:space="preserve"> </w:t>
      </w:r>
      <w:r w:rsidR="009E7B22" w:rsidRPr="00567B7E">
        <w:rPr>
          <w:szCs w:val="21"/>
        </w:rPr>
        <w:t>Due to the differences in the production technology of 100% juice and sugary beverage, the author considered them respectively in the analysis.</w:t>
      </w:r>
    </w:p>
    <w:p w14:paraId="091A9E9C" w14:textId="77777777" w:rsidR="009E7B22" w:rsidRPr="00567B7E" w:rsidRDefault="009E7B22" w:rsidP="00043D9F">
      <w:pPr>
        <w:rPr>
          <w:b/>
          <w:bCs/>
          <w:szCs w:val="21"/>
        </w:rPr>
      </w:pPr>
      <w:r w:rsidRPr="00567B7E">
        <w:rPr>
          <w:rFonts w:hint="eastAsia"/>
          <w:b/>
          <w:bCs/>
          <w:szCs w:val="21"/>
          <w:u w:val="single"/>
        </w:rPr>
        <w:t>D</w:t>
      </w:r>
      <w:r w:rsidRPr="00567B7E">
        <w:rPr>
          <w:b/>
          <w:bCs/>
          <w:szCs w:val="21"/>
          <w:u w:val="single"/>
        </w:rPr>
        <w:t>ATA SOURCES</w:t>
      </w:r>
      <w:r w:rsidRPr="00567B7E">
        <w:rPr>
          <w:b/>
          <w:bCs/>
          <w:szCs w:val="21"/>
        </w:rPr>
        <w:t xml:space="preserve"> </w:t>
      </w:r>
    </w:p>
    <w:p w14:paraId="5D436D09" w14:textId="77777777" w:rsidR="009E7B22" w:rsidRPr="00567B7E" w:rsidRDefault="009E7B22" w:rsidP="009E7B22">
      <w:pPr>
        <w:pStyle w:val="a3"/>
        <w:numPr>
          <w:ilvl w:val="0"/>
          <w:numId w:val="1"/>
        </w:numPr>
        <w:ind w:firstLineChars="0"/>
        <w:rPr>
          <w:szCs w:val="21"/>
        </w:rPr>
      </w:pPr>
      <w:r w:rsidRPr="00567B7E">
        <w:rPr>
          <w:szCs w:val="21"/>
        </w:rPr>
        <w:t>UK soft drink sales data from 2005 to 2013 from the British Soft Drinks Association (BSDA) annual reports</w:t>
      </w:r>
      <w:r w:rsidR="00F44F25" w:rsidRPr="00567B7E">
        <w:rPr>
          <w:szCs w:val="21"/>
        </w:rPr>
        <w:t xml:space="preserve"> </w:t>
      </w:r>
      <w:r w:rsidRPr="00567B7E">
        <w:rPr>
          <w:szCs w:val="21"/>
        </w:rPr>
        <w:t>(</w:t>
      </w:r>
      <w:r w:rsidRPr="00567B7E">
        <w:rPr>
          <w:szCs w:val="21"/>
        </w:rPr>
        <w:t>Zenith International, a food and drink consultancy, from more than 100 soft drink producers</w:t>
      </w:r>
      <w:r w:rsidRPr="00567B7E">
        <w:rPr>
          <w:szCs w:val="21"/>
        </w:rPr>
        <w:t>)</w:t>
      </w:r>
    </w:p>
    <w:p w14:paraId="7EBACC1B" w14:textId="77777777" w:rsidR="009E7B22" w:rsidRPr="00567B7E" w:rsidRDefault="00F44F25" w:rsidP="009E7B22">
      <w:pPr>
        <w:pStyle w:val="a3"/>
        <w:numPr>
          <w:ilvl w:val="0"/>
          <w:numId w:val="1"/>
        </w:numPr>
        <w:ind w:firstLineChars="0"/>
        <w:rPr>
          <w:szCs w:val="21"/>
        </w:rPr>
      </w:pPr>
      <w:r w:rsidRPr="00567B7E">
        <w:rPr>
          <w:szCs w:val="21"/>
        </w:rPr>
        <w:t>National Diet and Nutrition Survey rolling programme (NDNS RP) from 2008 to 2012</w:t>
      </w:r>
      <w:r w:rsidRPr="00567B7E">
        <w:rPr>
          <w:szCs w:val="21"/>
        </w:rPr>
        <w:t xml:space="preserve">, with </w:t>
      </w:r>
      <w:r w:rsidRPr="00567B7E">
        <w:rPr>
          <w:szCs w:val="21"/>
        </w:rPr>
        <w:t xml:space="preserve">4156 individuals (48% children, 47% men) </w:t>
      </w:r>
      <w:r w:rsidRPr="00567B7E">
        <w:rPr>
          <w:szCs w:val="21"/>
        </w:rPr>
        <w:t>involved</w:t>
      </w:r>
    </w:p>
    <w:p w14:paraId="5F351FD8" w14:textId="77777777" w:rsidR="00FF68DA" w:rsidRPr="00567B7E" w:rsidRDefault="00F44F25" w:rsidP="00FF68DA">
      <w:pPr>
        <w:pStyle w:val="a3"/>
        <w:numPr>
          <w:ilvl w:val="0"/>
          <w:numId w:val="1"/>
        </w:numPr>
        <w:ind w:firstLineChars="0"/>
        <w:rPr>
          <w:rFonts w:hint="eastAsia"/>
          <w:szCs w:val="21"/>
        </w:rPr>
      </w:pPr>
      <w:r w:rsidRPr="00567B7E">
        <w:rPr>
          <w:szCs w:val="21"/>
        </w:rPr>
        <w:t>Household</w:t>
      </w:r>
      <w:r w:rsidRPr="00567B7E">
        <w:rPr>
          <w:szCs w:val="21"/>
        </w:rPr>
        <w:t xml:space="preserve"> </w:t>
      </w:r>
      <w:r w:rsidRPr="00567B7E">
        <w:rPr>
          <w:szCs w:val="21"/>
        </w:rPr>
        <w:t>Food and Drink Waste in the UK 2012</w:t>
      </w:r>
      <w:r w:rsidRPr="00567B7E">
        <w:rPr>
          <w:szCs w:val="21"/>
        </w:rPr>
        <w:t>, where s</w:t>
      </w:r>
      <w:r w:rsidRPr="00567B7E">
        <w:rPr>
          <w:szCs w:val="21"/>
        </w:rPr>
        <w:t>oft drink waste</w:t>
      </w:r>
      <w:r w:rsidRPr="00567B7E">
        <w:rPr>
          <w:szCs w:val="21"/>
        </w:rPr>
        <w:t xml:space="preserve"> is </w:t>
      </w:r>
      <w:r w:rsidR="00FF68DA" w:rsidRPr="00567B7E">
        <w:rPr>
          <w:szCs w:val="21"/>
        </w:rPr>
        <w:t xml:space="preserve">recorded in </w:t>
      </w:r>
      <w:r w:rsidR="00FF68DA" w:rsidRPr="00567B7E">
        <w:rPr>
          <w:szCs w:val="21"/>
        </w:rPr>
        <w:t>a 7</w:t>
      </w:r>
      <w:r w:rsidR="00FF68DA" w:rsidRPr="00567B7E">
        <w:rPr>
          <w:szCs w:val="21"/>
        </w:rPr>
        <w:t>-</w:t>
      </w:r>
      <w:r w:rsidR="00FF68DA" w:rsidRPr="00567B7E">
        <w:rPr>
          <w:szCs w:val="21"/>
        </w:rPr>
        <w:t>day waste diary</w:t>
      </w:r>
    </w:p>
    <w:p w14:paraId="14137B03" w14:textId="77777777" w:rsidR="00FF68DA" w:rsidRPr="00567B7E" w:rsidRDefault="00FF68DA" w:rsidP="00FF68DA">
      <w:pPr>
        <w:rPr>
          <w:b/>
          <w:bCs/>
          <w:szCs w:val="21"/>
          <w:u w:val="single"/>
        </w:rPr>
      </w:pPr>
      <w:r w:rsidRPr="00567B7E">
        <w:rPr>
          <w:b/>
          <w:bCs/>
          <w:szCs w:val="21"/>
          <w:u w:val="single"/>
        </w:rPr>
        <w:t xml:space="preserve">MODELING </w:t>
      </w:r>
      <w:r w:rsidR="006329EC" w:rsidRPr="00567B7E">
        <w:rPr>
          <w:b/>
          <w:bCs/>
          <w:szCs w:val="21"/>
          <w:u w:val="single"/>
        </w:rPr>
        <w:t>STEPS</w:t>
      </w:r>
    </w:p>
    <w:p w14:paraId="4A62D7E3" w14:textId="77777777" w:rsidR="00FF68DA" w:rsidRPr="00567B7E" w:rsidRDefault="00891E76" w:rsidP="00FF68DA">
      <w:pPr>
        <w:pStyle w:val="a3"/>
        <w:numPr>
          <w:ilvl w:val="0"/>
          <w:numId w:val="2"/>
        </w:numPr>
        <w:ind w:firstLineChars="0"/>
        <w:rPr>
          <w:szCs w:val="21"/>
        </w:rPr>
      </w:pPr>
      <w:r w:rsidRPr="00567B7E">
        <w:rPr>
          <w:szCs w:val="21"/>
        </w:rPr>
        <w:t>Exploratory</w:t>
      </w:r>
      <w:r w:rsidR="006329EC" w:rsidRPr="00567B7E">
        <w:rPr>
          <w:szCs w:val="21"/>
        </w:rPr>
        <w:t xml:space="preserve"> - </w:t>
      </w:r>
      <w:r w:rsidR="00FF68DA" w:rsidRPr="00567B7E">
        <w:rPr>
          <w:szCs w:val="21"/>
        </w:rPr>
        <w:t>Soft drink consumption and BMI of adults in the UK</w:t>
      </w:r>
    </w:p>
    <w:p w14:paraId="4D010957" w14:textId="77777777" w:rsidR="00FF68DA" w:rsidRPr="00567B7E" w:rsidRDefault="00FF68DA" w:rsidP="001C0788">
      <w:pPr>
        <w:pStyle w:val="a3"/>
        <w:ind w:left="360" w:firstLineChars="0" w:firstLine="0"/>
        <w:jc w:val="center"/>
        <w:rPr>
          <w:szCs w:val="21"/>
        </w:rPr>
      </w:pPr>
      <w:r w:rsidRPr="00567B7E">
        <w:rPr>
          <w:szCs w:val="21"/>
        </w:rPr>
        <w:drawing>
          <wp:inline distT="0" distB="0" distL="0" distR="0" wp14:anchorId="46B0F87A" wp14:editId="0E393631">
            <wp:extent cx="2337899" cy="1847069"/>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5104" cy="1860662"/>
                    </a:xfrm>
                    <a:prstGeom prst="rect">
                      <a:avLst/>
                    </a:prstGeom>
                  </pic:spPr>
                </pic:pic>
              </a:graphicData>
            </a:graphic>
          </wp:inline>
        </w:drawing>
      </w:r>
    </w:p>
    <w:p w14:paraId="3BD01B55" w14:textId="77777777" w:rsidR="00FF68DA" w:rsidRPr="00567B7E" w:rsidRDefault="006329EC" w:rsidP="00FF68DA">
      <w:pPr>
        <w:pStyle w:val="a3"/>
        <w:numPr>
          <w:ilvl w:val="0"/>
          <w:numId w:val="2"/>
        </w:numPr>
        <w:ind w:firstLineChars="0"/>
        <w:rPr>
          <w:szCs w:val="21"/>
        </w:rPr>
      </w:pPr>
      <w:r w:rsidRPr="00567B7E">
        <w:rPr>
          <w:szCs w:val="21"/>
        </w:rPr>
        <w:lastRenderedPageBreak/>
        <w:t xml:space="preserve">Main - </w:t>
      </w:r>
      <w:r w:rsidR="00FF68DA" w:rsidRPr="00567B7E">
        <w:rPr>
          <w:szCs w:val="21"/>
        </w:rPr>
        <w:t>D</w:t>
      </w:r>
      <w:r w:rsidR="00FF68DA" w:rsidRPr="00567B7E">
        <w:rPr>
          <w:szCs w:val="21"/>
        </w:rPr>
        <w:t>aily sugar-sweetened beverage consumption</w:t>
      </w:r>
      <w:r w:rsidR="00FF68DA" w:rsidRPr="00567B7E">
        <w:rPr>
          <w:szCs w:val="21"/>
        </w:rPr>
        <w:t xml:space="preserve">: </w:t>
      </w:r>
    </w:p>
    <w:p w14:paraId="39B565B8" w14:textId="77777777" w:rsidR="00FF68DA" w:rsidRPr="00567B7E" w:rsidRDefault="00FF68DA" w:rsidP="001C0788">
      <w:pPr>
        <w:pStyle w:val="a3"/>
        <w:ind w:left="360" w:firstLineChars="0" w:firstLine="0"/>
        <w:jc w:val="center"/>
        <w:rPr>
          <w:szCs w:val="21"/>
        </w:rPr>
      </w:pPr>
      <w:r w:rsidRPr="00567B7E">
        <w:rPr>
          <w:szCs w:val="21"/>
        </w:rPr>
        <w:drawing>
          <wp:inline distT="0" distB="0" distL="0" distR="0" wp14:anchorId="43E0AF6C" wp14:editId="1DB68FDD">
            <wp:extent cx="2174790" cy="885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4410" cy="905202"/>
                    </a:xfrm>
                    <a:prstGeom prst="rect">
                      <a:avLst/>
                    </a:prstGeom>
                  </pic:spPr>
                </pic:pic>
              </a:graphicData>
            </a:graphic>
          </wp:inline>
        </w:drawing>
      </w:r>
    </w:p>
    <w:p w14:paraId="7F0C1583" w14:textId="77777777" w:rsidR="00FF68DA" w:rsidRPr="00567B7E" w:rsidRDefault="00FF68DA" w:rsidP="00FF68DA">
      <w:pPr>
        <w:pStyle w:val="a3"/>
        <w:ind w:left="360" w:firstLineChars="0" w:firstLine="0"/>
        <w:rPr>
          <w:szCs w:val="21"/>
        </w:rPr>
      </w:pPr>
      <w:r w:rsidRPr="00567B7E">
        <w:rPr>
          <w:szCs w:val="21"/>
        </w:rPr>
        <w:t xml:space="preserve">NOTE: </w:t>
      </w:r>
      <w:r w:rsidRPr="00567B7E">
        <w:rPr>
          <w:szCs w:val="21"/>
        </w:rPr>
        <w:t>waste (roughly 7% for general soft drink waste and 11% for fruit juices waste)</w:t>
      </w:r>
    </w:p>
    <w:p w14:paraId="0DA24259" w14:textId="77777777" w:rsidR="00FF68DA" w:rsidRPr="00567B7E" w:rsidRDefault="006329EC" w:rsidP="00FF68DA">
      <w:pPr>
        <w:pStyle w:val="a3"/>
        <w:numPr>
          <w:ilvl w:val="0"/>
          <w:numId w:val="2"/>
        </w:numPr>
        <w:ind w:firstLineChars="0"/>
        <w:rPr>
          <w:szCs w:val="21"/>
        </w:rPr>
      </w:pPr>
      <w:r w:rsidRPr="00567B7E">
        <w:rPr>
          <w:szCs w:val="21"/>
        </w:rPr>
        <w:t xml:space="preserve">Main - </w:t>
      </w:r>
      <w:r w:rsidR="00FF68DA" w:rsidRPr="00567B7E">
        <w:rPr>
          <w:szCs w:val="21"/>
        </w:rPr>
        <w:t>P</w:t>
      </w:r>
      <w:r w:rsidR="00FF68DA" w:rsidRPr="00567B7E">
        <w:rPr>
          <w:szCs w:val="21"/>
        </w:rPr>
        <w:t>opulation distribution of sugar-sweetened beverage consumption</w:t>
      </w:r>
      <w:r w:rsidR="00FF68DA" w:rsidRPr="00567B7E">
        <w:rPr>
          <w:szCs w:val="21"/>
        </w:rPr>
        <w:t xml:space="preserve">: </w:t>
      </w:r>
      <w:r w:rsidR="001C0788" w:rsidRPr="00567B7E">
        <w:rPr>
          <w:szCs w:val="21"/>
        </w:rPr>
        <w:t xml:space="preserve">differences between </w:t>
      </w:r>
      <w:r w:rsidR="001C0788" w:rsidRPr="00567B7E">
        <w:rPr>
          <w:szCs w:val="21"/>
        </w:rPr>
        <w:t>NDNS</w:t>
      </w:r>
      <w:r w:rsidR="001C0788" w:rsidRPr="00567B7E">
        <w:rPr>
          <w:szCs w:val="21"/>
        </w:rPr>
        <w:t xml:space="preserve"> and BSDA is regarded as identical individual </w:t>
      </w:r>
      <w:r w:rsidR="001C0788" w:rsidRPr="00567B7E">
        <w:rPr>
          <w:szCs w:val="21"/>
        </w:rPr>
        <w:t>under-reporting</w:t>
      </w:r>
      <w:r w:rsidR="001C0788" w:rsidRPr="00567B7E">
        <w:rPr>
          <w:szCs w:val="21"/>
        </w:rPr>
        <w:t xml:space="preserve">. </w:t>
      </w:r>
      <w:r w:rsidR="001C0788" w:rsidRPr="00567B7E">
        <w:rPr>
          <w:szCs w:val="21"/>
          <w:u w:val="single"/>
        </w:rPr>
        <w:t xml:space="preserve">The data in </w:t>
      </w:r>
      <w:r w:rsidR="001C0788" w:rsidRPr="00567B7E">
        <w:rPr>
          <w:szCs w:val="21"/>
          <w:u w:val="single"/>
        </w:rPr>
        <w:t>NDNS</w:t>
      </w:r>
      <w:r w:rsidR="001C0788" w:rsidRPr="00567B7E">
        <w:rPr>
          <w:szCs w:val="21"/>
          <w:u w:val="single"/>
        </w:rPr>
        <w:t xml:space="preserve"> are then scaled up</w:t>
      </w:r>
      <w:r w:rsidR="00296049" w:rsidRPr="00567B7E">
        <w:rPr>
          <w:szCs w:val="21"/>
          <w:u w:val="single"/>
        </w:rPr>
        <w:t xml:space="preserve">, so are </w:t>
      </w:r>
      <w:r w:rsidR="00296049" w:rsidRPr="00567B7E">
        <w:rPr>
          <w:szCs w:val="21"/>
          <w:u w:val="single"/>
        </w:rPr>
        <w:t>free sugars and energy intake from consumption of sugar-sweetened beverages</w:t>
      </w:r>
      <w:r w:rsidR="001C0788" w:rsidRPr="00567B7E">
        <w:rPr>
          <w:szCs w:val="21"/>
          <w:u w:val="single"/>
        </w:rPr>
        <w:t>.</w:t>
      </w:r>
    </w:p>
    <w:p w14:paraId="24D7F845" w14:textId="77777777" w:rsidR="00296049" w:rsidRPr="00567B7E" w:rsidRDefault="006329EC" w:rsidP="00FF68DA">
      <w:pPr>
        <w:pStyle w:val="a3"/>
        <w:numPr>
          <w:ilvl w:val="0"/>
          <w:numId w:val="2"/>
        </w:numPr>
        <w:ind w:firstLineChars="0"/>
        <w:rPr>
          <w:szCs w:val="21"/>
        </w:rPr>
      </w:pPr>
      <w:r w:rsidRPr="00567B7E">
        <w:rPr>
          <w:szCs w:val="21"/>
        </w:rPr>
        <w:t xml:space="preserve">Main - </w:t>
      </w:r>
      <w:r w:rsidRPr="00567B7E">
        <w:rPr>
          <w:szCs w:val="21"/>
        </w:rPr>
        <w:t>T</w:t>
      </w:r>
      <w:r w:rsidRPr="00567B7E">
        <w:rPr>
          <w:szCs w:val="21"/>
        </w:rPr>
        <w:t>he expected change in steady</w:t>
      </w:r>
      <w:r w:rsidRPr="00567B7E">
        <w:rPr>
          <w:szCs w:val="21"/>
        </w:rPr>
        <w:t>-</w:t>
      </w:r>
      <w:r w:rsidRPr="00567B7E">
        <w:rPr>
          <w:szCs w:val="21"/>
        </w:rPr>
        <w:t>state bodyweight for each adult at an individual level using the mathematical model proposed by Kevin Hall and colleagues</w:t>
      </w:r>
      <w:r w:rsidR="00891E76" w:rsidRPr="00567B7E">
        <w:rPr>
          <w:szCs w:val="21"/>
        </w:rPr>
        <w:t>.</w:t>
      </w:r>
    </w:p>
    <w:p w14:paraId="0C5C41CA" w14:textId="77777777" w:rsidR="006329EC" w:rsidRPr="00567B7E" w:rsidRDefault="006329EC" w:rsidP="006329EC">
      <w:pPr>
        <w:pStyle w:val="a3"/>
        <w:numPr>
          <w:ilvl w:val="0"/>
          <w:numId w:val="2"/>
        </w:numPr>
        <w:ind w:firstLineChars="0"/>
        <w:rPr>
          <w:szCs w:val="21"/>
        </w:rPr>
      </w:pPr>
      <w:r w:rsidRPr="00567B7E">
        <w:rPr>
          <w:szCs w:val="21"/>
        </w:rPr>
        <w:t xml:space="preserve">Main - </w:t>
      </w:r>
      <w:r w:rsidRPr="00567B7E">
        <w:rPr>
          <w:szCs w:val="21"/>
        </w:rPr>
        <w:t>T</w:t>
      </w:r>
      <w:r w:rsidRPr="00567B7E">
        <w:rPr>
          <w:szCs w:val="21"/>
        </w:rPr>
        <w:t>he number of obesity-related type 2 diabetes cases that would be prevente</w:t>
      </w:r>
      <w:r w:rsidRPr="00567B7E">
        <w:rPr>
          <w:szCs w:val="21"/>
        </w:rPr>
        <w:t xml:space="preserve">d: </w:t>
      </w:r>
      <w:r w:rsidRPr="00567B7E">
        <w:rPr>
          <w:szCs w:val="21"/>
        </w:rPr>
        <w:t>a 1% reduction in BMI of the entire UK population would prevent 179 000–202 000 incident diabetes cases in two decades</w:t>
      </w:r>
    </w:p>
    <w:p w14:paraId="4A54AA3D" w14:textId="77777777" w:rsidR="006329EC" w:rsidRPr="00567B7E" w:rsidRDefault="006329EC" w:rsidP="006329EC">
      <w:pPr>
        <w:pStyle w:val="a3"/>
        <w:numPr>
          <w:ilvl w:val="0"/>
          <w:numId w:val="2"/>
        </w:numPr>
        <w:ind w:firstLineChars="0"/>
        <w:rPr>
          <w:szCs w:val="21"/>
        </w:rPr>
      </w:pPr>
      <w:r w:rsidRPr="00567B7E">
        <w:rPr>
          <w:szCs w:val="21"/>
        </w:rPr>
        <w:t>Sensitivity Analysis</w:t>
      </w:r>
      <w:r w:rsidRPr="00567B7E">
        <w:rPr>
          <w:szCs w:val="21"/>
        </w:rPr>
        <w:t xml:space="preserve"> - </w:t>
      </w:r>
      <w:r w:rsidRPr="00567B7E">
        <w:rPr>
          <w:szCs w:val="21"/>
        </w:rPr>
        <w:t>T</w:t>
      </w:r>
      <w:r w:rsidRPr="00567B7E">
        <w:rPr>
          <w:szCs w:val="21"/>
        </w:rPr>
        <w:t>he robustness of the results with respect to the assumption that under-reporting occurred proportionally for all individuals</w:t>
      </w:r>
      <w:r w:rsidRPr="00567B7E">
        <w:rPr>
          <w:szCs w:val="21"/>
        </w:rPr>
        <w:t xml:space="preserve">: </w:t>
      </w:r>
      <w:r w:rsidRPr="00567B7E">
        <w:rPr>
          <w:szCs w:val="21"/>
        </w:rPr>
        <w:t>scenarios wherein the under-reporting of sugar</w:t>
      </w:r>
      <w:r w:rsidRPr="00567B7E">
        <w:rPr>
          <w:szCs w:val="21"/>
        </w:rPr>
        <w:t>-</w:t>
      </w:r>
      <w:r w:rsidRPr="00567B7E">
        <w:rPr>
          <w:szCs w:val="21"/>
        </w:rPr>
        <w:t>sweetened beverage consumption was higher in overweight or obese individuals and lower in normal weight or underweight individuals (with the total sugar-sweetened beverage consumption unchanged)</w:t>
      </w:r>
      <w:r w:rsidRPr="00567B7E">
        <w:rPr>
          <w:szCs w:val="21"/>
        </w:rPr>
        <w:t xml:space="preserve"> is included in comparison</w:t>
      </w:r>
      <w:r w:rsidRPr="00567B7E">
        <w:rPr>
          <w:szCs w:val="21"/>
        </w:rPr>
        <w:t>, which has been the case in most dietary surveys.</w:t>
      </w:r>
    </w:p>
    <w:p w14:paraId="2D13C76B" w14:textId="77777777" w:rsidR="009E7B22" w:rsidRPr="00567B7E" w:rsidRDefault="006329EC" w:rsidP="00043D9F">
      <w:pPr>
        <w:pStyle w:val="a3"/>
        <w:numPr>
          <w:ilvl w:val="0"/>
          <w:numId w:val="2"/>
        </w:numPr>
        <w:ind w:firstLineChars="0"/>
        <w:rPr>
          <w:rFonts w:hint="eastAsia"/>
          <w:szCs w:val="21"/>
        </w:rPr>
      </w:pPr>
      <w:r w:rsidRPr="00567B7E">
        <w:rPr>
          <w:szCs w:val="21"/>
        </w:rPr>
        <w:t>Sensitivity</w:t>
      </w:r>
      <w:r w:rsidRPr="00567B7E">
        <w:rPr>
          <w:szCs w:val="21"/>
        </w:rPr>
        <w:t xml:space="preserve"> </w:t>
      </w:r>
      <w:r w:rsidRPr="00567B7E">
        <w:rPr>
          <w:szCs w:val="21"/>
        </w:rPr>
        <w:t xml:space="preserve">Analysis - </w:t>
      </w:r>
      <w:r w:rsidRPr="00567B7E">
        <w:rPr>
          <w:szCs w:val="21"/>
        </w:rPr>
        <w:t>T</w:t>
      </w:r>
      <w:r w:rsidRPr="00567B7E">
        <w:rPr>
          <w:szCs w:val="21"/>
        </w:rPr>
        <w:t>he robustness of the Kevin Hall mod</w:t>
      </w:r>
      <w:r w:rsidRPr="00567B7E">
        <w:rPr>
          <w:rFonts w:cs="Times New Roman"/>
          <w:szCs w:val="21"/>
        </w:rPr>
        <w:t>el</w:t>
      </w:r>
      <w:r w:rsidRPr="00567B7E">
        <w:rPr>
          <w:rFonts w:cs="Times New Roman"/>
          <w:szCs w:val="21"/>
        </w:rPr>
        <w:t xml:space="preserve">: i) </w:t>
      </w:r>
      <w:r w:rsidRPr="00567B7E">
        <w:rPr>
          <w:rFonts w:cs="Times New Roman"/>
          <w:szCs w:val="21"/>
        </w:rPr>
        <w:t>“3500 kcal=1 lb” r</w:t>
      </w:r>
      <w:r w:rsidRPr="00567B7E">
        <w:rPr>
          <w:szCs w:val="21"/>
        </w:rPr>
        <w:t>ule</w:t>
      </w:r>
      <w:r w:rsidRPr="00567B7E">
        <w:rPr>
          <w:szCs w:val="21"/>
        </w:rPr>
        <w:t xml:space="preserve"> is used. ii)</w:t>
      </w:r>
      <w:r w:rsidRPr="00567B7E">
        <w:rPr>
          <w:szCs w:val="21"/>
        </w:rPr>
        <w:t>Christiansen and Garby</w:t>
      </w:r>
      <w:r w:rsidRPr="00567B7E">
        <w:rPr>
          <w:szCs w:val="21"/>
        </w:rPr>
        <w:t xml:space="preserve"> model.</w:t>
      </w:r>
    </w:p>
    <w:p w14:paraId="6AD624DE" w14:textId="77777777" w:rsidR="00251CD6" w:rsidRPr="00567B7E" w:rsidRDefault="00251CD6" w:rsidP="00043D9F">
      <w:pPr>
        <w:rPr>
          <w:szCs w:val="21"/>
        </w:rPr>
      </w:pPr>
      <w:r w:rsidRPr="00567B7E">
        <w:rPr>
          <w:b/>
          <w:bCs/>
          <w:szCs w:val="21"/>
          <w:u w:val="single"/>
        </w:rPr>
        <w:t xml:space="preserve">MAIN </w:t>
      </w:r>
      <w:r w:rsidR="00EF68DB" w:rsidRPr="00567B7E">
        <w:rPr>
          <w:rFonts w:hint="eastAsia"/>
          <w:b/>
          <w:bCs/>
          <w:szCs w:val="21"/>
          <w:u w:val="single"/>
        </w:rPr>
        <w:t>R</w:t>
      </w:r>
      <w:r w:rsidR="00EF68DB" w:rsidRPr="00567B7E">
        <w:rPr>
          <w:b/>
          <w:bCs/>
          <w:szCs w:val="21"/>
          <w:u w:val="single"/>
        </w:rPr>
        <w:t>ESULTS</w:t>
      </w:r>
      <w:r w:rsidR="00EF68DB" w:rsidRPr="00567B7E">
        <w:rPr>
          <w:szCs w:val="21"/>
        </w:rPr>
        <w:t xml:space="preserve"> </w:t>
      </w:r>
    </w:p>
    <w:p w14:paraId="3451400D" w14:textId="113A39BF" w:rsidR="00EF68DB" w:rsidRPr="00567B7E" w:rsidRDefault="00251CD6" w:rsidP="00043D9F">
      <w:pPr>
        <w:rPr>
          <w:szCs w:val="21"/>
        </w:rPr>
      </w:pPr>
      <w:r w:rsidRPr="00567B7E">
        <w:rPr>
          <w:szCs w:val="21"/>
        </w:rPr>
        <w:t>In short,</w:t>
      </w:r>
      <w:r w:rsidR="003C509E">
        <w:rPr>
          <w:szCs w:val="21"/>
        </w:rPr>
        <w:t xml:space="preserve"> </w:t>
      </w:r>
      <w:r w:rsidRPr="00567B7E">
        <w:rPr>
          <w:szCs w:val="21"/>
        </w:rPr>
        <w:t>b</w:t>
      </w:r>
      <w:r w:rsidR="00EF68DB" w:rsidRPr="00567B7E">
        <w:rPr>
          <w:szCs w:val="21"/>
        </w:rPr>
        <w:t>y reducing the amount of free sugar in sugary drinks by 40% in five years and by an average of 38.4 calories / day at the end of five years, the UK's overweight rate and obesity rate can be reduced by 1.0% and 2.1%. If this initiative continues, at least 274000 new cases of type 2 diabetes can be reduced in the next 20 years, which will have a profound public health impact in the UK and even in the world</w:t>
      </w:r>
      <w:r w:rsidRPr="00567B7E">
        <w:rPr>
          <w:szCs w:val="21"/>
        </w:rPr>
        <w:t xml:space="preserve">. </w:t>
      </w:r>
    </w:p>
    <w:p w14:paraId="2C12FFAD" w14:textId="77777777" w:rsidR="00251CD6" w:rsidRPr="00567B7E" w:rsidRDefault="00251CD6" w:rsidP="00251CD6">
      <w:pPr>
        <w:pStyle w:val="a3"/>
        <w:numPr>
          <w:ilvl w:val="0"/>
          <w:numId w:val="3"/>
        </w:numPr>
        <w:ind w:firstLineChars="0"/>
        <w:rPr>
          <w:szCs w:val="21"/>
        </w:rPr>
      </w:pPr>
      <w:r w:rsidRPr="00567B7E">
        <w:rPr>
          <w:szCs w:val="21"/>
        </w:rPr>
        <w:t>Reduced consumption of sugary drinks and sugars:</w:t>
      </w:r>
      <w:r w:rsidRPr="00567B7E">
        <w:rPr>
          <w:szCs w:val="21"/>
        </w:rPr>
        <w:t xml:space="preserve"> </w:t>
      </w:r>
      <w:r w:rsidRPr="00567B7E">
        <w:rPr>
          <w:szCs w:val="21"/>
        </w:rPr>
        <w:t>Daily sugar-sweetened beverage consumption contributed to 47 g (43</w:t>
      </w:r>
      <w:r w:rsidRPr="00567B7E">
        <w:rPr>
          <w:szCs w:val="21"/>
        </w:rPr>
        <w:t>.</w:t>
      </w:r>
      <w:r w:rsidRPr="00567B7E">
        <w:rPr>
          <w:szCs w:val="21"/>
        </w:rPr>
        <w:t>9%) and 49 g (44</w:t>
      </w:r>
      <w:r w:rsidRPr="00567B7E">
        <w:rPr>
          <w:szCs w:val="21"/>
        </w:rPr>
        <w:t>.</w:t>
      </w:r>
      <w:r w:rsidRPr="00567B7E">
        <w:rPr>
          <w:szCs w:val="21"/>
        </w:rPr>
        <w:t>5%) of total free sugar intake, and 182 kcal (7</w:t>
      </w:r>
      <w:r w:rsidRPr="00567B7E">
        <w:rPr>
          <w:szCs w:val="21"/>
        </w:rPr>
        <w:t>.</w:t>
      </w:r>
      <w:r w:rsidRPr="00567B7E">
        <w:rPr>
          <w:szCs w:val="21"/>
        </w:rPr>
        <w:t>1%) of the daily energy intake in adolescents and 185 kcal (6</w:t>
      </w:r>
      <w:r w:rsidRPr="00567B7E">
        <w:rPr>
          <w:szCs w:val="21"/>
        </w:rPr>
        <w:t>.</w:t>
      </w:r>
      <w:r w:rsidRPr="00567B7E">
        <w:rPr>
          <w:szCs w:val="21"/>
        </w:rPr>
        <w:t>6%) of the daily intake in young adults, both exceeding the UK SACN’s recommendation of a daily free sugar intake of no more than 5% of daily energy intake.</w:t>
      </w:r>
    </w:p>
    <w:p w14:paraId="6FE7583A" w14:textId="77777777" w:rsidR="00251CD6" w:rsidRPr="00567B7E" w:rsidRDefault="00251CD6" w:rsidP="00251CD6">
      <w:pPr>
        <w:pStyle w:val="a3"/>
        <w:ind w:left="360" w:firstLineChars="0" w:firstLine="0"/>
        <w:jc w:val="center"/>
        <w:rPr>
          <w:rFonts w:hint="eastAsia"/>
          <w:szCs w:val="21"/>
        </w:rPr>
      </w:pPr>
      <w:r w:rsidRPr="00567B7E">
        <w:rPr>
          <w:szCs w:val="21"/>
        </w:rPr>
        <w:drawing>
          <wp:inline distT="0" distB="0" distL="0" distR="0" wp14:anchorId="7FB9CBA7" wp14:editId="15C6B29E">
            <wp:extent cx="3096515" cy="166569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7303" cy="1682252"/>
                    </a:xfrm>
                    <a:prstGeom prst="rect">
                      <a:avLst/>
                    </a:prstGeom>
                  </pic:spPr>
                </pic:pic>
              </a:graphicData>
            </a:graphic>
          </wp:inline>
        </w:drawing>
      </w:r>
      <w:r w:rsidRPr="00567B7E">
        <w:rPr>
          <w:szCs w:val="21"/>
        </w:rPr>
        <w:lastRenderedPageBreak/>
        <w:drawing>
          <wp:inline distT="0" distB="0" distL="0" distR="0" wp14:anchorId="02BF0F13" wp14:editId="76B1FDCD">
            <wp:extent cx="3065261" cy="1482810"/>
            <wp:effectExtent l="0" t="0" r="19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9677" cy="1504296"/>
                    </a:xfrm>
                    <a:prstGeom prst="rect">
                      <a:avLst/>
                    </a:prstGeom>
                  </pic:spPr>
                </pic:pic>
              </a:graphicData>
            </a:graphic>
          </wp:inline>
        </w:drawing>
      </w:r>
    </w:p>
    <w:p w14:paraId="193094BF" w14:textId="77777777" w:rsidR="00251CD6" w:rsidRPr="00567B7E" w:rsidRDefault="00251CD6" w:rsidP="00251CD6">
      <w:pPr>
        <w:pStyle w:val="a3"/>
        <w:numPr>
          <w:ilvl w:val="0"/>
          <w:numId w:val="3"/>
        </w:numPr>
        <w:ind w:firstLineChars="0"/>
        <w:rPr>
          <w:szCs w:val="21"/>
        </w:rPr>
      </w:pPr>
      <w:r w:rsidRPr="00567B7E">
        <w:rPr>
          <w:szCs w:val="21"/>
        </w:rPr>
        <w:t>Weight loss:</w:t>
      </w:r>
      <w:r w:rsidRPr="00567B7E">
        <w:rPr>
          <w:szCs w:val="21"/>
        </w:rPr>
        <w:t xml:space="preserve"> </w:t>
      </w:r>
      <w:r w:rsidRPr="00567B7E">
        <w:rPr>
          <w:szCs w:val="21"/>
        </w:rPr>
        <w:t>The average reduction in steady-state bodyweight is predicted to be 1</w:t>
      </w:r>
      <w:r w:rsidRPr="00567B7E">
        <w:rPr>
          <w:szCs w:val="21"/>
        </w:rPr>
        <w:t>.</w:t>
      </w:r>
      <w:r w:rsidRPr="00567B7E">
        <w:rPr>
          <w:szCs w:val="21"/>
        </w:rPr>
        <w:t>20 kg (95% CI 1</w:t>
      </w:r>
      <w:r w:rsidRPr="00567B7E">
        <w:rPr>
          <w:szCs w:val="21"/>
        </w:rPr>
        <w:t>.</w:t>
      </w:r>
      <w:r w:rsidRPr="00567B7E">
        <w:rPr>
          <w:szCs w:val="21"/>
        </w:rPr>
        <w:t>12–1</w:t>
      </w:r>
      <w:r w:rsidRPr="00567B7E">
        <w:rPr>
          <w:szCs w:val="21"/>
        </w:rPr>
        <w:t>.</w:t>
      </w:r>
      <w:r w:rsidRPr="00567B7E">
        <w:rPr>
          <w:szCs w:val="21"/>
        </w:rPr>
        <w:t>28; ﬁgure 3), resulting in a reduction in the prevalence in adults of overweight by 1</w:t>
      </w:r>
      <w:r w:rsidRPr="00567B7E">
        <w:rPr>
          <w:szCs w:val="21"/>
        </w:rPr>
        <w:t>.</w:t>
      </w:r>
      <w:r w:rsidRPr="00567B7E">
        <w:rPr>
          <w:szCs w:val="21"/>
        </w:rPr>
        <w:t>0 percentage point (from 35</w:t>
      </w:r>
      <w:r w:rsidRPr="00567B7E">
        <w:rPr>
          <w:szCs w:val="21"/>
        </w:rPr>
        <w:t>.</w:t>
      </w:r>
      <w:r w:rsidRPr="00567B7E">
        <w:rPr>
          <w:szCs w:val="21"/>
        </w:rPr>
        <w:t>5 % to 34</w:t>
      </w:r>
      <w:r w:rsidRPr="00567B7E">
        <w:rPr>
          <w:szCs w:val="21"/>
        </w:rPr>
        <w:t>.</w:t>
      </w:r>
      <w:r w:rsidRPr="00567B7E">
        <w:rPr>
          <w:szCs w:val="21"/>
        </w:rPr>
        <w:t>5%) and obese by 2</w:t>
      </w:r>
      <w:r w:rsidRPr="00567B7E">
        <w:rPr>
          <w:szCs w:val="21"/>
        </w:rPr>
        <w:t>.</w:t>
      </w:r>
      <w:r w:rsidRPr="00567B7E">
        <w:rPr>
          <w:szCs w:val="21"/>
        </w:rPr>
        <w:t>1 percentage points (from 27</w:t>
      </w:r>
      <w:r w:rsidRPr="00567B7E">
        <w:rPr>
          <w:szCs w:val="21"/>
        </w:rPr>
        <w:t>.</w:t>
      </w:r>
      <w:r w:rsidRPr="00567B7E">
        <w:rPr>
          <w:szCs w:val="21"/>
        </w:rPr>
        <w:t>8% to 25</w:t>
      </w:r>
      <w:r w:rsidRPr="00567B7E">
        <w:rPr>
          <w:szCs w:val="21"/>
        </w:rPr>
        <w:t>.</w:t>
      </w:r>
      <w:r w:rsidRPr="00567B7E">
        <w:rPr>
          <w:szCs w:val="21"/>
        </w:rPr>
        <w:t>7%).</w:t>
      </w:r>
      <w:r w:rsidRPr="00567B7E">
        <w:rPr>
          <w:szCs w:val="21"/>
        </w:rPr>
        <w:t xml:space="preserve"> </w:t>
      </w:r>
      <w:r w:rsidRPr="00567B7E">
        <w:rPr>
          <w:szCs w:val="21"/>
        </w:rPr>
        <w:t>This reduction would amount to roughly 0</w:t>
      </w:r>
      <w:r w:rsidRPr="00567B7E">
        <w:rPr>
          <w:szCs w:val="21"/>
        </w:rPr>
        <w:t>.</w:t>
      </w:r>
      <w:r w:rsidRPr="00567B7E">
        <w:rPr>
          <w:szCs w:val="21"/>
        </w:rPr>
        <w:t>5 million cases of overweight and 1</w:t>
      </w:r>
      <w:r w:rsidRPr="00567B7E">
        <w:rPr>
          <w:szCs w:val="21"/>
        </w:rPr>
        <w:t>.</w:t>
      </w:r>
      <w:r w:rsidRPr="00567B7E">
        <w:rPr>
          <w:szCs w:val="21"/>
        </w:rPr>
        <w:t>0 million cases of obesity being reduced in the UK</w:t>
      </w:r>
      <w:r w:rsidRPr="00567B7E">
        <w:rPr>
          <w:szCs w:val="21"/>
        </w:rPr>
        <w:t>.</w:t>
      </w:r>
    </w:p>
    <w:p w14:paraId="77C7179C" w14:textId="77777777" w:rsidR="00251CD6" w:rsidRPr="00567B7E" w:rsidRDefault="00251CD6" w:rsidP="00251CD6">
      <w:pPr>
        <w:pStyle w:val="a3"/>
        <w:ind w:left="360" w:firstLineChars="0" w:firstLine="0"/>
        <w:jc w:val="center"/>
        <w:rPr>
          <w:szCs w:val="21"/>
        </w:rPr>
      </w:pPr>
      <w:r w:rsidRPr="00567B7E">
        <w:rPr>
          <w:szCs w:val="21"/>
        </w:rPr>
        <w:drawing>
          <wp:inline distT="0" distB="0" distL="0" distR="0" wp14:anchorId="2562A0A1" wp14:editId="53B91455">
            <wp:extent cx="2382108" cy="14697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2843" cy="1494889"/>
                    </a:xfrm>
                    <a:prstGeom prst="rect">
                      <a:avLst/>
                    </a:prstGeom>
                  </pic:spPr>
                </pic:pic>
              </a:graphicData>
            </a:graphic>
          </wp:inline>
        </w:drawing>
      </w:r>
    </w:p>
    <w:p w14:paraId="2BE1ACAA" w14:textId="77777777" w:rsidR="00251CD6" w:rsidRPr="00567B7E" w:rsidRDefault="00251CD6" w:rsidP="00251CD6">
      <w:pPr>
        <w:pStyle w:val="a3"/>
        <w:ind w:left="360" w:firstLineChars="0" w:firstLine="0"/>
        <w:jc w:val="center"/>
        <w:rPr>
          <w:rFonts w:hint="eastAsia"/>
          <w:szCs w:val="21"/>
        </w:rPr>
      </w:pPr>
      <w:r w:rsidRPr="00567B7E">
        <w:rPr>
          <w:szCs w:val="21"/>
        </w:rPr>
        <w:drawing>
          <wp:inline distT="0" distB="0" distL="0" distR="0" wp14:anchorId="7E4DE488" wp14:editId="0D452594">
            <wp:extent cx="2367555" cy="135214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302" cy="1370844"/>
                    </a:xfrm>
                    <a:prstGeom prst="rect">
                      <a:avLst/>
                    </a:prstGeom>
                  </pic:spPr>
                </pic:pic>
              </a:graphicData>
            </a:graphic>
          </wp:inline>
        </w:drawing>
      </w:r>
    </w:p>
    <w:p w14:paraId="0BA9CC4E" w14:textId="77777777" w:rsidR="00251CD6" w:rsidRPr="00567B7E" w:rsidRDefault="00251CD6" w:rsidP="00251CD6">
      <w:pPr>
        <w:pStyle w:val="a3"/>
        <w:numPr>
          <w:ilvl w:val="0"/>
          <w:numId w:val="3"/>
        </w:numPr>
        <w:ind w:firstLineChars="0"/>
        <w:rPr>
          <w:szCs w:val="21"/>
        </w:rPr>
      </w:pPr>
      <w:r w:rsidRPr="00567B7E">
        <w:rPr>
          <w:szCs w:val="21"/>
        </w:rPr>
        <w:t>BMI and diabetes decline</w:t>
      </w:r>
      <w:r w:rsidRPr="00567B7E">
        <w:rPr>
          <w:szCs w:val="21"/>
        </w:rPr>
        <w:t xml:space="preserve">: </w:t>
      </w:r>
      <w:r w:rsidRPr="00567B7E">
        <w:rPr>
          <w:szCs w:val="21"/>
        </w:rPr>
        <w:t>The BMI of UK adults is predicted to be reduced from 27·48 kg/m² in 2010 to 27·06 kg/m² when the predicted reduction in bodyweight is achieved, representing a 1·5% reduction. This reduction would in turn prevent about 274 000–309 000 incident cases of type 2 diabetes over the subsequent two decades (ie, roughly 15 000 per year).</w:t>
      </w:r>
    </w:p>
    <w:p w14:paraId="0C0F77F3" w14:textId="77777777" w:rsidR="00251CD6" w:rsidRPr="00567B7E" w:rsidRDefault="00251CD6" w:rsidP="00251CD6">
      <w:pPr>
        <w:pStyle w:val="a3"/>
        <w:numPr>
          <w:ilvl w:val="0"/>
          <w:numId w:val="3"/>
        </w:numPr>
        <w:ind w:firstLineChars="0"/>
        <w:rPr>
          <w:szCs w:val="21"/>
        </w:rPr>
      </w:pPr>
      <w:r w:rsidRPr="00567B7E">
        <w:rPr>
          <w:rFonts w:hint="eastAsia"/>
          <w:szCs w:val="21"/>
        </w:rPr>
        <w:t>W</w:t>
      </w:r>
      <w:r w:rsidRPr="00567B7E">
        <w:rPr>
          <w:szCs w:val="21"/>
        </w:rPr>
        <w:t xml:space="preserve">hen juice is excluded: </w:t>
      </w:r>
      <w:r w:rsidRPr="00567B7E">
        <w:rPr>
          <w:szCs w:val="21"/>
        </w:rPr>
        <w:t>The predicted reduction in average BMI (from 27·48 to 27·14 kg/m²) in the analysis excluding fruit juices is estimated to prevent around 221 000–250 000 diabetes cases over two decades after the predicted reduction in bodyweight is achieved.</w:t>
      </w:r>
    </w:p>
    <w:p w14:paraId="48794DD0" w14:textId="77777777" w:rsidR="00891E76" w:rsidRPr="00567B7E" w:rsidRDefault="00891E76" w:rsidP="00891E76">
      <w:pPr>
        <w:jc w:val="center"/>
        <w:rPr>
          <w:szCs w:val="21"/>
        </w:rPr>
      </w:pPr>
      <w:r w:rsidRPr="00567B7E">
        <w:rPr>
          <w:szCs w:val="21"/>
        </w:rPr>
        <w:drawing>
          <wp:inline distT="0" distB="0" distL="0" distR="0" wp14:anchorId="30BF4F18" wp14:editId="364A2BA1">
            <wp:extent cx="3741626" cy="18181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4487" cy="1829217"/>
                    </a:xfrm>
                    <a:prstGeom prst="rect">
                      <a:avLst/>
                    </a:prstGeom>
                  </pic:spPr>
                </pic:pic>
              </a:graphicData>
            </a:graphic>
          </wp:inline>
        </w:drawing>
      </w:r>
    </w:p>
    <w:p w14:paraId="70AB08AA" w14:textId="43D9805D" w:rsidR="00891E76" w:rsidRPr="00567B7E" w:rsidRDefault="00251CD6" w:rsidP="00891E76">
      <w:pPr>
        <w:pStyle w:val="a3"/>
        <w:numPr>
          <w:ilvl w:val="0"/>
          <w:numId w:val="3"/>
        </w:numPr>
        <w:ind w:firstLineChars="0"/>
        <w:rPr>
          <w:rFonts w:hint="eastAsia"/>
          <w:szCs w:val="21"/>
        </w:rPr>
      </w:pPr>
      <w:r w:rsidRPr="00567B7E">
        <w:rPr>
          <w:rFonts w:hint="eastAsia"/>
          <w:szCs w:val="21"/>
        </w:rPr>
        <w:lastRenderedPageBreak/>
        <w:t>S</w:t>
      </w:r>
      <w:r w:rsidRPr="00567B7E">
        <w:rPr>
          <w:szCs w:val="21"/>
        </w:rPr>
        <w:t>ensitivity Analysis</w:t>
      </w:r>
      <w:r w:rsidR="007E34EE">
        <w:rPr>
          <w:szCs w:val="21"/>
        </w:rPr>
        <w:t xml:space="preserve"> </w:t>
      </w:r>
      <w:r w:rsidRPr="00567B7E">
        <w:rPr>
          <w:szCs w:val="21"/>
        </w:rPr>
        <w:t>1: W</w:t>
      </w:r>
      <w:r w:rsidRPr="00567B7E">
        <w:rPr>
          <w:szCs w:val="21"/>
        </w:rPr>
        <w:t>ith the increase in the proportion of under-reporting of sugar-sweetened beverage consumption by overweight and obese individuals and the decrease in the proportion of under-reporting by normal weight and underweight individuals, the reduction in the average bodyweight of all adults was larger than in the main analysis</w:t>
      </w:r>
      <w:r w:rsidRPr="00567B7E">
        <w:rPr>
          <w:szCs w:val="21"/>
        </w:rPr>
        <w:t>.</w:t>
      </w:r>
    </w:p>
    <w:p w14:paraId="6C78555F" w14:textId="7ED36304" w:rsidR="00251CD6" w:rsidRPr="00567B7E" w:rsidRDefault="00251CD6" w:rsidP="00251CD6">
      <w:pPr>
        <w:pStyle w:val="a3"/>
        <w:numPr>
          <w:ilvl w:val="0"/>
          <w:numId w:val="3"/>
        </w:numPr>
        <w:ind w:firstLineChars="0"/>
        <w:rPr>
          <w:szCs w:val="21"/>
        </w:rPr>
      </w:pPr>
      <w:r w:rsidRPr="00567B7E">
        <w:rPr>
          <w:rFonts w:hint="eastAsia"/>
          <w:szCs w:val="21"/>
        </w:rPr>
        <w:t>S</w:t>
      </w:r>
      <w:r w:rsidRPr="00567B7E">
        <w:rPr>
          <w:szCs w:val="21"/>
        </w:rPr>
        <w:t>ensitivity Analysis</w:t>
      </w:r>
      <w:r w:rsidR="007E34EE">
        <w:rPr>
          <w:szCs w:val="21"/>
        </w:rPr>
        <w:t xml:space="preserve"> </w:t>
      </w:r>
      <w:bookmarkStart w:id="0" w:name="_GoBack"/>
      <w:bookmarkEnd w:id="0"/>
      <w:r w:rsidRPr="00567B7E">
        <w:rPr>
          <w:szCs w:val="21"/>
        </w:rPr>
        <w:t xml:space="preserve">2: </w:t>
      </w:r>
      <w:r w:rsidRPr="00567B7E">
        <w:rPr>
          <w:szCs w:val="21"/>
        </w:rPr>
        <w:t>If the “3500 kcal=1 lb” is used, the average cumulative reduction in energy intake would be around 14 016 kcal</w:t>
      </w:r>
      <w:r w:rsidR="00891E76" w:rsidRPr="00567B7E">
        <w:rPr>
          <w:szCs w:val="21"/>
        </w:rPr>
        <w:t xml:space="preserve">, which </w:t>
      </w:r>
      <w:r w:rsidRPr="00567B7E">
        <w:rPr>
          <w:szCs w:val="21"/>
        </w:rPr>
        <w:t>would lead to an average reduction in bodyweight of about 1·80 kg (95% CI 1·70–1·91). Alternatively, if the model proposed by Christiansen and Garby was used to predict the change in steady-state bodyweight, the average reduction would be 1·55 kg (1·44–1·65)</w:t>
      </w:r>
      <w:r w:rsidR="00891E76" w:rsidRPr="00567B7E">
        <w:rPr>
          <w:szCs w:val="21"/>
        </w:rPr>
        <w:t>.</w:t>
      </w:r>
      <w:r w:rsidRPr="00567B7E">
        <w:rPr>
          <w:szCs w:val="21"/>
        </w:rPr>
        <w:t xml:space="preserve"> </w:t>
      </w:r>
      <w:r w:rsidRPr="00567B7E">
        <w:rPr>
          <w:szCs w:val="21"/>
        </w:rPr>
        <w:cr/>
      </w:r>
    </w:p>
    <w:p w14:paraId="5F7001D7" w14:textId="77777777" w:rsidR="00891E76" w:rsidRPr="00567B7E" w:rsidRDefault="00891E76" w:rsidP="00891E76">
      <w:pPr>
        <w:rPr>
          <w:b/>
          <w:bCs/>
          <w:sz w:val="24"/>
          <w:szCs w:val="28"/>
        </w:rPr>
      </w:pPr>
      <w:r w:rsidRPr="00567B7E">
        <w:rPr>
          <w:b/>
          <w:bCs/>
          <w:sz w:val="24"/>
          <w:szCs w:val="28"/>
        </w:rPr>
        <w:t>ILLUMINATIONS</w:t>
      </w:r>
    </w:p>
    <w:p w14:paraId="67037756" w14:textId="77777777" w:rsidR="00891E76" w:rsidRPr="00567B7E" w:rsidRDefault="00891E76" w:rsidP="00891E76">
      <w:pPr>
        <w:pStyle w:val="a3"/>
        <w:numPr>
          <w:ilvl w:val="0"/>
          <w:numId w:val="4"/>
        </w:numPr>
        <w:ind w:firstLineChars="0"/>
        <w:rPr>
          <w:szCs w:val="21"/>
        </w:rPr>
      </w:pPr>
      <w:r w:rsidRPr="00567B7E">
        <w:rPr>
          <w:szCs w:val="21"/>
        </w:rPr>
        <w:t>Without changing the food environment, eﬀective behavioural interventions targeted at individuals have been shown not to be sustainable in the long term</w:t>
      </w:r>
      <w:r w:rsidRPr="00567B7E">
        <w:rPr>
          <w:szCs w:val="21"/>
        </w:rPr>
        <w:t xml:space="preserve">. </w:t>
      </w:r>
      <w:r w:rsidRPr="00567B7E">
        <w:rPr>
          <w:szCs w:val="21"/>
        </w:rPr>
        <w:t>And changing the nutritional composition of food from the production side will produce better results.</w:t>
      </w:r>
    </w:p>
    <w:p w14:paraId="0B05FD1B" w14:textId="77777777" w:rsidR="00891E76" w:rsidRPr="00567B7E" w:rsidRDefault="00891E76" w:rsidP="00891E76">
      <w:pPr>
        <w:pStyle w:val="a3"/>
        <w:numPr>
          <w:ilvl w:val="0"/>
          <w:numId w:val="4"/>
        </w:numPr>
        <w:ind w:firstLineChars="0"/>
        <w:rPr>
          <w:szCs w:val="21"/>
        </w:rPr>
      </w:pPr>
      <w:r w:rsidRPr="00567B7E">
        <w:rPr>
          <w:szCs w:val="21"/>
        </w:rPr>
        <w:t>Th</w:t>
      </w:r>
      <w:r w:rsidRPr="00567B7E">
        <w:rPr>
          <w:szCs w:val="21"/>
        </w:rPr>
        <w:t>e</w:t>
      </w:r>
      <w:r w:rsidRPr="00567B7E">
        <w:rPr>
          <w:szCs w:val="21"/>
        </w:rPr>
        <w:t xml:space="preserve"> reduction</w:t>
      </w:r>
      <w:r w:rsidRPr="00567B7E">
        <w:rPr>
          <w:szCs w:val="21"/>
        </w:rPr>
        <w:t xml:space="preserve"> in sugar intake</w:t>
      </w:r>
      <w:r w:rsidRPr="00567B7E">
        <w:rPr>
          <w:szCs w:val="21"/>
        </w:rPr>
        <w:t xml:space="preserve"> will reduce the obesity-related disease burden, including diabetes, </w:t>
      </w:r>
      <w:proofErr w:type="gramStart"/>
      <w:r w:rsidRPr="00567B7E">
        <w:rPr>
          <w:szCs w:val="21"/>
        </w:rPr>
        <w:t>and also</w:t>
      </w:r>
      <w:proofErr w:type="gramEnd"/>
      <w:r w:rsidRPr="00567B7E">
        <w:rPr>
          <w:szCs w:val="21"/>
        </w:rPr>
        <w:t xml:space="preserve"> lead to cost savings for health-care systems</w:t>
      </w:r>
      <w:r w:rsidRPr="00567B7E">
        <w:rPr>
          <w:szCs w:val="21"/>
        </w:rPr>
        <w:t>.</w:t>
      </w:r>
    </w:p>
    <w:p w14:paraId="7FCBA6A2" w14:textId="77777777" w:rsidR="00891E76" w:rsidRPr="00567B7E" w:rsidRDefault="00891E76" w:rsidP="00891E76">
      <w:pPr>
        <w:pStyle w:val="a3"/>
        <w:numPr>
          <w:ilvl w:val="0"/>
          <w:numId w:val="4"/>
        </w:numPr>
        <w:ind w:firstLineChars="0"/>
        <w:rPr>
          <w:szCs w:val="21"/>
        </w:rPr>
      </w:pPr>
      <w:r w:rsidRPr="00567B7E">
        <w:rPr>
          <w:szCs w:val="21"/>
        </w:rPr>
        <w:t xml:space="preserve">The UK's salt reduction program has produced remarkable results. This paper studies the effect of sugar reduction through </w:t>
      </w:r>
      <w:proofErr w:type="gramStart"/>
      <w:r w:rsidRPr="00567B7E">
        <w:rPr>
          <w:szCs w:val="21"/>
        </w:rPr>
        <w:t>modeling, and</w:t>
      </w:r>
      <w:proofErr w:type="gramEnd"/>
      <w:r w:rsidRPr="00567B7E">
        <w:rPr>
          <w:szCs w:val="21"/>
        </w:rPr>
        <w:t xml:space="preserve"> will be extended to fat reduction in the future. It is helpful for us to study public health policy from the perspective of nutrients.</w:t>
      </w:r>
    </w:p>
    <w:p w14:paraId="42C48D09" w14:textId="77777777" w:rsidR="00891E76" w:rsidRPr="00567B7E" w:rsidRDefault="00891E76" w:rsidP="00891E76">
      <w:pPr>
        <w:pStyle w:val="a3"/>
        <w:numPr>
          <w:ilvl w:val="0"/>
          <w:numId w:val="4"/>
        </w:numPr>
        <w:ind w:firstLineChars="0"/>
        <w:rPr>
          <w:szCs w:val="21"/>
        </w:rPr>
      </w:pPr>
      <w:r w:rsidRPr="00567B7E">
        <w:rPr>
          <w:szCs w:val="21"/>
        </w:rPr>
        <w:t>Previous studies have found that the effect of sweet substitutes on weight loss is controversial and may further affect the reward mechanism of human body. The method adopted in this paper is to reduce sugar content year by year and cultivate consumption habits.</w:t>
      </w:r>
    </w:p>
    <w:p w14:paraId="09637999" w14:textId="77777777" w:rsidR="00891E76" w:rsidRPr="00567B7E" w:rsidRDefault="00891E76" w:rsidP="00891E76">
      <w:pPr>
        <w:pStyle w:val="a3"/>
        <w:numPr>
          <w:ilvl w:val="0"/>
          <w:numId w:val="4"/>
        </w:numPr>
        <w:ind w:firstLineChars="0"/>
        <w:rPr>
          <w:szCs w:val="21"/>
        </w:rPr>
      </w:pPr>
      <w:r w:rsidRPr="00567B7E">
        <w:rPr>
          <w:szCs w:val="21"/>
        </w:rPr>
        <w:t>In this paper, the author also compares this policy with the tax policy, which reduces the demand by increasing the price of sugar drinks.</w:t>
      </w:r>
      <w:r w:rsidRPr="00567B7E">
        <w:rPr>
          <w:szCs w:val="21"/>
        </w:rPr>
        <w:t xml:space="preserve"> </w:t>
      </w:r>
      <w:r w:rsidRPr="00567B7E">
        <w:rPr>
          <w:szCs w:val="21"/>
        </w:rPr>
        <w:t>The author thinks that the combination of tax policy and the policy discussed in this paper will produce better effect.</w:t>
      </w:r>
    </w:p>
    <w:p w14:paraId="483CA891" w14:textId="77777777" w:rsidR="00891E76" w:rsidRDefault="00891E76" w:rsidP="00891E76">
      <w:pPr>
        <w:rPr>
          <w:sz w:val="22"/>
          <w:szCs w:val="24"/>
        </w:rPr>
      </w:pPr>
    </w:p>
    <w:p w14:paraId="5A1B8F2D" w14:textId="77777777" w:rsidR="00567B7E" w:rsidRPr="00567B7E" w:rsidRDefault="00567B7E" w:rsidP="00891E76">
      <w:pPr>
        <w:rPr>
          <w:rFonts w:hint="eastAsia"/>
          <w:b/>
          <w:bCs/>
          <w:sz w:val="24"/>
          <w:szCs w:val="28"/>
        </w:rPr>
      </w:pPr>
      <w:r w:rsidRPr="00567B7E">
        <w:rPr>
          <w:rFonts w:hint="eastAsia"/>
          <w:b/>
          <w:bCs/>
          <w:sz w:val="24"/>
          <w:szCs w:val="28"/>
        </w:rPr>
        <w:t>E</w:t>
      </w:r>
      <w:r w:rsidRPr="00567B7E">
        <w:rPr>
          <w:b/>
          <w:bCs/>
          <w:sz w:val="24"/>
          <w:szCs w:val="28"/>
        </w:rPr>
        <w:t>VALUATIONS</w:t>
      </w:r>
    </w:p>
    <w:p w14:paraId="6E509CA4" w14:textId="77777777" w:rsidR="00891E76" w:rsidRPr="00567B7E" w:rsidRDefault="00891E76" w:rsidP="00891E76">
      <w:pPr>
        <w:rPr>
          <w:b/>
          <w:bCs/>
          <w:sz w:val="22"/>
          <w:szCs w:val="24"/>
          <w:u w:val="single"/>
        </w:rPr>
      </w:pPr>
      <w:r w:rsidRPr="00567B7E">
        <w:rPr>
          <w:rFonts w:hint="eastAsia"/>
          <w:b/>
          <w:bCs/>
          <w:sz w:val="22"/>
          <w:szCs w:val="24"/>
          <w:u w:val="single"/>
        </w:rPr>
        <w:t>S</w:t>
      </w:r>
      <w:r w:rsidRPr="00567B7E">
        <w:rPr>
          <w:b/>
          <w:bCs/>
          <w:sz w:val="22"/>
          <w:szCs w:val="24"/>
          <w:u w:val="single"/>
        </w:rPr>
        <w:t>TRENGTHS</w:t>
      </w:r>
    </w:p>
    <w:p w14:paraId="259643FA" w14:textId="77777777" w:rsidR="00891E76" w:rsidRDefault="00891E76" w:rsidP="00891E76">
      <w:pPr>
        <w:pStyle w:val="a3"/>
        <w:numPr>
          <w:ilvl w:val="0"/>
          <w:numId w:val="5"/>
        </w:numPr>
        <w:ind w:firstLineChars="0"/>
        <w:rPr>
          <w:sz w:val="22"/>
          <w:szCs w:val="24"/>
        </w:rPr>
      </w:pPr>
      <w:r w:rsidRPr="00891E76">
        <w:rPr>
          <w:sz w:val="22"/>
          <w:szCs w:val="24"/>
        </w:rPr>
        <w:t>Similar policies have proved effective.</w:t>
      </w:r>
    </w:p>
    <w:p w14:paraId="10BAA62A" w14:textId="77777777" w:rsidR="00891E76" w:rsidRDefault="00567B7E" w:rsidP="00891E76">
      <w:pPr>
        <w:pStyle w:val="a3"/>
        <w:numPr>
          <w:ilvl w:val="0"/>
          <w:numId w:val="5"/>
        </w:numPr>
        <w:ind w:firstLineChars="0"/>
        <w:rPr>
          <w:sz w:val="22"/>
          <w:szCs w:val="24"/>
        </w:rPr>
      </w:pPr>
      <w:r>
        <w:rPr>
          <w:sz w:val="22"/>
          <w:szCs w:val="24"/>
        </w:rPr>
        <w:t>N</w:t>
      </w:r>
      <w:r w:rsidR="00891E76" w:rsidRPr="00891E76">
        <w:rPr>
          <w:sz w:val="22"/>
          <w:szCs w:val="24"/>
        </w:rPr>
        <w:t>ational data</w:t>
      </w:r>
      <w:r>
        <w:rPr>
          <w:sz w:val="22"/>
          <w:szCs w:val="24"/>
        </w:rPr>
        <w:t xml:space="preserve"> is used</w:t>
      </w:r>
      <w:r w:rsidR="00891E76" w:rsidRPr="00891E76">
        <w:rPr>
          <w:sz w:val="22"/>
          <w:szCs w:val="24"/>
        </w:rPr>
        <w:t xml:space="preserve"> to reduce bias.</w:t>
      </w:r>
    </w:p>
    <w:p w14:paraId="638552A7" w14:textId="77777777" w:rsidR="00567B7E" w:rsidRDefault="00567B7E" w:rsidP="00891E76">
      <w:pPr>
        <w:pStyle w:val="a3"/>
        <w:numPr>
          <w:ilvl w:val="0"/>
          <w:numId w:val="5"/>
        </w:numPr>
        <w:ind w:firstLineChars="0"/>
        <w:rPr>
          <w:sz w:val="22"/>
          <w:szCs w:val="24"/>
        </w:rPr>
      </w:pPr>
      <w:r>
        <w:rPr>
          <w:sz w:val="22"/>
          <w:szCs w:val="24"/>
        </w:rPr>
        <w:t>S</w:t>
      </w:r>
      <w:r w:rsidRPr="00567B7E">
        <w:rPr>
          <w:sz w:val="22"/>
          <w:szCs w:val="24"/>
        </w:rPr>
        <w:t>ales data and diary data were combined to address the highly prevalent issue of diet misreporting</w:t>
      </w:r>
      <w:r>
        <w:rPr>
          <w:sz w:val="22"/>
          <w:szCs w:val="24"/>
        </w:rPr>
        <w:t>.</w:t>
      </w:r>
    </w:p>
    <w:p w14:paraId="0CC0AFC1" w14:textId="77777777" w:rsidR="00567B7E" w:rsidRPr="00567B7E" w:rsidRDefault="00567B7E" w:rsidP="00567B7E">
      <w:pPr>
        <w:pStyle w:val="a3"/>
        <w:numPr>
          <w:ilvl w:val="0"/>
          <w:numId w:val="5"/>
        </w:numPr>
        <w:ind w:firstLineChars="0"/>
        <w:rPr>
          <w:rFonts w:hint="eastAsia"/>
          <w:sz w:val="22"/>
          <w:szCs w:val="24"/>
        </w:rPr>
      </w:pPr>
      <w:r w:rsidRPr="00567B7E">
        <w:rPr>
          <w:sz w:val="22"/>
          <w:szCs w:val="24"/>
        </w:rPr>
        <w:t>Robustness analysis shows that the results of this paper are conservative.</w:t>
      </w:r>
    </w:p>
    <w:p w14:paraId="572345D8" w14:textId="77777777" w:rsidR="00567B7E" w:rsidRPr="00567B7E" w:rsidRDefault="00567B7E" w:rsidP="00567B7E">
      <w:pPr>
        <w:rPr>
          <w:b/>
          <w:bCs/>
          <w:sz w:val="22"/>
          <w:szCs w:val="24"/>
          <w:u w:val="single"/>
        </w:rPr>
      </w:pPr>
      <w:r w:rsidRPr="00567B7E">
        <w:rPr>
          <w:rFonts w:hint="eastAsia"/>
          <w:b/>
          <w:bCs/>
          <w:sz w:val="22"/>
          <w:szCs w:val="24"/>
          <w:u w:val="single"/>
        </w:rPr>
        <w:t>L</w:t>
      </w:r>
      <w:r w:rsidRPr="00567B7E">
        <w:rPr>
          <w:b/>
          <w:bCs/>
          <w:sz w:val="22"/>
          <w:szCs w:val="24"/>
          <w:u w:val="single"/>
        </w:rPr>
        <w:t>IMITATIONS</w:t>
      </w:r>
    </w:p>
    <w:p w14:paraId="7F3B5B49" w14:textId="77777777" w:rsidR="00567B7E" w:rsidRDefault="00567B7E" w:rsidP="00567B7E">
      <w:pPr>
        <w:pStyle w:val="a3"/>
        <w:numPr>
          <w:ilvl w:val="0"/>
          <w:numId w:val="6"/>
        </w:numPr>
        <w:ind w:firstLineChars="0"/>
        <w:rPr>
          <w:sz w:val="22"/>
          <w:szCs w:val="24"/>
        </w:rPr>
      </w:pPr>
      <w:r w:rsidRPr="00567B7E">
        <w:rPr>
          <w:sz w:val="22"/>
          <w:szCs w:val="24"/>
        </w:rPr>
        <w:t>Because it is assumed that the reported bias of different populations is the same proportion, the results of this paper may be relatively underestimated.</w:t>
      </w:r>
    </w:p>
    <w:p w14:paraId="232A0E56" w14:textId="77777777" w:rsidR="00567B7E" w:rsidRDefault="00567B7E" w:rsidP="00567B7E">
      <w:pPr>
        <w:pStyle w:val="a3"/>
        <w:numPr>
          <w:ilvl w:val="0"/>
          <w:numId w:val="6"/>
        </w:numPr>
        <w:ind w:firstLineChars="0"/>
        <w:rPr>
          <w:sz w:val="22"/>
          <w:szCs w:val="24"/>
        </w:rPr>
      </w:pPr>
      <w:r w:rsidRPr="00567B7E">
        <w:rPr>
          <w:sz w:val="22"/>
          <w:szCs w:val="24"/>
        </w:rPr>
        <w:t xml:space="preserve">Data from multiple sources used </w:t>
      </w:r>
      <w:r>
        <w:rPr>
          <w:sz w:val="22"/>
          <w:szCs w:val="24"/>
        </w:rPr>
        <w:t xml:space="preserve">are </w:t>
      </w:r>
      <w:r w:rsidRPr="00567B7E">
        <w:rPr>
          <w:sz w:val="22"/>
          <w:szCs w:val="24"/>
        </w:rPr>
        <w:t>not necessarily proportionate.</w:t>
      </w:r>
    </w:p>
    <w:p w14:paraId="1F74B4D0" w14:textId="77777777" w:rsidR="00567B7E" w:rsidRDefault="00567B7E" w:rsidP="00567B7E">
      <w:pPr>
        <w:pStyle w:val="a3"/>
        <w:numPr>
          <w:ilvl w:val="0"/>
          <w:numId w:val="6"/>
        </w:numPr>
        <w:ind w:firstLineChars="0"/>
        <w:rPr>
          <w:sz w:val="22"/>
          <w:szCs w:val="24"/>
        </w:rPr>
      </w:pPr>
      <w:r w:rsidRPr="00567B7E">
        <w:rPr>
          <w:sz w:val="22"/>
          <w:szCs w:val="24"/>
        </w:rPr>
        <w:t>Only adult weight changes are predicted. This is because the adult model is not suitable for children.</w:t>
      </w:r>
    </w:p>
    <w:p w14:paraId="5B49528C" w14:textId="77777777" w:rsidR="00567B7E" w:rsidRDefault="00567B7E">
      <w:pPr>
        <w:widowControl/>
        <w:jc w:val="left"/>
        <w:rPr>
          <w:sz w:val="22"/>
          <w:szCs w:val="24"/>
        </w:rPr>
      </w:pPr>
      <w:r>
        <w:rPr>
          <w:sz w:val="22"/>
          <w:szCs w:val="24"/>
        </w:rPr>
        <w:br w:type="page"/>
      </w:r>
    </w:p>
    <w:p w14:paraId="26F0AD89" w14:textId="77777777" w:rsidR="00F106CC" w:rsidRDefault="00567B7E" w:rsidP="00567B7E">
      <w:pPr>
        <w:rPr>
          <w:sz w:val="22"/>
          <w:szCs w:val="24"/>
        </w:rPr>
      </w:pPr>
      <w:r w:rsidRPr="00F106CC">
        <w:rPr>
          <w:rFonts w:hint="eastAsia"/>
          <w:b/>
          <w:bCs/>
          <w:sz w:val="28"/>
          <w:szCs w:val="32"/>
        </w:rPr>
        <w:lastRenderedPageBreak/>
        <w:t>A</w:t>
      </w:r>
      <w:r w:rsidRPr="00F106CC">
        <w:rPr>
          <w:b/>
          <w:bCs/>
          <w:sz w:val="28"/>
          <w:szCs w:val="32"/>
        </w:rPr>
        <w:t>PPENDIX</w:t>
      </w:r>
    </w:p>
    <w:p w14:paraId="7A3E3117" w14:textId="77777777" w:rsidR="00567B7E" w:rsidRPr="00F106CC" w:rsidRDefault="00F106CC" w:rsidP="00F106CC">
      <w:pPr>
        <w:jc w:val="center"/>
        <w:rPr>
          <w:b/>
          <w:bCs/>
          <w:sz w:val="28"/>
          <w:szCs w:val="32"/>
        </w:rPr>
      </w:pPr>
      <w:r w:rsidRPr="00F106CC">
        <w:rPr>
          <w:b/>
          <w:bCs/>
          <w:sz w:val="28"/>
          <w:szCs w:val="32"/>
        </w:rPr>
        <w:t>The Kevin &amp; Peter Model</w:t>
      </w:r>
    </w:p>
    <w:p w14:paraId="3EEE34C5" w14:textId="77777777" w:rsidR="00567B7E" w:rsidRDefault="00F106CC" w:rsidP="00567B7E">
      <w:pPr>
        <w:rPr>
          <w:sz w:val="22"/>
          <w:szCs w:val="24"/>
        </w:rPr>
      </w:pPr>
      <w:r w:rsidRPr="00F106CC">
        <w:rPr>
          <w:sz w:val="22"/>
          <w:szCs w:val="24"/>
        </w:rPr>
        <w:t>If a patient wishes to change his or her body weight by a certain amount (ΔBW), how would his or her diet or physical activity have to change to maintain the goal weight?</w:t>
      </w:r>
      <w:r>
        <w:rPr>
          <w:sz w:val="22"/>
          <w:szCs w:val="24"/>
        </w:rPr>
        <w:t xml:space="preserve"> </w:t>
      </w:r>
      <w:r w:rsidR="00567B7E" w:rsidRPr="00567B7E">
        <w:rPr>
          <w:sz w:val="22"/>
          <w:szCs w:val="24"/>
        </w:rPr>
        <w:t>Proposed model of steady-state body-weight change</w:t>
      </w:r>
      <w:r>
        <w:rPr>
          <w:sz w:val="22"/>
          <w:szCs w:val="24"/>
        </w:rPr>
        <w:t>, m</w:t>
      </w:r>
      <w:r>
        <w:rPr>
          <w:rFonts w:hint="eastAsia"/>
          <w:sz w:val="22"/>
          <w:szCs w:val="24"/>
        </w:rPr>
        <w:t>odel</w:t>
      </w:r>
      <w:r>
        <w:rPr>
          <w:sz w:val="22"/>
          <w:szCs w:val="24"/>
        </w:rPr>
        <w:t xml:space="preserve"> developed by </w:t>
      </w:r>
      <w:r w:rsidRPr="00F106CC">
        <w:rPr>
          <w:sz w:val="22"/>
          <w:szCs w:val="24"/>
        </w:rPr>
        <w:t>Kevin D Hall</w:t>
      </w:r>
      <w:r>
        <w:rPr>
          <w:sz w:val="22"/>
          <w:szCs w:val="24"/>
        </w:rPr>
        <w:t xml:space="preserve"> and</w:t>
      </w:r>
      <w:r w:rsidRPr="00F106CC">
        <w:rPr>
          <w:sz w:val="22"/>
          <w:szCs w:val="24"/>
        </w:rPr>
        <w:t xml:space="preserve"> Peter N Jordan</w:t>
      </w:r>
      <w:r>
        <w:rPr>
          <w:sz w:val="22"/>
          <w:szCs w:val="24"/>
        </w:rPr>
        <w:t xml:space="preserve"> can be described as follows:</w:t>
      </w:r>
    </w:p>
    <w:p w14:paraId="536B3551" w14:textId="77777777" w:rsidR="00F106CC" w:rsidRDefault="00F106CC" w:rsidP="00F106CC">
      <w:pPr>
        <w:jc w:val="center"/>
        <w:rPr>
          <w:rStyle w:val="mo"/>
          <w:rFonts w:ascii="MathJax_Main" w:hAnsi="MathJax_Main" w:cs="Times New Roman"/>
          <w:color w:val="2A2A2A"/>
          <w:sz w:val="27"/>
          <w:szCs w:val="27"/>
          <w:bdr w:val="none" w:sz="0" w:space="0" w:color="auto" w:frame="1"/>
          <w:shd w:val="clear" w:color="auto" w:fill="FFFFFF"/>
        </w:rPr>
      </w:pPr>
      <w:r>
        <w:rPr>
          <w:rStyle w:val="mi"/>
          <w:rFonts w:ascii="MathJax_Main" w:hAnsi="MathJax_Main" w:cs="Times New Roman"/>
          <w:color w:val="2A2A2A"/>
          <w:sz w:val="27"/>
          <w:szCs w:val="27"/>
          <w:bdr w:val="none" w:sz="0" w:space="0" w:color="auto" w:frame="1"/>
          <w:shd w:val="clear" w:color="auto" w:fill="FFFFFF"/>
        </w:rPr>
        <w:t>EE</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K</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β</w:t>
      </w:r>
      <w:r>
        <w:rPr>
          <w:rStyle w:val="mi"/>
          <w:rFonts w:ascii="MathJax_Main" w:hAnsi="MathJax_Main" w:cs="Times New Roman"/>
          <w:color w:val="2A2A2A"/>
          <w:sz w:val="27"/>
          <w:szCs w:val="27"/>
          <w:bdr w:val="none" w:sz="0" w:space="0" w:color="auto" w:frame="1"/>
          <w:shd w:val="clear" w:color="auto" w:fill="FFFFFF"/>
        </w:rPr>
        <w:t>EI</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γ</w:t>
      </w:r>
      <w:r w:rsidRPr="00F106CC">
        <w:rPr>
          <w:rStyle w:val="mi"/>
          <w:rFonts w:ascii="MathJax_Main" w:hAnsi="MathJax_Main" w:cs="Times New Roman"/>
          <w:color w:val="2A2A2A"/>
          <w:sz w:val="19"/>
          <w:szCs w:val="19"/>
          <w:bdr w:val="none" w:sz="0" w:space="0" w:color="auto" w:frame="1"/>
          <w:shd w:val="clear" w:color="auto" w:fill="FFFFFF"/>
          <w:vertAlign w:val="subscript"/>
        </w:rPr>
        <w:t>FFM</w:t>
      </w:r>
      <w:r>
        <w:rPr>
          <w:rStyle w:val="mi"/>
          <w:rFonts w:ascii="MathJax_Main" w:hAnsi="MathJax_Main" w:cs="Times New Roman"/>
          <w:color w:val="2A2A2A"/>
          <w:sz w:val="27"/>
          <w:szCs w:val="27"/>
          <w:bdr w:val="none" w:sz="0" w:space="0" w:color="auto" w:frame="1"/>
          <w:shd w:val="clear" w:color="auto" w:fill="FFFFFF"/>
        </w:rPr>
        <w:t>FFM</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γ</w:t>
      </w:r>
      <w:r w:rsidRPr="00F106CC">
        <w:rPr>
          <w:rStyle w:val="mi"/>
          <w:rFonts w:ascii="MathJax_Main" w:hAnsi="MathJax_Main" w:cs="Times New Roman"/>
          <w:color w:val="2A2A2A"/>
          <w:sz w:val="19"/>
          <w:szCs w:val="19"/>
          <w:bdr w:val="none" w:sz="0" w:space="0" w:color="auto" w:frame="1"/>
          <w:shd w:val="clear" w:color="auto" w:fill="FFFFFF"/>
          <w:vertAlign w:val="subscript"/>
        </w:rPr>
        <w:t>FM</w:t>
      </w:r>
      <w:r>
        <w:rPr>
          <w:rStyle w:val="mi"/>
          <w:rFonts w:ascii="MathJax_Main" w:hAnsi="MathJax_Main" w:cs="Times New Roman"/>
          <w:color w:val="2A2A2A"/>
          <w:sz w:val="27"/>
          <w:szCs w:val="27"/>
          <w:bdr w:val="none" w:sz="0" w:space="0" w:color="auto" w:frame="1"/>
          <w:shd w:val="clear" w:color="auto" w:fill="FFFFFF"/>
        </w:rPr>
        <w:t>FM</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δ</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FFM</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FM</w:t>
      </w:r>
      <w:r>
        <w:rPr>
          <w:rStyle w:val="mo"/>
          <w:rFonts w:ascii="MathJax_Main" w:hAnsi="MathJax_Main" w:cs="Times New Roman"/>
          <w:color w:val="2A2A2A"/>
          <w:sz w:val="27"/>
          <w:szCs w:val="27"/>
          <w:bdr w:val="none" w:sz="0" w:space="0" w:color="auto" w:frame="1"/>
          <w:shd w:val="clear" w:color="auto" w:fill="FFFFFF"/>
        </w:rPr>
        <w:t>)</w:t>
      </w:r>
    </w:p>
    <w:p w14:paraId="52E956C4" w14:textId="77777777" w:rsidR="00F106CC" w:rsidRDefault="00F106CC" w:rsidP="00F106CC">
      <w:pPr>
        <w:rPr>
          <w:sz w:val="22"/>
          <w:szCs w:val="24"/>
        </w:rPr>
      </w:pPr>
      <w:r>
        <w:rPr>
          <w:sz w:val="22"/>
          <w:szCs w:val="24"/>
        </w:rPr>
        <w:t>w</w:t>
      </w:r>
      <w:r w:rsidRPr="00F106CC">
        <w:rPr>
          <w:sz w:val="22"/>
          <w:szCs w:val="24"/>
        </w:rPr>
        <w:t>here</w:t>
      </w:r>
      <w:r>
        <w:rPr>
          <w:sz w:val="22"/>
          <w:szCs w:val="24"/>
        </w:rPr>
        <w:t xml:space="preserve"> EE means </w:t>
      </w:r>
      <w:r w:rsidRPr="00F106CC">
        <w:rPr>
          <w:sz w:val="22"/>
          <w:szCs w:val="24"/>
        </w:rPr>
        <w:t>energy expenditure</w:t>
      </w:r>
      <w:r>
        <w:rPr>
          <w:sz w:val="22"/>
          <w:szCs w:val="24"/>
        </w:rPr>
        <w:t xml:space="preserve">, EI means </w:t>
      </w:r>
      <w:r w:rsidRPr="00F106CC">
        <w:rPr>
          <w:sz w:val="22"/>
          <w:szCs w:val="24"/>
        </w:rPr>
        <w:t>energy intake</w:t>
      </w:r>
      <w:r>
        <w:rPr>
          <w:sz w:val="22"/>
          <w:szCs w:val="24"/>
        </w:rPr>
        <w:t>,</w:t>
      </w:r>
      <w:r w:rsidRPr="00F106CC">
        <w:rPr>
          <w:sz w:val="22"/>
          <w:szCs w:val="24"/>
        </w:rPr>
        <w:t xml:space="preserve"> K is a constant, γ</w:t>
      </w:r>
      <w:r w:rsidRPr="00F106CC">
        <w:rPr>
          <w:sz w:val="22"/>
          <w:szCs w:val="24"/>
          <w:vertAlign w:val="subscript"/>
        </w:rPr>
        <w:t>FFM</w:t>
      </w:r>
      <w:r w:rsidRPr="00F106CC">
        <w:rPr>
          <w:sz w:val="22"/>
          <w:szCs w:val="24"/>
        </w:rPr>
        <w:t xml:space="preserve"> = 22 kcal·kg</w:t>
      </w:r>
      <w:r w:rsidRPr="00F106CC">
        <w:rPr>
          <w:sz w:val="22"/>
          <w:szCs w:val="24"/>
          <w:vertAlign w:val="superscript"/>
        </w:rPr>
        <w:t>−1</w:t>
      </w:r>
      <w:r w:rsidRPr="00F106CC">
        <w:rPr>
          <w:sz w:val="22"/>
          <w:szCs w:val="24"/>
        </w:rPr>
        <w:t>·d−1, and γ</w:t>
      </w:r>
      <w:r w:rsidRPr="00F106CC">
        <w:rPr>
          <w:sz w:val="22"/>
          <w:szCs w:val="24"/>
          <w:vertAlign w:val="subscript"/>
        </w:rPr>
        <w:t>FM</w:t>
      </w:r>
      <w:r w:rsidRPr="00F106CC">
        <w:rPr>
          <w:sz w:val="22"/>
          <w:szCs w:val="24"/>
        </w:rPr>
        <w:t xml:space="preserve"> = 3.2 kcal·kg</w:t>
      </w:r>
      <w:r w:rsidRPr="00F106CC">
        <w:rPr>
          <w:sz w:val="22"/>
          <w:szCs w:val="24"/>
          <w:vertAlign w:val="superscript"/>
        </w:rPr>
        <w:t>−1</w:t>
      </w:r>
      <w:r w:rsidRPr="00F106CC">
        <w:rPr>
          <w:sz w:val="22"/>
          <w:szCs w:val="24"/>
        </w:rPr>
        <w:t>·d</w:t>
      </w:r>
      <w:r w:rsidRPr="00F106CC">
        <w:rPr>
          <w:sz w:val="22"/>
          <w:szCs w:val="24"/>
          <w:vertAlign w:val="superscript"/>
        </w:rPr>
        <w:t>−1</w:t>
      </w:r>
      <w:r w:rsidRPr="00F106CC">
        <w:rPr>
          <w:sz w:val="22"/>
          <w:szCs w:val="24"/>
        </w:rPr>
        <w:t xml:space="preserve"> are the regression coefficients for resting metabolic rate versus fat-free mass (FFM) and fat mass (FM), respectively</w:t>
      </w:r>
      <w:r>
        <w:rPr>
          <w:sz w:val="22"/>
          <w:szCs w:val="24"/>
        </w:rPr>
        <w:t xml:space="preserve">. </w:t>
      </w:r>
      <w:r w:rsidRPr="00F106CC">
        <w:rPr>
          <w:sz w:val="22"/>
          <w:szCs w:val="24"/>
        </w:rPr>
        <w:t>It is assumed that the energy cost of most physical activities is proportional to body weight and is thus specified by the parameter δ. The parameter β accounts for the thermic effect of feeding as well as any adaptations of the EE rate beyond that predicted by body-composition change alone. Because there is significant debate as to whether such adaptations occur with weight loss, the numerical value of the parameter β was determined by the best fit to the weight-change data (described in the final paragraph of the Materials and Methods section).</w:t>
      </w:r>
    </w:p>
    <w:p w14:paraId="5CB27E15" w14:textId="77777777" w:rsidR="00F106CC" w:rsidRDefault="00F106CC" w:rsidP="00F106CC">
      <w:pPr>
        <w:ind w:firstLineChars="100" w:firstLine="220"/>
        <w:rPr>
          <w:sz w:val="22"/>
          <w:szCs w:val="24"/>
        </w:rPr>
      </w:pPr>
      <w:r w:rsidRPr="00F106CC">
        <w:rPr>
          <w:sz w:val="22"/>
          <w:szCs w:val="24"/>
        </w:rPr>
        <w:t xml:space="preserve">When the body weight is maintained at a constant reduced level, the EE rate equals the EI rate. Therefore, if the dietary intake changes by ΔEI, and the physical activity changes by Δδ, the following equation is satisfied at the new steady state: </w:t>
      </w:r>
    </w:p>
    <w:p w14:paraId="469BE683" w14:textId="77777777" w:rsidR="00F106CC" w:rsidRDefault="00F106CC" w:rsidP="00F106CC">
      <w:pPr>
        <w:jc w:val="center"/>
        <w:rPr>
          <w:rStyle w:val="mi"/>
          <w:rFonts w:ascii="MathJax_Math-italic" w:hAnsi="MathJax_Math-italic" w:cs="Times New Roman"/>
          <w:color w:val="2A2A2A"/>
          <w:sz w:val="27"/>
          <w:szCs w:val="27"/>
          <w:bdr w:val="none" w:sz="0" w:space="0" w:color="auto" w:frame="1"/>
          <w:shd w:val="clear" w:color="auto" w:fill="FFFFFF"/>
        </w:rPr>
      </w:pPr>
      <w:r>
        <w:rPr>
          <w:rStyle w:val="mi"/>
          <w:rFonts w:ascii="MathJax_Main" w:hAnsi="MathJax_Main" w:cs="Times New Roman"/>
          <w:color w:val="2A2A2A"/>
          <w:sz w:val="27"/>
          <w:szCs w:val="27"/>
          <w:bdr w:val="none" w:sz="0" w:space="0" w:color="auto" w:frame="1"/>
          <w:shd w:val="clear" w:color="auto" w:fill="FFFFFF"/>
        </w:rPr>
        <w:t>ΔEI</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β</w:t>
      </w:r>
      <w:r>
        <w:rPr>
          <w:rStyle w:val="mi"/>
          <w:rFonts w:ascii="MathJax_Main" w:hAnsi="MathJax_Main" w:cs="Times New Roman"/>
          <w:color w:val="2A2A2A"/>
          <w:sz w:val="27"/>
          <w:szCs w:val="27"/>
          <w:bdr w:val="none" w:sz="0" w:space="0" w:color="auto" w:frame="1"/>
          <w:shd w:val="clear" w:color="auto" w:fill="FFFFFF"/>
        </w:rPr>
        <w:t>ΔEI</w:t>
      </w:r>
      <w:r>
        <w:rPr>
          <w:rStyle w:val="mo"/>
          <w:rFonts w:ascii="MathJax_Main" w:hAnsi="MathJax_Main" w:cs="Times New Roman"/>
          <w:color w:val="2A2A2A"/>
          <w:sz w:val="27"/>
          <w:szCs w:val="27"/>
          <w:bdr w:val="none" w:sz="0" w:space="0" w:color="auto" w:frame="1"/>
          <w:shd w:val="clear" w:color="auto" w:fill="FFFFFF"/>
        </w:rPr>
        <w:t>+</w:t>
      </w:r>
      <w:r>
        <w:rPr>
          <w:rStyle w:val="mo"/>
          <w:rFonts w:ascii="MathJax_Main" w:hAnsi="MathJax_Mai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γ</w:t>
      </w:r>
      <w:r w:rsidRPr="00F106CC">
        <w:rPr>
          <w:rStyle w:val="mi"/>
          <w:rFonts w:ascii="MathJax_Main" w:hAnsi="MathJax_Main" w:cs="Times New Roman"/>
          <w:color w:val="2A2A2A"/>
          <w:sz w:val="19"/>
          <w:szCs w:val="19"/>
          <w:bdr w:val="none" w:sz="0" w:space="0" w:color="auto" w:frame="1"/>
          <w:shd w:val="clear" w:color="auto" w:fill="FFFFFF"/>
          <w:vertAlign w:val="subscript"/>
        </w:rPr>
        <w:t>FFM</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δ</w:t>
      </w:r>
      <w:r w:rsidRPr="00F106CC">
        <w:rPr>
          <w:rStyle w:val="mi"/>
          <w:rFonts w:ascii="MathJax_Main" w:hAnsi="MathJax_Main" w:cs="Times New Roman"/>
          <w:color w:val="2A2A2A"/>
          <w:sz w:val="19"/>
          <w:szCs w:val="19"/>
          <w:bdr w:val="none" w:sz="0" w:space="0" w:color="auto" w:frame="1"/>
          <w:shd w:val="clear" w:color="auto" w:fill="FFFFFF"/>
          <w:vertAlign w:val="subscript"/>
        </w:rPr>
        <w:t>init</w:t>
      </w:r>
      <w:r>
        <w:rPr>
          <w:rStyle w:val="mo"/>
          <w:rFonts w:ascii="MathJax_Main" w:hAnsi="MathJax_Main" w:cs="Times New Roman"/>
          <w:color w:val="2A2A2A"/>
          <w:sz w:val="27"/>
          <w:szCs w:val="27"/>
          <w:bdr w:val="none" w:sz="0" w:space="0" w:color="auto" w:frame="1"/>
          <w:shd w:val="clear" w:color="auto" w:fill="FFFFFF"/>
        </w:rPr>
        <w:t>+</w:t>
      </w:r>
      <w:proofErr w:type="gramStart"/>
      <w:r>
        <w:rPr>
          <w:rStyle w:val="mi"/>
          <w:rFonts w:ascii="MathJax_Main" w:hAnsi="MathJax_Main" w:cs="Times New Roman"/>
          <w:color w:val="2A2A2A"/>
          <w:sz w:val="27"/>
          <w:szCs w:val="27"/>
          <w:bdr w:val="none" w:sz="0" w:space="0" w:color="auto" w:frame="1"/>
          <w:shd w:val="clear" w:color="auto" w:fill="FFFFFF"/>
        </w:rPr>
        <w:t>Δ</w:t>
      </w:r>
      <w:r>
        <w:rPr>
          <w:rStyle w:val="mi"/>
          <w:rFonts w:ascii="MathJax_Math-italic" w:hAnsi="MathJax_Math-italic" w:cs="Times New Roman"/>
          <w:color w:val="2A2A2A"/>
          <w:sz w:val="27"/>
          <w:szCs w:val="27"/>
          <w:bdr w:val="none" w:sz="0" w:space="0" w:color="auto" w:frame="1"/>
          <w:shd w:val="clear" w:color="auto" w:fill="FFFFFF"/>
        </w:rPr>
        <w:t>δ</w:t>
      </w:r>
      <w:r>
        <w:rPr>
          <w:rStyle w:val="mo"/>
          <w:rFonts w:ascii="MathJax_Main" w:hAnsi="MathJax_Mai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Δ</w:t>
      </w:r>
      <w:proofErr w:type="gramEnd"/>
      <w:r>
        <w:rPr>
          <w:rStyle w:val="mi"/>
          <w:rFonts w:ascii="MathJax_Main" w:hAnsi="MathJax_Main" w:cs="Times New Roman"/>
          <w:color w:val="2A2A2A"/>
          <w:sz w:val="27"/>
          <w:szCs w:val="27"/>
          <w:bdr w:val="none" w:sz="0" w:space="0" w:color="auto" w:frame="1"/>
          <w:shd w:val="clear" w:color="auto" w:fill="FFFFFF"/>
        </w:rPr>
        <w:t>FFM</w:t>
      </w:r>
      <w:r>
        <w:rPr>
          <w:rStyle w:val="mo"/>
          <w:rFonts w:ascii="MathJax_Main" w:hAnsi="MathJax_Main" w:cs="Times New Roman"/>
          <w:color w:val="2A2A2A"/>
          <w:sz w:val="27"/>
          <w:szCs w:val="27"/>
          <w:bdr w:val="none" w:sz="0" w:space="0" w:color="auto" w:frame="1"/>
          <w:shd w:val="clear" w:color="auto" w:fill="FFFFFF"/>
        </w:rPr>
        <w:t>+</w:t>
      </w:r>
      <w:r>
        <w:rPr>
          <w:rStyle w:val="mo"/>
          <w:rFonts w:ascii="MathJax_Main" w:hAnsi="MathJax_Mai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γ</w:t>
      </w:r>
      <w:r w:rsidRPr="00F106CC">
        <w:rPr>
          <w:rStyle w:val="mi"/>
          <w:rFonts w:ascii="MathJax_Main" w:hAnsi="MathJax_Main" w:cs="Times New Roman"/>
          <w:color w:val="2A2A2A"/>
          <w:sz w:val="19"/>
          <w:szCs w:val="19"/>
          <w:bdr w:val="none" w:sz="0" w:space="0" w:color="auto" w:frame="1"/>
          <w:shd w:val="clear" w:color="auto" w:fill="FFFFFF"/>
          <w:vertAlign w:val="subscript"/>
        </w:rPr>
        <w:t>FM</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δ</w:t>
      </w:r>
      <w:r>
        <w:rPr>
          <w:rStyle w:val="mi"/>
          <w:rFonts w:ascii="MathJax_Main" w:hAnsi="MathJax_Main" w:cs="Times New Roman"/>
          <w:color w:val="2A2A2A"/>
          <w:sz w:val="19"/>
          <w:szCs w:val="19"/>
          <w:bdr w:val="none" w:sz="0" w:space="0" w:color="auto" w:frame="1"/>
          <w:shd w:val="clear" w:color="auto" w:fill="FFFFFF"/>
        </w:rPr>
        <w:t>init</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Δ</w:t>
      </w:r>
      <w:r>
        <w:rPr>
          <w:rStyle w:val="mi"/>
          <w:rFonts w:ascii="MathJax_Math-italic" w:hAnsi="MathJax_Math-italic" w:cs="Times New Roman"/>
          <w:color w:val="2A2A2A"/>
          <w:sz w:val="27"/>
          <w:szCs w:val="27"/>
          <w:bdr w:val="none" w:sz="0" w:space="0" w:color="auto" w:frame="1"/>
          <w:shd w:val="clear" w:color="auto" w:fill="FFFFFF"/>
        </w:rPr>
        <w:t>δ</w:t>
      </w:r>
      <w:r>
        <w:rPr>
          <w:rStyle w:val="mo"/>
          <w:rFonts w:ascii="MathJax_Main" w:hAnsi="MathJax_Mai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ΔFM</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BW</w:t>
      </w:r>
      <w:r w:rsidRPr="00F106CC">
        <w:rPr>
          <w:rStyle w:val="mi"/>
          <w:rFonts w:ascii="MathJax_Main" w:hAnsi="MathJax_Main" w:cs="Times New Roman"/>
          <w:color w:val="2A2A2A"/>
          <w:sz w:val="19"/>
          <w:szCs w:val="19"/>
          <w:bdr w:val="none" w:sz="0" w:space="0" w:color="auto" w:frame="1"/>
          <w:shd w:val="clear" w:color="auto" w:fill="FFFFFF"/>
          <w:vertAlign w:val="subscript"/>
        </w:rPr>
        <w:t>init</w:t>
      </w:r>
      <w:r>
        <w:rPr>
          <w:rStyle w:val="mi"/>
          <w:rFonts w:ascii="MathJax_Main" w:hAnsi="MathJax_Main" w:cs="Times New Roman"/>
          <w:color w:val="2A2A2A"/>
          <w:sz w:val="27"/>
          <w:szCs w:val="27"/>
          <w:bdr w:val="none" w:sz="0" w:space="0" w:color="auto" w:frame="1"/>
          <w:shd w:val="clear" w:color="auto" w:fill="FFFFFF"/>
        </w:rPr>
        <w:t>Δ</w:t>
      </w:r>
      <w:r>
        <w:rPr>
          <w:rStyle w:val="mi"/>
          <w:rFonts w:ascii="MathJax_Math-italic" w:hAnsi="MathJax_Math-italic" w:cs="Times New Roman"/>
          <w:color w:val="2A2A2A"/>
          <w:sz w:val="27"/>
          <w:szCs w:val="27"/>
          <w:bdr w:val="none" w:sz="0" w:space="0" w:color="auto" w:frame="1"/>
          <w:shd w:val="clear" w:color="auto" w:fill="FFFFFF"/>
        </w:rPr>
        <w:t>δ</w:t>
      </w:r>
    </w:p>
    <w:p w14:paraId="65E7053B" w14:textId="77777777" w:rsidR="00F106CC" w:rsidRPr="00F106CC" w:rsidRDefault="00F106CC" w:rsidP="00F106CC">
      <w:pPr>
        <w:widowControl/>
        <w:jc w:val="left"/>
        <w:rPr>
          <w:rFonts w:ascii="宋体" w:eastAsia="宋体" w:hAnsi="宋体" w:cs="宋体"/>
          <w:kern w:val="0"/>
          <w:sz w:val="22"/>
        </w:rPr>
      </w:pPr>
      <w:r w:rsidRPr="00F106CC">
        <w:rPr>
          <w:rFonts w:eastAsia="宋体" w:cs="Times New Roman"/>
          <w:color w:val="2A2A2A"/>
          <w:kern w:val="0"/>
          <w:sz w:val="22"/>
          <w:shd w:val="clear" w:color="auto" w:fill="FFFFFF"/>
        </w:rPr>
        <w:t>where BW</w:t>
      </w:r>
      <w:r w:rsidRPr="00F106CC">
        <w:rPr>
          <w:rFonts w:eastAsia="宋体" w:cs="Times New Roman"/>
          <w:color w:val="2A2A2A"/>
          <w:kern w:val="0"/>
          <w:sz w:val="22"/>
          <w:bdr w:val="none" w:sz="0" w:space="0" w:color="auto" w:frame="1"/>
          <w:shd w:val="clear" w:color="auto" w:fill="FFFFFF"/>
          <w:vertAlign w:val="subscript"/>
        </w:rPr>
        <w:t>init</w:t>
      </w:r>
      <w:r w:rsidRPr="00F106CC">
        <w:rPr>
          <w:rFonts w:eastAsia="宋体" w:cs="Times New Roman"/>
          <w:color w:val="2A2A2A"/>
          <w:kern w:val="0"/>
          <w:sz w:val="22"/>
          <w:shd w:val="clear" w:color="auto" w:fill="FFFFFF"/>
        </w:rPr>
        <w:t> is the initial body weight, and ΔFM and ΔFFM are the changes in body fat and FFM, respectively. (Note that the constant, </w:t>
      </w:r>
      <w:r w:rsidRPr="00F106CC">
        <w:rPr>
          <w:rFonts w:eastAsia="宋体" w:cs="Times New Roman"/>
          <w:i/>
          <w:iCs/>
          <w:color w:val="2A2A2A"/>
          <w:kern w:val="0"/>
          <w:sz w:val="22"/>
          <w:bdr w:val="none" w:sz="0" w:space="0" w:color="auto" w:frame="1"/>
          <w:shd w:val="clear" w:color="auto" w:fill="FFFFFF"/>
        </w:rPr>
        <w:t>K</w:t>
      </w:r>
      <w:r w:rsidRPr="00F106CC">
        <w:rPr>
          <w:rFonts w:eastAsia="宋体" w:cs="Times New Roman"/>
          <w:color w:val="2A2A2A"/>
          <w:kern w:val="0"/>
          <w:sz w:val="22"/>
          <w:shd w:val="clear" w:color="auto" w:fill="FFFFFF"/>
        </w:rPr>
        <w:t>, no longer appears, so we need not specify its value.) Using the fact that ΔBW = ΔFFM + ΔFM, the following equation holds for the change in FFM: </w:t>
      </w:r>
      <w:r w:rsidRPr="00F106CC">
        <w:rPr>
          <w:rFonts w:ascii="宋体" w:eastAsia="宋体" w:hAnsi="宋体" w:cs="宋体"/>
          <w:kern w:val="0"/>
          <w:sz w:val="22"/>
        </w:rPr>
        <w:t> </w:t>
      </w:r>
    </w:p>
    <w:p w14:paraId="6AC099DF" w14:textId="77777777" w:rsidR="00F106CC" w:rsidRDefault="00F106CC" w:rsidP="00F106CC">
      <w:pPr>
        <w:jc w:val="center"/>
        <w:rPr>
          <w:rStyle w:val="mo"/>
          <w:rFonts w:ascii="MathJax_Main" w:hAnsi="MathJax_Main" w:cs="Times New Roman"/>
          <w:color w:val="2A2A2A"/>
          <w:sz w:val="27"/>
          <w:szCs w:val="27"/>
          <w:bdr w:val="none" w:sz="0" w:space="0" w:color="auto" w:frame="1"/>
          <w:shd w:val="clear" w:color="auto" w:fill="FFFFFF"/>
        </w:rPr>
      </w:pPr>
      <w:r>
        <w:rPr>
          <w:rStyle w:val="mi"/>
          <w:rFonts w:ascii="MathJax_Main" w:hAnsi="MathJax_Main" w:cs="Times New Roman"/>
          <w:color w:val="2A2A2A"/>
          <w:sz w:val="27"/>
          <w:szCs w:val="27"/>
          <w:bdr w:val="none" w:sz="0" w:space="0" w:color="auto" w:frame="1"/>
          <w:shd w:val="clear" w:color="auto" w:fill="FFFFFF"/>
        </w:rPr>
        <w:t>ΔFFM</w:t>
      </w:r>
      <w:r>
        <w:rPr>
          <w:rStyle w:val="mo"/>
          <w:rFonts w:ascii="MathJax_Main" w:hAnsi="MathJax_Main" w:cs="Times New Roman"/>
          <w:color w:val="2A2A2A"/>
          <w:sz w:val="27"/>
          <w:szCs w:val="27"/>
          <w:bdr w:val="none" w:sz="0" w:space="0" w:color="auto" w:frame="1"/>
          <w:shd w:val="clear" w:color="auto" w:fill="FFFFFF"/>
        </w:rPr>
        <w:t>=[(</w:t>
      </w:r>
      <w:r>
        <w:rPr>
          <w:rStyle w:val="mn"/>
          <w:rFonts w:ascii="MathJax_Main" w:hAnsi="MathJax_Main" w:cs="Times New Roman"/>
          <w:color w:val="2A2A2A"/>
          <w:sz w:val="27"/>
          <w:szCs w:val="27"/>
          <w:bdr w:val="none" w:sz="0" w:space="0" w:color="auto" w:frame="1"/>
          <w:shd w:val="clear" w:color="auto" w:fill="FFFFFF"/>
        </w:rPr>
        <w:t>1</w:t>
      </w:r>
      <w:r>
        <w:rPr>
          <w:rStyle w:val="mo"/>
          <w:rFonts w:ascii="MathJax_Main" w:hAnsi="MathJax_Main" w:cs="Times New Roman"/>
          <w:color w:val="2A2A2A"/>
          <w:sz w:val="27"/>
          <w:szCs w:val="27"/>
          <w:bdr w:val="none" w:sz="0" w:space="0" w:color="auto" w:frame="1"/>
          <w:shd w:val="clear" w:color="auto" w:fill="FFFFFF"/>
        </w:rPr>
        <w:t>−</w:t>
      </w:r>
      <w:proofErr w:type="gramStart"/>
      <w:r>
        <w:rPr>
          <w:rStyle w:val="mi"/>
          <w:rFonts w:ascii="MathJax_Math-italic" w:hAnsi="MathJax_Math-italic" w:cs="Times New Roman"/>
          <w:color w:val="2A2A2A"/>
          <w:sz w:val="27"/>
          <w:szCs w:val="27"/>
          <w:bdr w:val="none" w:sz="0" w:space="0" w:color="auto" w:frame="1"/>
          <w:shd w:val="clear" w:color="auto" w:fill="FFFFFF"/>
        </w:rPr>
        <w:t>β</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Δ</w:t>
      </w:r>
      <w:proofErr w:type="gramEnd"/>
      <w:r>
        <w:rPr>
          <w:rStyle w:val="mi"/>
          <w:rFonts w:ascii="MathJax_Main" w:hAnsi="MathJax_Main" w:cs="Times New Roman"/>
          <w:color w:val="2A2A2A"/>
          <w:sz w:val="27"/>
          <w:szCs w:val="27"/>
          <w:bdr w:val="none" w:sz="0" w:space="0" w:color="auto" w:frame="1"/>
          <w:shd w:val="clear" w:color="auto" w:fill="FFFFFF"/>
        </w:rPr>
        <w:t>EI</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BW</w:t>
      </w:r>
      <w:r>
        <w:rPr>
          <w:rStyle w:val="mi"/>
          <w:rFonts w:ascii="MathJax_Main" w:hAnsi="MathJax_Main" w:cs="Times New Roman"/>
          <w:color w:val="2A2A2A"/>
          <w:sz w:val="19"/>
          <w:szCs w:val="19"/>
          <w:bdr w:val="none" w:sz="0" w:space="0" w:color="auto" w:frame="1"/>
          <w:shd w:val="clear" w:color="auto" w:fill="FFFFFF"/>
        </w:rPr>
        <w:t>init</w:t>
      </w:r>
      <w:r>
        <w:rPr>
          <w:rStyle w:val="mi"/>
          <w:rFonts w:ascii="MathJax_Main" w:hAnsi="MathJax_Main" w:cs="Times New Roman"/>
          <w:color w:val="2A2A2A"/>
          <w:sz w:val="27"/>
          <w:szCs w:val="27"/>
          <w:bdr w:val="none" w:sz="0" w:space="0" w:color="auto" w:frame="1"/>
          <w:shd w:val="clear" w:color="auto" w:fill="FFFFFF"/>
        </w:rPr>
        <w:t>Δ</w:t>
      </w:r>
      <w:r>
        <w:rPr>
          <w:rStyle w:val="mi"/>
          <w:rFonts w:ascii="MathJax_Math-italic" w:hAnsi="MathJax_Math-italic" w:cs="Times New Roman"/>
          <w:color w:val="2A2A2A"/>
          <w:sz w:val="27"/>
          <w:szCs w:val="27"/>
          <w:bdr w:val="none" w:sz="0" w:space="0" w:color="auto" w:frame="1"/>
          <w:shd w:val="clear" w:color="auto" w:fill="FFFFFF"/>
        </w:rPr>
        <w:t>δ</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γ</w:t>
      </w:r>
      <w:r>
        <w:rPr>
          <w:rStyle w:val="mi"/>
          <w:rFonts w:ascii="MathJax_Main" w:hAnsi="MathJax_Main" w:cs="Times New Roman"/>
          <w:color w:val="2A2A2A"/>
          <w:sz w:val="19"/>
          <w:szCs w:val="19"/>
          <w:bdr w:val="none" w:sz="0" w:space="0" w:color="auto" w:frame="1"/>
          <w:shd w:val="clear" w:color="auto" w:fill="FFFFFF"/>
        </w:rPr>
        <w:t>FM</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δ</w:t>
      </w:r>
      <w:r>
        <w:rPr>
          <w:rStyle w:val="mi"/>
          <w:rFonts w:ascii="MathJax_Main" w:hAnsi="MathJax_Main" w:cs="Times New Roman"/>
          <w:color w:val="2A2A2A"/>
          <w:sz w:val="19"/>
          <w:szCs w:val="19"/>
          <w:bdr w:val="none" w:sz="0" w:space="0" w:color="auto" w:frame="1"/>
          <w:shd w:val="clear" w:color="auto" w:fill="FFFFFF"/>
        </w:rPr>
        <w:t>init</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Δ</w:t>
      </w:r>
      <w:r>
        <w:rPr>
          <w:rStyle w:val="mi"/>
          <w:rFonts w:ascii="MathJax_Math-italic" w:hAnsi="MathJax_Math-italic" w:cs="Times New Roman"/>
          <w:color w:val="2A2A2A"/>
          <w:sz w:val="27"/>
          <w:szCs w:val="27"/>
          <w:bdr w:val="none" w:sz="0" w:space="0" w:color="auto" w:frame="1"/>
          <w:shd w:val="clear" w:color="auto" w:fill="FFFFFF"/>
        </w:rPr>
        <w:t>δ</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in" w:hAnsi="MathJax_Main" w:cs="Times New Roman"/>
          <w:color w:val="2A2A2A"/>
          <w:sz w:val="27"/>
          <w:szCs w:val="27"/>
          <w:bdr w:val="none" w:sz="0" w:space="0" w:color="auto" w:frame="1"/>
          <w:shd w:val="clear" w:color="auto" w:fill="FFFFFF"/>
        </w:rPr>
        <w:t>ΔBW</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γ</w:t>
      </w:r>
      <w:r>
        <w:rPr>
          <w:rStyle w:val="mi"/>
          <w:rFonts w:ascii="MathJax_Main" w:hAnsi="MathJax_Main" w:cs="Times New Roman"/>
          <w:color w:val="2A2A2A"/>
          <w:sz w:val="19"/>
          <w:szCs w:val="19"/>
          <w:bdr w:val="none" w:sz="0" w:space="0" w:color="auto" w:frame="1"/>
          <w:shd w:val="clear" w:color="auto" w:fill="FFFFFF"/>
        </w:rPr>
        <w:t>FFM</w:t>
      </w:r>
      <w:r>
        <w:rPr>
          <w:rStyle w:val="mo"/>
          <w:rFonts w:ascii="MathJax_Main" w:hAnsi="MathJax_Main" w:cs="Times New Roman"/>
          <w:color w:val="2A2A2A"/>
          <w:sz w:val="27"/>
          <w:szCs w:val="27"/>
          <w:bdr w:val="none" w:sz="0" w:space="0" w:color="auto" w:frame="1"/>
          <w:shd w:val="clear" w:color="auto" w:fill="FFFFFF"/>
        </w:rPr>
        <w:t>−</w:t>
      </w:r>
      <w:r>
        <w:rPr>
          <w:rStyle w:val="mi"/>
          <w:rFonts w:ascii="MathJax_Math-italic" w:hAnsi="MathJax_Math-italic" w:cs="Times New Roman"/>
          <w:color w:val="2A2A2A"/>
          <w:sz w:val="27"/>
          <w:szCs w:val="27"/>
          <w:bdr w:val="none" w:sz="0" w:space="0" w:color="auto" w:frame="1"/>
          <w:shd w:val="clear" w:color="auto" w:fill="FFFFFF"/>
        </w:rPr>
        <w:t>γ</w:t>
      </w:r>
      <w:r>
        <w:rPr>
          <w:rStyle w:val="mi"/>
          <w:rFonts w:ascii="MathJax_Main" w:hAnsi="MathJax_Main" w:cs="Times New Roman"/>
          <w:color w:val="2A2A2A"/>
          <w:sz w:val="19"/>
          <w:szCs w:val="19"/>
          <w:bdr w:val="none" w:sz="0" w:space="0" w:color="auto" w:frame="1"/>
          <w:shd w:val="clear" w:color="auto" w:fill="FFFFFF"/>
        </w:rPr>
        <w:t>FM</w:t>
      </w:r>
      <w:r>
        <w:rPr>
          <w:rStyle w:val="mo"/>
          <w:rFonts w:ascii="MathJax_Main" w:hAnsi="MathJax_Main" w:cs="Times New Roman"/>
          <w:color w:val="2A2A2A"/>
          <w:sz w:val="27"/>
          <w:szCs w:val="27"/>
          <w:bdr w:val="none" w:sz="0" w:space="0" w:color="auto" w:frame="1"/>
          <w:shd w:val="clear" w:color="auto" w:fill="FFFFFF"/>
        </w:rPr>
        <w:t>)</w:t>
      </w:r>
    </w:p>
    <w:p w14:paraId="79DC005C" w14:textId="77777777" w:rsidR="00F106CC" w:rsidRDefault="00F106CC" w:rsidP="00F106CC">
      <w:pPr>
        <w:ind w:firstLineChars="100" w:firstLine="220"/>
        <w:rPr>
          <w:sz w:val="22"/>
          <w:szCs w:val="24"/>
        </w:rPr>
      </w:pPr>
      <w:r>
        <w:rPr>
          <w:sz w:val="22"/>
          <w:szCs w:val="24"/>
        </w:rPr>
        <w:t>P</w:t>
      </w:r>
      <w:r w:rsidRPr="00F106CC">
        <w:rPr>
          <w:sz w:val="22"/>
          <w:szCs w:val="24"/>
        </w:rPr>
        <w:t>reviously published modification of the classic Forbes equation of body-composition change (22) predicts that the change in FFM is given by the following nonlinear function:</w:t>
      </w:r>
    </w:p>
    <w:p w14:paraId="0806CF66" w14:textId="77777777" w:rsidR="00F106CC" w:rsidRDefault="00F106CC" w:rsidP="00F106CC">
      <w:pPr>
        <w:ind w:firstLineChars="100" w:firstLine="220"/>
        <w:jc w:val="center"/>
        <w:rPr>
          <w:sz w:val="22"/>
          <w:szCs w:val="24"/>
        </w:rPr>
      </w:pPr>
      <w:r w:rsidRPr="00F106CC">
        <w:rPr>
          <w:sz w:val="22"/>
          <w:szCs w:val="24"/>
        </w:rPr>
        <w:drawing>
          <wp:inline distT="0" distB="0" distL="0" distR="0" wp14:anchorId="56E85565" wp14:editId="2A20D584">
            <wp:extent cx="3879402" cy="491169"/>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189" cy="506462"/>
                    </a:xfrm>
                    <a:prstGeom prst="rect">
                      <a:avLst/>
                    </a:prstGeom>
                  </pic:spPr>
                </pic:pic>
              </a:graphicData>
            </a:graphic>
          </wp:inline>
        </w:drawing>
      </w:r>
    </w:p>
    <w:p w14:paraId="084F26D8" w14:textId="77777777" w:rsidR="00F106CC" w:rsidRDefault="00F106CC" w:rsidP="00F106CC">
      <w:pPr>
        <w:rPr>
          <w:sz w:val="22"/>
          <w:szCs w:val="24"/>
        </w:rPr>
      </w:pPr>
      <w:r w:rsidRPr="00F106CC">
        <w:rPr>
          <w:sz w:val="22"/>
          <w:szCs w:val="24"/>
        </w:rPr>
        <w:t>where FM</w:t>
      </w:r>
      <w:r w:rsidRPr="00F106CC">
        <w:rPr>
          <w:sz w:val="22"/>
          <w:szCs w:val="24"/>
          <w:vertAlign w:val="subscript"/>
        </w:rPr>
        <w:t>init</w:t>
      </w:r>
      <w:r w:rsidRPr="00F106CC">
        <w:rPr>
          <w:sz w:val="22"/>
          <w:szCs w:val="24"/>
        </w:rPr>
        <w:t xml:space="preserve"> is the initial body FM, C = 10.4 kg is the constant providing the best fit to the empirical Forbes body-composition curve, and W is the Lambert W function. Equations can be solved for the expected change in steady-state body weight, as shown in the following equation:</w:t>
      </w:r>
    </w:p>
    <w:p w14:paraId="5F91D514" w14:textId="77777777" w:rsidR="0093526E" w:rsidRDefault="0093526E" w:rsidP="009352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24"/>
          <w:szCs w:val="24"/>
        </w:rPr>
      </w:pPr>
      <m:oMath>
        <m:r>
          <m:rPr>
            <m:sty m:val="p"/>
          </m:rPr>
          <w:rPr>
            <w:rFonts w:ascii="Cambria Math" w:eastAsia="宋体" w:hAnsi="Cambria Math" w:cs="宋体" w:hint="eastAsia"/>
            <w:noProof/>
            <w:kern w:val="0"/>
            <w:sz w:val="24"/>
            <w:szCs w:val="24"/>
          </w:rPr>
          <w:drawing>
            <wp:inline distT="0" distB="0" distL="0" distR="0" wp14:anchorId="48ABE9EA" wp14:editId="0639A25C">
              <wp:extent cx="5264150" cy="1828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182880"/>
                      </a:xfrm>
                      <a:prstGeom prst="rect">
                        <a:avLst/>
                      </a:prstGeom>
                      <a:noFill/>
                      <a:ln>
                        <a:noFill/>
                      </a:ln>
                    </pic:spPr>
                  </pic:pic>
                </a:graphicData>
              </a:graphic>
            </wp:inline>
          </w:drawing>
        </m:r>
      </m:oMath>
      <w:r>
        <w:rPr>
          <w:kern w:val="0"/>
          <w:sz w:val="24"/>
          <w:szCs w:val="24"/>
        </w:rPr>
        <w:t xml:space="preserve"> </w:t>
      </w:r>
    </w:p>
    <w:p w14:paraId="78A84B56" w14:textId="77777777" w:rsidR="00F106CC" w:rsidRPr="0093526E" w:rsidRDefault="00F106CC" w:rsidP="0057383D">
      <w:pPr>
        <w:widowControl/>
        <w:jc w:val="left"/>
        <w:rPr>
          <w:rFonts w:hint="eastAsia"/>
          <w:kern w:val="0"/>
          <w:sz w:val="24"/>
          <w:szCs w:val="24"/>
        </w:rPr>
      </w:pPr>
    </w:p>
    <w:sectPr w:rsidR="00F106CC" w:rsidRPr="009352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思源宋体 CN">
    <w:panose1 w:val="020204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003" w:usb1="288F0000" w:usb2="00000016" w:usb3="00000000" w:csb0="00040001"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45EEB"/>
    <w:multiLevelType w:val="hybridMultilevel"/>
    <w:tmpl w:val="45949796"/>
    <w:lvl w:ilvl="0" w:tplc="061CC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C43AEE"/>
    <w:multiLevelType w:val="hybridMultilevel"/>
    <w:tmpl w:val="05B07D98"/>
    <w:lvl w:ilvl="0" w:tplc="18CCC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997CA1"/>
    <w:multiLevelType w:val="hybridMultilevel"/>
    <w:tmpl w:val="30D0FD2E"/>
    <w:lvl w:ilvl="0" w:tplc="97DA1830">
      <w:start w:val="1"/>
      <w:numFmt w:val="decimal"/>
      <w:lvlText w:val="%1."/>
      <w:lvlJc w:val="left"/>
      <w:pPr>
        <w:ind w:left="360" w:hanging="36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2B5477"/>
    <w:multiLevelType w:val="hybridMultilevel"/>
    <w:tmpl w:val="C3DED858"/>
    <w:lvl w:ilvl="0" w:tplc="5F362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2C76174"/>
    <w:multiLevelType w:val="hybridMultilevel"/>
    <w:tmpl w:val="98F0D9CE"/>
    <w:lvl w:ilvl="0" w:tplc="763C45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077889"/>
    <w:multiLevelType w:val="hybridMultilevel"/>
    <w:tmpl w:val="9A10DBEA"/>
    <w:lvl w:ilvl="0" w:tplc="3B885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9F"/>
    <w:rsid w:val="00043D9F"/>
    <w:rsid w:val="00064E7D"/>
    <w:rsid w:val="001C0788"/>
    <w:rsid w:val="00251CD6"/>
    <w:rsid w:val="00296049"/>
    <w:rsid w:val="003C509E"/>
    <w:rsid w:val="00567B7E"/>
    <w:rsid w:val="0057383D"/>
    <w:rsid w:val="006329EC"/>
    <w:rsid w:val="00766CAA"/>
    <w:rsid w:val="007D71C7"/>
    <w:rsid w:val="007E34EE"/>
    <w:rsid w:val="00891E76"/>
    <w:rsid w:val="0093526E"/>
    <w:rsid w:val="009E7B22"/>
    <w:rsid w:val="00EF68DB"/>
    <w:rsid w:val="00F106CC"/>
    <w:rsid w:val="00F44F25"/>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0AFB9"/>
  <w15:chartTrackingRefBased/>
  <w15:docId w15:val="{C33CF8C2-C472-4958-A6FE-FF6E6F1B0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思源宋体 CN" w:hAnsi="Times New Roman"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7B22"/>
    <w:pPr>
      <w:ind w:firstLineChars="200" w:firstLine="420"/>
    </w:pPr>
  </w:style>
  <w:style w:type="character" w:customStyle="1" w:styleId="mi">
    <w:name w:val="mi"/>
    <w:basedOn w:val="a0"/>
    <w:rsid w:val="00F106CC"/>
  </w:style>
  <w:style w:type="character" w:customStyle="1" w:styleId="mo">
    <w:name w:val="mo"/>
    <w:basedOn w:val="a0"/>
    <w:rsid w:val="00F106CC"/>
  </w:style>
  <w:style w:type="character" w:styleId="a4">
    <w:name w:val="Emphasis"/>
    <w:basedOn w:val="a0"/>
    <w:uiPriority w:val="20"/>
    <w:qFormat/>
    <w:rsid w:val="00F106CC"/>
    <w:rPr>
      <w:i/>
      <w:iCs/>
    </w:rPr>
  </w:style>
  <w:style w:type="character" w:styleId="a5">
    <w:name w:val="Hyperlink"/>
    <w:basedOn w:val="a0"/>
    <w:uiPriority w:val="99"/>
    <w:semiHidden/>
    <w:unhideWhenUsed/>
    <w:rsid w:val="00F106CC"/>
    <w:rPr>
      <w:color w:val="0000FF"/>
      <w:u w:val="single"/>
    </w:rPr>
  </w:style>
  <w:style w:type="character" w:customStyle="1" w:styleId="mn">
    <w:name w:val="mn"/>
    <w:basedOn w:val="a0"/>
    <w:rsid w:val="00F106CC"/>
  </w:style>
  <w:style w:type="character" w:styleId="a6">
    <w:name w:val="Placeholder Text"/>
    <w:basedOn w:val="a0"/>
    <w:uiPriority w:val="99"/>
    <w:semiHidden/>
    <w:rsid w:val="00F106CC"/>
    <w:rPr>
      <w:color w:val="808080"/>
    </w:rPr>
  </w:style>
  <w:style w:type="paragraph" w:styleId="HTML">
    <w:name w:val="HTML Preformatted"/>
    <w:basedOn w:val="a"/>
    <w:link w:val="HTML0"/>
    <w:uiPriority w:val="99"/>
    <w:semiHidden/>
    <w:unhideWhenUsed/>
    <w:rsid w:val="009352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3526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62049">
      <w:bodyDiv w:val="1"/>
      <w:marLeft w:val="0"/>
      <w:marRight w:val="0"/>
      <w:marTop w:val="0"/>
      <w:marBottom w:val="0"/>
      <w:divBdr>
        <w:top w:val="none" w:sz="0" w:space="0" w:color="auto"/>
        <w:left w:val="none" w:sz="0" w:space="0" w:color="auto"/>
        <w:bottom w:val="none" w:sz="0" w:space="0" w:color="auto"/>
        <w:right w:val="none" w:sz="0" w:space="0" w:color="auto"/>
      </w:divBdr>
    </w:div>
    <w:div w:id="772670368">
      <w:bodyDiv w:val="1"/>
      <w:marLeft w:val="0"/>
      <w:marRight w:val="0"/>
      <w:marTop w:val="0"/>
      <w:marBottom w:val="0"/>
      <w:divBdr>
        <w:top w:val="none" w:sz="0" w:space="0" w:color="auto"/>
        <w:left w:val="none" w:sz="0" w:space="0" w:color="auto"/>
        <w:bottom w:val="none" w:sz="0" w:space="0" w:color="auto"/>
        <w:right w:val="none" w:sz="0" w:space="0" w:color="auto"/>
      </w:divBdr>
    </w:div>
    <w:div w:id="1515917567">
      <w:bodyDiv w:val="1"/>
      <w:marLeft w:val="0"/>
      <w:marRight w:val="0"/>
      <w:marTop w:val="0"/>
      <w:marBottom w:val="0"/>
      <w:divBdr>
        <w:top w:val="none" w:sz="0" w:space="0" w:color="auto"/>
        <w:left w:val="none" w:sz="0" w:space="0" w:color="auto"/>
        <w:bottom w:val="none" w:sz="0" w:space="0" w:color="auto"/>
        <w:right w:val="none" w:sz="0" w:space="0" w:color="auto"/>
      </w:divBdr>
    </w:div>
    <w:div w:id="1648434412">
      <w:bodyDiv w:val="1"/>
      <w:marLeft w:val="0"/>
      <w:marRight w:val="0"/>
      <w:marTop w:val="0"/>
      <w:marBottom w:val="0"/>
      <w:divBdr>
        <w:top w:val="none" w:sz="0" w:space="0" w:color="auto"/>
        <w:left w:val="none" w:sz="0" w:space="0" w:color="auto"/>
        <w:bottom w:val="none" w:sz="0" w:space="0" w:color="auto"/>
        <w:right w:val="none" w:sz="0" w:space="0" w:color="auto"/>
      </w:divBdr>
    </w:div>
    <w:div w:id="185534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RelyOnCSS/>
  <w:doNotUseLongFileName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5</Pages>
  <Words>1497</Words>
  <Characters>8536</Characters>
  <Application>Microsoft Office Word</Application>
  <DocSecurity>0</DocSecurity>
  <Lines>71</Lines>
  <Paragraphs>20</Paragraphs>
  <ScaleCrop>false</ScaleCrop>
  <Company/>
  <LinksUpToDate>false</LinksUpToDate>
  <CharactersWithSpaces>10013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辉</dc:creator>
  <cp:keywords/>
  <dc:description/>
  <cp:lastModifiedBy>陈 辉</cp:lastModifiedBy>
  <cp:revision>3</cp:revision>
  <cp:lastPrinted>2020-06-07T15:11:00Z</cp:lastPrinted>
  <dcterms:created xsi:type="dcterms:W3CDTF">2020-06-07T12:21:00Z</dcterms:created>
  <dcterms:modified xsi:type="dcterms:W3CDTF">2020-06-07T15:14:00Z</dcterms:modified>
</cp:coreProperties>
</file>