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928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Layout w:type="fixed"/>
        <w:tblCellMar>
          <w:top w:w="0" w:type="dxa"/>
          <w:left w:w="108" w:type="dxa"/>
          <w:bottom w:w="0" w:type="dxa"/>
          <w:right w:w="108" w:type="dxa"/>
        </w:tblCellMar>
      </w:tblPr>
      <w:tblGrid>
        <w:gridCol w:w="9286"/>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108" w:type="dxa"/>
            <w:bottom w:w="0" w:type="dxa"/>
            <w:right w:w="108" w:type="dxa"/>
          </w:tblCellMar>
        </w:tblPrEx>
        <w:trPr>
          <w:trHeight w:val="2720" w:hRule="atLeast"/>
          <w:jc w:val="center"/>
        </w:trPr>
        <w:tc>
          <w:tcPr>
            <w:tcW w:w="9286" w:type="dxa"/>
            <w:tcBorders>
              <w:top w:val="nil"/>
              <w:left w:val="nil"/>
              <w:bottom w:val="nil"/>
              <w:right w:val="nil"/>
            </w:tcBorders>
            <w:shd w:val="clear" w:color="auto" w:fill="auto"/>
            <w:tcMar>
              <w:top w:w="80" w:type="dxa"/>
              <w:left w:w="80" w:type="dxa"/>
              <w:bottom w:w="80" w:type="dxa"/>
              <w:right w:w="80" w:type="dxa"/>
            </w:tcMar>
          </w:tcPr>
          <w:p>
            <w:pPr>
              <w:rPr>
                <w:rFonts w:ascii="Times New Roman" w:hAnsi="Times New Roman" w:eastAsia="宋体" w:cs="Times New Roman"/>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108" w:type="dxa"/>
            <w:bottom w:w="0" w:type="dxa"/>
            <w:right w:w="108" w:type="dxa"/>
          </w:tblCellMar>
        </w:tblPrEx>
        <w:trPr>
          <w:trHeight w:val="1280" w:hRule="atLeast"/>
          <w:jc w:val="center"/>
        </w:trPr>
        <w:tc>
          <w:tcPr>
            <w:tcW w:w="9286" w:type="dxa"/>
            <w:tcBorders>
              <w:top w:val="nil"/>
              <w:left w:val="nil"/>
              <w:bottom w:val="single" w:color="4F81BD" w:sz="4" w:space="0"/>
              <w:right w:val="nil"/>
            </w:tcBorders>
            <w:shd w:val="clear" w:color="auto" w:fill="auto"/>
            <w:tcMar>
              <w:top w:w="80" w:type="dxa"/>
              <w:left w:w="80" w:type="dxa"/>
              <w:bottom w:w="80" w:type="dxa"/>
              <w:right w:w="80" w:type="dxa"/>
            </w:tcMar>
            <w:vAlign w:val="center"/>
          </w:tcPr>
          <w:p>
            <w:pPr>
              <w:pStyle w:val="39"/>
              <w:widowControl/>
              <w:jc w:val="center"/>
              <w:rPr>
                <w:rFonts w:ascii="Times New Roman" w:hAnsi="Times New Roman" w:eastAsia="宋体" w:cs="Times New Roman"/>
              </w:rPr>
            </w:pPr>
            <w:r>
              <w:rPr>
                <w:rFonts w:ascii="Times New Roman" w:hAnsi="Times New Roman" w:eastAsia="宋体" w:cs="Times New Roman"/>
                <w:b/>
                <w:bCs/>
                <w:sz w:val="80"/>
                <w:szCs w:val="80"/>
                <w:lang w:val="zh-TW"/>
              </w:rPr>
              <w:t>统计分析报告</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108" w:type="dxa"/>
            <w:bottom w:w="0" w:type="dxa"/>
            <w:right w:w="108" w:type="dxa"/>
          </w:tblCellMar>
        </w:tblPrEx>
        <w:trPr>
          <w:trHeight w:val="580" w:hRule="atLeast"/>
          <w:jc w:val="center"/>
        </w:trPr>
        <w:tc>
          <w:tcPr>
            <w:tcW w:w="9286" w:type="dxa"/>
            <w:tcBorders>
              <w:top w:val="single" w:color="4F81BD" w:sz="4" w:space="0"/>
              <w:left w:val="nil"/>
              <w:bottom w:val="nil"/>
              <w:right w:val="nil"/>
            </w:tcBorders>
            <w:shd w:val="clear" w:color="auto" w:fill="auto"/>
            <w:tcMar>
              <w:top w:w="80" w:type="dxa"/>
              <w:left w:w="80" w:type="dxa"/>
              <w:bottom w:w="80" w:type="dxa"/>
              <w:right w:w="80" w:type="dxa"/>
            </w:tcMar>
            <w:vAlign w:val="center"/>
          </w:tcPr>
          <w:p>
            <w:pPr>
              <w:pStyle w:val="39"/>
              <w:widowControl/>
              <w:jc w:val="center"/>
              <w:rPr>
                <w:rFonts w:ascii="Times New Roman" w:hAnsi="Times New Roman" w:eastAsia="宋体" w:cs="Times New Roman"/>
              </w:rPr>
            </w:pPr>
            <w:bookmarkStart w:id="0" w:name="OLE_LINK5"/>
            <w:r>
              <w:rPr>
                <w:rFonts w:ascii="Times New Roman" w:hAnsi="Times New Roman" w:eastAsia="宋体" w:cs="Times New Roman"/>
                <w:b/>
                <w:bCs/>
                <w:sz w:val="24"/>
                <w:szCs w:val="24"/>
                <w:lang w:val="zh-TW" w:eastAsia="zh-TW"/>
              </w:rPr>
              <w:t>参芪扶正注射液联合含铂双药化疗治疗晚期非小细胞肺癌（NSCLC）患者的疗效、安全性评价：多中心、回顾性队列研究</w:t>
            </w:r>
            <w:bookmarkEnd w:id="0"/>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108" w:type="dxa"/>
            <w:bottom w:w="0" w:type="dxa"/>
            <w:right w:w="108" w:type="dxa"/>
          </w:tblCellMar>
        </w:tblPrEx>
        <w:trPr>
          <w:trHeight w:val="260" w:hRule="atLeast"/>
          <w:jc w:val="center"/>
        </w:trPr>
        <w:tc>
          <w:tcPr>
            <w:tcW w:w="9286" w:type="dxa"/>
            <w:tcBorders>
              <w:top w:val="nil"/>
              <w:left w:val="nil"/>
              <w:bottom w:val="nil"/>
              <w:right w:val="nil"/>
            </w:tcBorders>
            <w:shd w:val="clear" w:color="auto" w:fill="auto"/>
            <w:tcMar>
              <w:top w:w="80" w:type="dxa"/>
              <w:left w:w="80" w:type="dxa"/>
              <w:bottom w:w="80" w:type="dxa"/>
              <w:right w:w="80" w:type="dxa"/>
            </w:tcMar>
            <w:vAlign w:val="center"/>
          </w:tcPr>
          <w:p>
            <w:pPr>
              <w:rPr>
                <w:rFonts w:ascii="Times New Roman" w:hAnsi="Times New Roman" w:eastAsia="宋体" w:cs="Times New Roman"/>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108" w:type="dxa"/>
            <w:bottom w:w="0" w:type="dxa"/>
            <w:right w:w="108" w:type="dxa"/>
          </w:tblCellMar>
        </w:tblPrEx>
        <w:trPr>
          <w:trHeight w:val="251" w:hRule="atLeast"/>
          <w:jc w:val="center"/>
        </w:trPr>
        <w:tc>
          <w:tcPr>
            <w:tcW w:w="9286" w:type="dxa"/>
            <w:tcBorders>
              <w:top w:val="nil"/>
              <w:left w:val="nil"/>
              <w:bottom w:val="nil"/>
              <w:right w:val="nil"/>
            </w:tcBorders>
            <w:shd w:val="clear" w:color="auto" w:fill="auto"/>
            <w:tcMar>
              <w:top w:w="80" w:type="dxa"/>
              <w:left w:w="80" w:type="dxa"/>
              <w:bottom w:w="80" w:type="dxa"/>
              <w:right w:w="80" w:type="dxa"/>
            </w:tcMar>
            <w:vAlign w:val="center"/>
          </w:tcPr>
          <w:p>
            <w:pPr>
              <w:pStyle w:val="39"/>
              <w:widowControl/>
              <w:jc w:val="center"/>
              <w:rPr>
                <w:rFonts w:ascii="Times New Roman" w:hAnsi="Times New Roman" w:eastAsia="宋体" w:cs="Times New Roman"/>
                <w:sz w:val="24"/>
                <w:szCs w:val="24"/>
              </w:rPr>
            </w:pPr>
            <w:r>
              <w:rPr>
                <w:rFonts w:ascii="Times New Roman" w:hAnsi="Times New Roman" w:eastAsia="宋体" w:cs="Times New Roman"/>
                <w:b/>
                <w:bCs/>
                <w:sz w:val="24"/>
                <w:szCs w:val="24"/>
              </w:rPr>
              <w:t xml:space="preserve">Version </w:t>
            </w:r>
            <w:r>
              <w:rPr>
                <w:rFonts w:hint="eastAsia" w:ascii="Times New Roman" w:hAnsi="Times New Roman" w:eastAsia="宋体" w:cs="Times New Roman"/>
                <w:b/>
                <w:bCs/>
                <w:sz w:val="24"/>
                <w:szCs w:val="24"/>
              </w:rPr>
              <w:t>1</w:t>
            </w:r>
            <w:r>
              <w:rPr>
                <w:rFonts w:ascii="Times New Roman" w:hAnsi="Times New Roman" w:eastAsia="宋体" w:cs="Times New Roman"/>
                <w:b/>
                <w:bCs/>
                <w:sz w:val="24"/>
                <w:szCs w:val="24"/>
              </w:rPr>
              <w:t>.0</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108" w:type="dxa"/>
            <w:bottom w:w="0" w:type="dxa"/>
            <w:right w:w="108" w:type="dxa"/>
          </w:tblCellMar>
        </w:tblPrEx>
        <w:trPr>
          <w:trHeight w:val="340" w:hRule="atLeast"/>
          <w:jc w:val="center"/>
        </w:trPr>
        <w:tc>
          <w:tcPr>
            <w:tcW w:w="9286" w:type="dxa"/>
            <w:tcBorders>
              <w:top w:val="nil"/>
              <w:left w:val="nil"/>
              <w:bottom w:val="nil"/>
              <w:right w:val="nil"/>
            </w:tcBorders>
            <w:shd w:val="clear" w:color="auto" w:fill="auto"/>
            <w:tcMar>
              <w:top w:w="80" w:type="dxa"/>
              <w:left w:w="80" w:type="dxa"/>
              <w:bottom w:w="80" w:type="dxa"/>
              <w:right w:w="80" w:type="dxa"/>
            </w:tcMar>
            <w:vAlign w:val="center"/>
          </w:tcPr>
          <w:p>
            <w:pPr>
              <w:pStyle w:val="39"/>
              <w:widowControl/>
              <w:jc w:val="center"/>
              <w:rPr>
                <w:rFonts w:ascii="Times New Roman" w:hAnsi="Times New Roman" w:eastAsia="宋体" w:cs="Times New Roman"/>
                <w:sz w:val="24"/>
                <w:szCs w:val="24"/>
              </w:rPr>
            </w:pPr>
            <w:r>
              <w:rPr>
                <w:rFonts w:ascii="Times New Roman" w:hAnsi="Times New Roman" w:eastAsia="宋体" w:cs="Times New Roman"/>
                <w:b/>
                <w:bCs/>
                <w:sz w:val="24"/>
                <w:szCs w:val="24"/>
              </w:rPr>
              <w:t>20</w:t>
            </w:r>
            <w:r>
              <w:rPr>
                <w:rFonts w:hint="eastAsia" w:ascii="Times New Roman" w:hAnsi="Times New Roman" w:eastAsia="宋体" w:cs="Times New Roman"/>
                <w:b/>
                <w:bCs/>
                <w:sz w:val="24"/>
                <w:szCs w:val="24"/>
              </w:rPr>
              <w:t>20</w:t>
            </w:r>
            <w:r>
              <w:rPr>
                <w:rFonts w:ascii="Times New Roman" w:hAnsi="Times New Roman" w:eastAsia="宋体" w:cs="Times New Roman"/>
                <w:b/>
                <w:bCs/>
                <w:sz w:val="24"/>
                <w:szCs w:val="24"/>
                <w:lang w:val="zh-TW" w:eastAsia="zh-TW"/>
              </w:rPr>
              <w:t>年</w:t>
            </w:r>
            <w:r>
              <w:rPr>
                <w:rFonts w:hint="eastAsia" w:ascii="Times New Roman" w:hAnsi="Times New Roman" w:eastAsia="宋体" w:cs="Times New Roman"/>
                <w:b/>
                <w:bCs/>
                <w:sz w:val="24"/>
                <w:szCs w:val="24"/>
              </w:rPr>
              <w:t>1</w:t>
            </w:r>
            <w:r>
              <w:rPr>
                <w:rFonts w:ascii="Times New Roman" w:hAnsi="Times New Roman" w:eastAsia="宋体" w:cs="Times New Roman"/>
                <w:b/>
                <w:bCs/>
                <w:sz w:val="24"/>
                <w:szCs w:val="24"/>
                <w:lang w:val="zh-TW" w:eastAsia="zh-TW"/>
              </w:rPr>
              <w:t>月</w:t>
            </w:r>
            <w:r>
              <w:rPr>
                <w:rFonts w:ascii="Times New Roman" w:hAnsi="Times New Roman" w:eastAsia="宋体" w:cs="Times New Roman"/>
                <w:b/>
                <w:bCs/>
                <w:sz w:val="24"/>
                <w:szCs w:val="24"/>
              </w:rPr>
              <w:t>1</w:t>
            </w:r>
            <w:r>
              <w:rPr>
                <w:rFonts w:hint="eastAsia" w:ascii="Times New Roman" w:hAnsi="Times New Roman" w:eastAsia="宋体" w:cs="Times New Roman"/>
                <w:b/>
                <w:bCs/>
                <w:sz w:val="24"/>
                <w:szCs w:val="24"/>
              </w:rPr>
              <w:t>0</w:t>
            </w:r>
            <w:r>
              <w:rPr>
                <w:rFonts w:ascii="Times New Roman" w:hAnsi="Times New Roman" w:eastAsia="宋体" w:cs="Times New Roman"/>
                <w:b/>
                <w:bCs/>
                <w:sz w:val="24"/>
                <w:szCs w:val="24"/>
                <w:lang w:val="zh-TW" w:eastAsia="zh-TW"/>
              </w:rPr>
              <w:t>日</w:t>
            </w:r>
          </w:p>
        </w:tc>
      </w:tr>
    </w:tbl>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eastAsia="宋体" w:cs="Times New Roman"/>
        </w:rPr>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tbl>
      <w:tblPr>
        <w:tblStyle w:val="22"/>
        <w:tblW w:w="8368"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Layout w:type="fixed"/>
        <w:tblCellMar>
          <w:top w:w="0" w:type="dxa"/>
          <w:left w:w="108" w:type="dxa"/>
          <w:bottom w:w="0" w:type="dxa"/>
          <w:right w:w="108" w:type="dxa"/>
        </w:tblCellMar>
      </w:tblPr>
      <w:tblGrid>
        <w:gridCol w:w="2546"/>
        <w:gridCol w:w="251"/>
        <w:gridCol w:w="5571"/>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108" w:type="dxa"/>
            <w:bottom w:w="0" w:type="dxa"/>
            <w:right w:w="108" w:type="dxa"/>
          </w:tblCellMar>
        </w:tblPrEx>
        <w:trPr>
          <w:trHeight w:val="430" w:hRule="atLeast"/>
        </w:trPr>
        <w:tc>
          <w:tcPr>
            <w:tcW w:w="2546" w:type="dxa"/>
            <w:tcBorders>
              <w:top w:val="nil"/>
              <w:left w:val="nil"/>
              <w:bottom w:val="nil"/>
              <w:right w:val="nil"/>
            </w:tcBorders>
            <w:shd w:val="clear" w:color="auto" w:fill="auto"/>
            <w:tcMar>
              <w:top w:w="80" w:type="dxa"/>
              <w:left w:w="80" w:type="dxa"/>
              <w:bottom w:w="80" w:type="dxa"/>
              <w:right w:w="80" w:type="dxa"/>
            </w:tcMar>
            <w:vAlign w:val="center"/>
          </w:tcPr>
          <w:p>
            <w:pPr>
              <w:spacing w:line="720" w:lineRule="auto"/>
              <w:rPr>
                <w:rFonts w:ascii="Times New Roman" w:hAnsi="Times New Roman" w:eastAsia="宋体" w:cs="Times New Roman"/>
              </w:rPr>
            </w:pPr>
            <w:r>
              <w:rPr>
                <w:rFonts w:ascii="Times New Roman" w:hAnsi="Times New Roman" w:eastAsia="宋体" w:cs="Times New Roman"/>
                <w:b/>
                <w:bCs/>
                <w:sz w:val="24"/>
                <w:szCs w:val="24"/>
                <w:lang w:val="zh-TW" w:eastAsia="zh-TW"/>
              </w:rPr>
              <w:t>临床研究负责单位</w:t>
            </w:r>
            <w:r>
              <w:rPr>
                <w:rFonts w:hint="eastAsia" w:ascii="Times New Roman" w:hAnsi="Times New Roman" w:eastAsia="宋体" w:cs="Times New Roman"/>
                <w:b/>
                <w:bCs/>
                <w:sz w:val="24"/>
                <w:szCs w:val="24"/>
                <w:lang w:val="zh-TW"/>
              </w:rPr>
              <w:t>：</w:t>
            </w:r>
          </w:p>
        </w:tc>
        <w:tc>
          <w:tcPr>
            <w:tcW w:w="251" w:type="dxa"/>
            <w:tcBorders>
              <w:top w:val="nil"/>
              <w:left w:val="nil"/>
              <w:bottom w:val="nil"/>
              <w:right w:val="nil"/>
            </w:tcBorders>
            <w:shd w:val="clear" w:color="auto" w:fill="auto"/>
            <w:tcMar>
              <w:top w:w="80" w:type="dxa"/>
              <w:left w:w="80" w:type="dxa"/>
              <w:bottom w:w="80" w:type="dxa"/>
              <w:right w:w="80" w:type="dxa"/>
            </w:tcMar>
            <w:vAlign w:val="center"/>
          </w:tcPr>
          <w:p>
            <w:pPr>
              <w:spacing w:line="720" w:lineRule="auto"/>
              <w:rPr>
                <w:rFonts w:ascii="Times New Roman" w:hAnsi="Times New Roman" w:eastAsia="宋体" w:cs="Times New Roman"/>
              </w:rPr>
            </w:pPr>
            <w:r>
              <w:rPr>
                <w:rFonts w:hint="eastAsia" w:ascii="Times New Roman" w:hAnsi="Times New Roman" w:eastAsia="宋体" w:cs="Times New Roman"/>
                <w:b/>
                <w:bCs/>
                <w:sz w:val="24"/>
                <w:szCs w:val="24"/>
                <w:lang w:val="zh-TW"/>
              </w:rPr>
              <w:t xml:space="preserve"> </w:t>
            </w:r>
          </w:p>
        </w:tc>
        <w:tc>
          <w:tcPr>
            <w:tcW w:w="5571" w:type="dxa"/>
            <w:tcBorders>
              <w:top w:val="nil"/>
              <w:left w:val="nil"/>
              <w:bottom w:val="nil"/>
              <w:right w:val="nil"/>
            </w:tcBorders>
            <w:shd w:val="clear" w:color="auto" w:fill="auto"/>
            <w:tcMar>
              <w:top w:w="80" w:type="dxa"/>
              <w:left w:w="80" w:type="dxa"/>
              <w:bottom w:w="80" w:type="dxa"/>
              <w:right w:w="80" w:type="dxa"/>
            </w:tcMar>
            <w:vAlign w:val="center"/>
          </w:tcPr>
          <w:p>
            <w:pPr>
              <w:spacing w:line="720" w:lineRule="auto"/>
              <w:rPr>
                <w:rFonts w:ascii="Times New Roman" w:hAnsi="Times New Roman" w:eastAsia="PMingLiU" w:cs="Times New Roman"/>
                <w:b/>
                <w:sz w:val="24"/>
                <w:szCs w:val="24"/>
              </w:rPr>
            </w:pPr>
            <w:r>
              <w:rPr>
                <w:rFonts w:hint="eastAsia" w:ascii="Times New Roman" w:hAnsi="Times New Roman" w:eastAsia="宋体" w:cs="Times New Roman"/>
                <w:b/>
                <w:bCs/>
                <w:sz w:val="24"/>
                <w:szCs w:val="24"/>
                <w:lang w:val="zh-TW"/>
              </w:rPr>
              <w:t>上海市肺科医院</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108" w:type="dxa"/>
            <w:bottom w:w="0" w:type="dxa"/>
            <w:right w:w="108" w:type="dxa"/>
          </w:tblCellMar>
        </w:tblPrEx>
        <w:trPr>
          <w:trHeight w:val="430" w:hRule="atLeast"/>
        </w:trPr>
        <w:tc>
          <w:tcPr>
            <w:tcW w:w="2546" w:type="dxa"/>
            <w:tcBorders>
              <w:top w:val="nil"/>
              <w:left w:val="nil"/>
              <w:bottom w:val="nil"/>
              <w:right w:val="nil"/>
            </w:tcBorders>
            <w:shd w:val="clear" w:color="auto" w:fill="auto"/>
            <w:tcMar>
              <w:top w:w="80" w:type="dxa"/>
              <w:left w:w="80" w:type="dxa"/>
              <w:bottom w:w="80" w:type="dxa"/>
              <w:right w:w="80" w:type="dxa"/>
            </w:tcMar>
            <w:vAlign w:val="center"/>
          </w:tcPr>
          <w:p>
            <w:pPr>
              <w:spacing w:line="720" w:lineRule="auto"/>
              <w:rPr>
                <w:rFonts w:ascii="Times New Roman" w:hAnsi="Times New Roman" w:eastAsia="宋体" w:cs="Times New Roman"/>
              </w:rPr>
            </w:pPr>
            <w:r>
              <w:rPr>
                <w:rFonts w:ascii="Times New Roman" w:hAnsi="Times New Roman" w:eastAsia="宋体" w:cs="Times New Roman"/>
                <w:b/>
                <w:bCs/>
                <w:sz w:val="24"/>
                <w:szCs w:val="24"/>
                <w:lang w:val="zh-TW" w:eastAsia="zh-TW"/>
              </w:rPr>
              <w:t>统计负责单位</w:t>
            </w:r>
            <w:r>
              <w:rPr>
                <w:rFonts w:hint="eastAsia" w:ascii="Times New Roman" w:hAnsi="Times New Roman" w:eastAsia="宋体" w:cs="Times New Roman"/>
                <w:b/>
                <w:bCs/>
                <w:sz w:val="24"/>
                <w:szCs w:val="24"/>
                <w:lang w:val="zh-TW"/>
              </w:rPr>
              <w:t>：</w:t>
            </w:r>
          </w:p>
        </w:tc>
        <w:tc>
          <w:tcPr>
            <w:tcW w:w="251" w:type="dxa"/>
            <w:tcBorders>
              <w:top w:val="nil"/>
              <w:left w:val="nil"/>
              <w:bottom w:val="nil"/>
              <w:right w:val="nil"/>
            </w:tcBorders>
            <w:shd w:val="clear" w:color="auto" w:fill="auto"/>
            <w:tcMar>
              <w:top w:w="80" w:type="dxa"/>
              <w:left w:w="80" w:type="dxa"/>
              <w:bottom w:w="80" w:type="dxa"/>
              <w:right w:w="80" w:type="dxa"/>
            </w:tcMar>
            <w:vAlign w:val="center"/>
          </w:tcPr>
          <w:p>
            <w:pPr>
              <w:spacing w:line="720" w:lineRule="auto"/>
              <w:rPr>
                <w:rFonts w:ascii="Times New Roman" w:hAnsi="Times New Roman" w:eastAsia="宋体" w:cs="Times New Roman"/>
              </w:rPr>
            </w:pPr>
            <w:r>
              <w:rPr>
                <w:rFonts w:hint="eastAsia" w:ascii="Times New Roman" w:hAnsi="Times New Roman" w:eastAsia="宋体" w:cs="Times New Roman"/>
                <w:b/>
                <w:bCs/>
                <w:sz w:val="24"/>
                <w:szCs w:val="24"/>
                <w:lang w:val="zh-TW"/>
              </w:rPr>
              <w:t xml:space="preserve"> </w:t>
            </w:r>
          </w:p>
        </w:tc>
        <w:tc>
          <w:tcPr>
            <w:tcW w:w="5571" w:type="dxa"/>
            <w:tcBorders>
              <w:top w:val="nil"/>
              <w:left w:val="nil"/>
              <w:bottom w:val="nil"/>
              <w:right w:val="nil"/>
            </w:tcBorders>
            <w:shd w:val="clear" w:color="auto" w:fill="auto"/>
            <w:tcMar>
              <w:top w:w="80" w:type="dxa"/>
              <w:left w:w="80" w:type="dxa"/>
              <w:bottom w:w="80" w:type="dxa"/>
              <w:right w:w="80" w:type="dxa"/>
            </w:tcMar>
            <w:vAlign w:val="center"/>
          </w:tcPr>
          <w:p>
            <w:pPr>
              <w:spacing w:line="720" w:lineRule="auto"/>
              <w:rPr>
                <w:rFonts w:ascii="Times New Roman" w:hAnsi="Times New Roman" w:eastAsia="宋体" w:cs="Times New Roman"/>
                <w:b/>
                <w:sz w:val="24"/>
                <w:szCs w:val="24"/>
              </w:rPr>
            </w:pPr>
            <w:r>
              <w:rPr>
                <w:rFonts w:ascii="Times New Roman" w:hAnsi="Times New Roman" w:eastAsia="宋体" w:cs="Times New Roman"/>
                <w:b/>
                <w:sz w:val="24"/>
                <w:szCs w:val="24"/>
                <w:lang w:val="zh-TW" w:eastAsia="zh-TW"/>
              </w:rPr>
              <w:t>零氪科技</w:t>
            </w:r>
            <w:r>
              <w:rPr>
                <w:rFonts w:ascii="Times New Roman" w:hAnsi="Times New Roman" w:eastAsia="宋体" w:cs="Times New Roman"/>
                <w:b/>
                <w:sz w:val="24"/>
                <w:szCs w:val="24"/>
              </w:rPr>
              <w:t>(</w:t>
            </w:r>
            <w:r>
              <w:rPr>
                <w:rFonts w:ascii="Times New Roman" w:hAnsi="Times New Roman" w:eastAsia="宋体" w:cs="Times New Roman"/>
                <w:b/>
                <w:sz w:val="24"/>
                <w:szCs w:val="24"/>
                <w:lang w:val="zh-TW" w:eastAsia="zh-TW"/>
              </w:rPr>
              <w:t>北京</w:t>
            </w:r>
            <w:r>
              <w:rPr>
                <w:rFonts w:ascii="Times New Roman" w:hAnsi="Times New Roman" w:eastAsia="宋体" w:cs="Times New Roman"/>
                <w:b/>
                <w:sz w:val="24"/>
                <w:szCs w:val="24"/>
              </w:rPr>
              <w:t>)</w:t>
            </w:r>
            <w:r>
              <w:rPr>
                <w:rFonts w:ascii="Times New Roman" w:hAnsi="Times New Roman" w:eastAsia="宋体" w:cs="Times New Roman"/>
                <w:b/>
                <w:sz w:val="24"/>
                <w:szCs w:val="24"/>
                <w:lang w:val="zh-TW" w:eastAsia="zh-TW"/>
              </w:rPr>
              <w:t>有限公司</w:t>
            </w:r>
          </w:p>
        </w:tc>
      </w:tr>
    </w:tbl>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hAnsi="Times New Roman" w:eastAsia="宋体" w:cs="Times New Roman"/>
        </w:rPr>
      </w:pPr>
    </w:p>
    <w:p>
      <w:pPr>
        <w:spacing w:after="100" w:afterAutospacing="1"/>
        <w:jc w:val="center"/>
        <w:rPr>
          <w:rFonts w:ascii="Times New Roman" w:hAnsi="Times New Roman" w:eastAsia="宋体" w:cs="Times New Roman"/>
          <w:sz w:val="24"/>
          <w:szCs w:val="24"/>
        </w:rPr>
      </w:pPr>
      <w:r>
        <w:rPr>
          <w:rFonts w:ascii="Times New Roman" w:hAnsi="Times New Roman" w:eastAsia="宋体" w:cs="Times New Roman"/>
          <w:b/>
          <w:sz w:val="28"/>
        </w:rPr>
        <w:t>声明</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本统计分析报告的撰写遵循ICH-E9（药物临床试验统计分析指导原则），</w:t>
      </w:r>
      <w:r>
        <w:rPr>
          <w:rFonts w:hint="eastAsia" w:ascii="宋体" w:hAnsi="宋体" w:eastAsia="宋体" w:cs="宋体"/>
          <w:kern w:val="0"/>
          <w:sz w:val="24"/>
          <w:szCs w:val="24"/>
        </w:rPr>
        <w:t>国家药品监督管理局（</w:t>
      </w:r>
      <w:r>
        <w:rPr>
          <w:rFonts w:ascii="Times New Roman" w:hAnsi="Times New Roman" w:cs="Times New Roman"/>
          <w:kern w:val="0"/>
          <w:sz w:val="24"/>
          <w:szCs w:val="24"/>
        </w:rPr>
        <w:t>NMPA</w:t>
      </w:r>
      <w:r>
        <w:rPr>
          <w:rFonts w:hint="eastAsia" w:ascii="宋体" w:hAnsi="宋体" w:eastAsia="宋体" w:cs="宋体"/>
          <w:kern w:val="0"/>
          <w:sz w:val="24"/>
          <w:szCs w:val="24"/>
        </w:rPr>
        <w:t>，原</w:t>
      </w:r>
      <w:r>
        <w:rPr>
          <w:rFonts w:ascii="Times New Roman" w:hAnsi="Times New Roman" w:cs="Times New Roman"/>
          <w:kern w:val="0"/>
          <w:sz w:val="24"/>
          <w:szCs w:val="24"/>
        </w:rPr>
        <w:t>CFDA</w:t>
      </w:r>
      <w:r>
        <w:rPr>
          <w:rFonts w:hint="eastAsia" w:ascii="宋体" w:hAnsi="宋体" w:eastAsia="宋体" w:cs="宋体"/>
          <w:kern w:val="0"/>
          <w:sz w:val="24"/>
          <w:szCs w:val="24"/>
        </w:rPr>
        <w:t>）</w:t>
      </w:r>
      <w:r>
        <w:rPr>
          <w:rFonts w:ascii="Times New Roman" w:hAnsi="Times New Roman" w:eastAsia="宋体" w:cs="Times New Roman"/>
          <w:sz w:val="24"/>
          <w:szCs w:val="24"/>
        </w:rPr>
        <w:t>的相关规定以及零氪科技（北京）有限公司的标准工作流程。基于研究方案中的统计分析原则及统计分析计划，生成统计分析报表、图、清单的详细样例，作为统计分析计划的附录包含在另一个单独的文件中。</w:t>
      </w:r>
    </w:p>
    <w:p>
      <w:pPr>
        <w:widowControl/>
        <w:spacing w:line="600" w:lineRule="auto"/>
        <w:ind w:firstLine="4536"/>
        <w:rPr>
          <w:rFonts w:ascii="Times New Roman" w:hAnsi="Times New Roman" w:eastAsia="宋体" w:cs="Times New Roman"/>
          <w:sz w:val="24"/>
          <w:szCs w:val="24"/>
        </w:rPr>
      </w:pPr>
    </w:p>
    <w:p>
      <w:pPr>
        <w:widowControl/>
        <w:spacing w:line="600" w:lineRule="auto"/>
        <w:ind w:firstLine="4536"/>
        <w:rPr>
          <w:rFonts w:ascii="Times New Roman" w:hAnsi="Times New Roman" w:eastAsia="宋体" w:cs="Times New Roman"/>
          <w:sz w:val="24"/>
          <w:szCs w:val="24"/>
        </w:rPr>
      </w:pPr>
    </w:p>
    <w:p>
      <w:pPr>
        <w:widowControl/>
        <w:spacing w:line="600" w:lineRule="auto"/>
        <w:ind w:firstLine="4536"/>
        <w:rPr>
          <w:rFonts w:ascii="Times New Roman" w:hAnsi="Times New Roman" w:eastAsia="宋体" w:cs="Times New Roman"/>
          <w:sz w:val="24"/>
          <w:szCs w:val="24"/>
        </w:rPr>
      </w:pPr>
    </w:p>
    <w:p>
      <w:pPr>
        <w:widowControl/>
        <w:spacing w:line="600" w:lineRule="auto"/>
        <w:ind w:firstLine="4536"/>
        <w:rPr>
          <w:rFonts w:ascii="Times New Roman" w:hAnsi="Times New Roman" w:eastAsia="宋体" w:cs="Times New Roman"/>
          <w:sz w:val="24"/>
          <w:szCs w:val="24"/>
        </w:rPr>
      </w:pPr>
    </w:p>
    <w:p>
      <w:pPr>
        <w:widowControl/>
        <w:spacing w:line="600" w:lineRule="auto"/>
        <w:ind w:firstLine="4536"/>
        <w:rPr>
          <w:rFonts w:ascii="Times New Roman" w:hAnsi="Times New Roman" w:eastAsia="宋体" w:cs="Times New Roman"/>
          <w:sz w:val="24"/>
          <w:szCs w:val="24"/>
        </w:rPr>
      </w:pPr>
    </w:p>
    <w:p>
      <w:pPr>
        <w:widowControl/>
        <w:spacing w:line="600" w:lineRule="auto"/>
        <w:ind w:firstLine="4536"/>
        <w:rPr>
          <w:rFonts w:ascii="Times New Roman" w:hAnsi="Times New Roman" w:eastAsia="宋体" w:cs="Times New Roman"/>
          <w:sz w:val="24"/>
          <w:szCs w:val="24"/>
        </w:rPr>
      </w:pPr>
    </w:p>
    <w:p>
      <w:pPr>
        <w:widowControl/>
        <w:spacing w:line="600" w:lineRule="auto"/>
        <w:ind w:firstLine="4536"/>
        <w:rPr>
          <w:rFonts w:ascii="Times New Roman" w:hAnsi="Times New Roman" w:eastAsia="宋体" w:cs="Times New Roman"/>
          <w:sz w:val="24"/>
          <w:szCs w:val="24"/>
        </w:rPr>
      </w:pPr>
    </w:p>
    <w:p>
      <w:pPr>
        <w:widowControl/>
        <w:spacing w:line="600" w:lineRule="auto"/>
        <w:ind w:firstLine="4536"/>
        <w:rPr>
          <w:rFonts w:ascii="Times New Roman" w:hAnsi="Times New Roman" w:eastAsia="宋体" w:cs="Times New Roman"/>
          <w:sz w:val="24"/>
          <w:szCs w:val="24"/>
        </w:rPr>
      </w:pPr>
    </w:p>
    <w:p>
      <w:pPr>
        <w:widowControl/>
        <w:spacing w:line="600" w:lineRule="auto"/>
        <w:ind w:firstLine="4536"/>
        <w:rPr>
          <w:rFonts w:ascii="Times New Roman" w:hAnsi="Times New Roman" w:eastAsia="宋体" w:cs="Times New Roman"/>
          <w:sz w:val="24"/>
          <w:szCs w:val="24"/>
        </w:rPr>
      </w:pPr>
    </w:p>
    <w:p>
      <w:pPr>
        <w:widowControl/>
        <w:spacing w:line="600" w:lineRule="auto"/>
        <w:ind w:firstLine="4536"/>
        <w:rPr>
          <w:rFonts w:ascii="Times New Roman" w:hAnsi="Times New Roman" w:eastAsia="宋体" w:cs="Times New Roman"/>
          <w:sz w:val="24"/>
          <w:szCs w:val="24"/>
        </w:rPr>
      </w:pPr>
    </w:p>
    <w:p>
      <w:pPr>
        <w:widowControl/>
        <w:spacing w:line="600" w:lineRule="auto"/>
        <w:ind w:firstLine="4536"/>
        <w:rPr>
          <w:rFonts w:ascii="Times New Roman" w:hAnsi="Times New Roman" w:eastAsia="宋体" w:cs="Times New Roman"/>
          <w:sz w:val="24"/>
          <w:szCs w:val="24"/>
        </w:rPr>
      </w:pPr>
    </w:p>
    <w:p>
      <w:pPr>
        <w:widowControl/>
        <w:spacing w:line="600" w:lineRule="auto"/>
        <w:ind w:firstLine="4536"/>
        <w:rPr>
          <w:rFonts w:ascii="Times New Roman" w:hAnsi="Times New Roman" w:eastAsia="宋体" w:cs="Times New Roman"/>
          <w:sz w:val="24"/>
          <w:szCs w:val="24"/>
        </w:rPr>
      </w:pPr>
    </w:p>
    <w:p>
      <w:pPr>
        <w:widowControl/>
        <w:spacing w:line="600" w:lineRule="auto"/>
        <w:ind w:firstLine="4536"/>
        <w:rPr>
          <w:rFonts w:ascii="Times New Roman" w:hAnsi="Times New Roman" w:eastAsia="宋体" w:cs="Times New Roman"/>
          <w:sz w:val="24"/>
          <w:szCs w:val="24"/>
        </w:rPr>
      </w:pPr>
    </w:p>
    <w:p>
      <w:pPr>
        <w:widowControl/>
        <w:spacing w:line="600" w:lineRule="auto"/>
        <w:ind w:firstLine="4536"/>
        <w:rPr>
          <w:rFonts w:ascii="Times New Roman" w:hAnsi="Times New Roman" w:eastAsia="宋体" w:cs="Times New Roman"/>
          <w:sz w:val="24"/>
          <w:szCs w:val="24"/>
        </w:rPr>
      </w:pPr>
    </w:p>
    <w:p>
      <w:pPr>
        <w:widowControl/>
        <w:spacing w:line="600" w:lineRule="auto"/>
        <w:ind w:firstLine="4536"/>
        <w:rPr>
          <w:rFonts w:ascii="Times New Roman" w:hAnsi="Times New Roman" w:eastAsia="宋体" w:cs="Times New Roman"/>
          <w:sz w:val="24"/>
          <w:szCs w:val="24"/>
        </w:rPr>
      </w:pPr>
    </w:p>
    <w:p>
      <w:pPr>
        <w:widowControl/>
        <w:spacing w:line="600" w:lineRule="auto"/>
        <w:ind w:firstLine="4536"/>
        <w:rPr>
          <w:rFonts w:ascii="Times New Roman" w:hAnsi="Times New Roman" w:eastAsia="宋体" w:cs="Times New Roman"/>
          <w:sz w:val="24"/>
          <w:szCs w:val="24"/>
        </w:rPr>
      </w:pPr>
    </w:p>
    <w:p>
      <w:pPr>
        <w:widowControl/>
        <w:spacing w:line="600" w:lineRule="auto"/>
        <w:ind w:firstLine="4536"/>
        <w:rPr>
          <w:rFonts w:ascii="Times New Roman" w:hAnsi="Times New Roman" w:eastAsia="宋体" w:cs="Times New Roman"/>
          <w:sz w:val="24"/>
          <w:szCs w:val="24"/>
        </w:rPr>
      </w:pPr>
    </w:p>
    <w:p>
      <w:pPr>
        <w:pBdr>
          <w:top w:val="none" w:color="auto" w:sz="0" w:space="0"/>
          <w:left w:val="none" w:color="auto" w:sz="0" w:space="0"/>
          <w:bottom w:val="none" w:color="auto" w:sz="0" w:space="0"/>
          <w:right w:val="none" w:color="auto" w:sz="0" w:space="0"/>
          <w:between w:val="none" w:color="auto" w:sz="0" w:space="0"/>
        </w:pBdr>
        <w:jc w:val="center"/>
        <w:rPr>
          <w:rFonts w:eastAsia="楷体" w:cs="Times New Roman"/>
          <w:b/>
          <w:color w:val="auto"/>
          <w:sz w:val="40"/>
          <w:szCs w:val="40"/>
        </w:rPr>
      </w:pPr>
      <w:r>
        <w:rPr>
          <w:rFonts w:eastAsia="楷体" w:cs="Times New Roman"/>
          <w:b/>
          <w:color w:val="auto"/>
          <w:sz w:val="40"/>
          <w:szCs w:val="40"/>
        </w:rPr>
        <w:t>统计分析</w:t>
      </w:r>
      <w:bookmarkStart w:id="1" w:name="_Toc402272121"/>
      <w:r>
        <w:rPr>
          <w:rFonts w:hint="eastAsia" w:eastAsia="楷体" w:cs="Times New Roman"/>
          <w:b/>
          <w:color w:val="auto"/>
          <w:sz w:val="40"/>
          <w:szCs w:val="40"/>
        </w:rPr>
        <w:t>报告</w:t>
      </w:r>
    </w:p>
    <w:p>
      <w:pPr>
        <w:pBdr>
          <w:top w:val="none" w:color="auto" w:sz="0" w:space="0"/>
          <w:left w:val="none" w:color="auto" w:sz="0" w:space="0"/>
          <w:bottom w:val="none" w:color="auto" w:sz="0" w:space="0"/>
          <w:right w:val="none" w:color="auto" w:sz="0" w:space="0"/>
          <w:between w:val="none" w:color="auto" w:sz="0" w:space="0"/>
        </w:pBdr>
        <w:rPr>
          <w:rFonts w:ascii="楷体" w:hAnsi="楷体" w:eastAsia="楷体" w:cs="Times New Roman"/>
          <w:b/>
          <w:color w:val="auto"/>
          <w:sz w:val="20"/>
          <w:szCs w:val="20"/>
        </w:rPr>
      </w:pPr>
    </w:p>
    <w:bookmarkEnd w:id="1"/>
    <w:p>
      <w:pPr>
        <w:jc w:val="center"/>
        <w:rPr>
          <w:rFonts w:ascii="楷体" w:hAnsi="楷体" w:eastAsia="楷体" w:cs="Times New Roman"/>
          <w:b/>
          <w:szCs w:val="22"/>
        </w:rPr>
      </w:pPr>
      <w:r>
        <w:rPr>
          <w:rFonts w:ascii="楷体" w:hAnsi="楷体" w:eastAsia="楷体" w:cs="Times New Roman"/>
          <w:b/>
          <w:szCs w:val="22"/>
        </w:rPr>
        <w:t>批准签名页</w:t>
      </w:r>
    </w:p>
    <w:p>
      <w:pPr>
        <w:rPr>
          <w:rFonts w:ascii="楷体" w:hAnsi="楷体" w:eastAsia="楷体" w:cs="Times New Roman"/>
          <w:b/>
          <w:sz w:val="22"/>
          <w:szCs w:val="22"/>
        </w:rPr>
      </w:pPr>
    </w:p>
    <w:tbl>
      <w:tblPr>
        <w:tblStyle w:val="22"/>
        <w:tblW w:w="9286" w:type="dxa"/>
        <w:jc w:val="center"/>
        <w:tblLayout w:type="fixed"/>
        <w:tblCellMar>
          <w:top w:w="0" w:type="dxa"/>
          <w:left w:w="108" w:type="dxa"/>
          <w:bottom w:w="0" w:type="dxa"/>
          <w:right w:w="108" w:type="dxa"/>
        </w:tblCellMar>
      </w:tblPr>
      <w:tblGrid>
        <w:gridCol w:w="6222"/>
        <w:gridCol w:w="3064"/>
      </w:tblGrid>
      <w:tr>
        <w:tblPrEx>
          <w:tblCellMar>
            <w:top w:w="0" w:type="dxa"/>
            <w:left w:w="108" w:type="dxa"/>
            <w:bottom w:w="0" w:type="dxa"/>
            <w:right w:w="108" w:type="dxa"/>
          </w:tblCellMar>
        </w:tblPrEx>
        <w:trPr>
          <w:jc w:val="center"/>
        </w:trPr>
        <w:tc>
          <w:tcPr>
            <w:tcW w:w="9286" w:type="dxa"/>
            <w:gridSpan w:val="2"/>
            <w:tcBorders>
              <w:top w:val="double" w:color="auto" w:sz="4" w:space="0"/>
              <w:left w:val="double" w:color="auto" w:sz="4" w:space="0"/>
              <w:bottom w:val="double" w:color="auto" w:sz="4" w:space="0"/>
              <w:right w:val="double" w:color="auto" w:sz="4" w:space="0"/>
            </w:tcBorders>
          </w:tcPr>
          <w:p>
            <w:pPr>
              <w:spacing w:before="120"/>
              <w:ind w:left="72"/>
              <w:jc w:val="center"/>
              <w:rPr>
                <w:rFonts w:ascii="楷体" w:hAnsi="楷体" w:eastAsia="楷体" w:cs="Times New Roman"/>
                <w:sz w:val="22"/>
                <w:szCs w:val="22"/>
              </w:rPr>
            </w:pPr>
            <w:r>
              <w:rPr>
                <w:rFonts w:ascii="楷体" w:hAnsi="楷体" w:eastAsia="楷体" w:cs="Times New Roman"/>
                <w:sz w:val="22"/>
                <w:szCs w:val="22"/>
              </w:rPr>
              <w:t>撰写</w:t>
            </w:r>
          </w:p>
        </w:tc>
      </w:tr>
      <w:tr>
        <w:tblPrEx>
          <w:tblCellMar>
            <w:top w:w="0" w:type="dxa"/>
            <w:left w:w="108" w:type="dxa"/>
            <w:bottom w:w="0" w:type="dxa"/>
            <w:right w:w="108" w:type="dxa"/>
          </w:tblCellMar>
        </w:tblPrEx>
        <w:trPr>
          <w:jc w:val="center"/>
        </w:trPr>
        <w:tc>
          <w:tcPr>
            <w:tcW w:w="6222" w:type="dxa"/>
            <w:tcBorders>
              <w:top w:val="double" w:color="auto" w:sz="4" w:space="0"/>
              <w:left w:val="double" w:color="auto" w:sz="4" w:space="0"/>
              <w:bottom w:val="single" w:color="auto" w:sz="6" w:space="0"/>
              <w:right w:val="single" w:color="auto" w:sz="6" w:space="0"/>
            </w:tcBorders>
          </w:tcPr>
          <w:p>
            <w:pPr>
              <w:spacing w:before="120"/>
              <w:ind w:left="72"/>
              <w:rPr>
                <w:rFonts w:ascii="楷体" w:hAnsi="楷体" w:eastAsia="楷体" w:cs="Times New Roman"/>
                <w:sz w:val="22"/>
                <w:szCs w:val="22"/>
              </w:rPr>
            </w:pPr>
            <w:r>
              <w:rPr>
                <w:rFonts w:ascii="楷体" w:hAnsi="楷体" w:eastAsia="楷体" w:cs="Times New Roman"/>
                <w:sz w:val="22"/>
                <w:szCs w:val="22"/>
              </w:rPr>
              <w:t>签名:</w:t>
            </w:r>
          </w:p>
        </w:tc>
        <w:tc>
          <w:tcPr>
            <w:tcW w:w="3064" w:type="dxa"/>
            <w:tcBorders>
              <w:top w:val="double" w:color="auto" w:sz="4" w:space="0"/>
              <w:left w:val="single" w:color="auto" w:sz="6" w:space="0"/>
              <w:bottom w:val="single" w:color="auto" w:sz="6" w:space="0"/>
              <w:right w:val="double" w:color="auto" w:sz="4" w:space="0"/>
            </w:tcBorders>
          </w:tcPr>
          <w:p>
            <w:pPr>
              <w:spacing w:before="120"/>
              <w:ind w:left="72"/>
              <w:rPr>
                <w:rFonts w:ascii="楷体" w:hAnsi="楷体" w:eastAsia="楷体" w:cs="Times New Roman"/>
                <w:sz w:val="22"/>
                <w:szCs w:val="22"/>
              </w:rPr>
            </w:pPr>
            <w:r>
              <w:rPr>
                <w:rFonts w:ascii="楷体" w:hAnsi="楷体" w:eastAsia="楷体" w:cs="Times New Roman"/>
                <w:sz w:val="22"/>
                <w:szCs w:val="22"/>
              </w:rPr>
              <w:t>日期:</w:t>
            </w:r>
          </w:p>
        </w:tc>
      </w:tr>
      <w:tr>
        <w:tblPrEx>
          <w:tblCellMar>
            <w:top w:w="0" w:type="dxa"/>
            <w:left w:w="108" w:type="dxa"/>
            <w:bottom w:w="0" w:type="dxa"/>
            <w:right w:w="108" w:type="dxa"/>
          </w:tblCellMar>
        </w:tblPrEx>
        <w:trPr>
          <w:jc w:val="center"/>
        </w:trPr>
        <w:tc>
          <w:tcPr>
            <w:tcW w:w="9286" w:type="dxa"/>
            <w:gridSpan w:val="2"/>
            <w:tcBorders>
              <w:top w:val="single" w:color="auto" w:sz="6" w:space="0"/>
              <w:left w:val="double" w:color="auto" w:sz="4" w:space="0"/>
              <w:bottom w:val="single" w:color="auto" w:sz="6" w:space="0"/>
              <w:right w:val="double" w:color="auto" w:sz="4" w:space="0"/>
            </w:tcBorders>
          </w:tcPr>
          <w:p>
            <w:pPr>
              <w:spacing w:before="120"/>
              <w:ind w:left="72"/>
              <w:rPr>
                <w:rFonts w:ascii="楷体" w:hAnsi="楷体" w:eastAsia="楷体" w:cs="Times New Roman"/>
                <w:sz w:val="22"/>
                <w:szCs w:val="22"/>
              </w:rPr>
            </w:pPr>
            <w:r>
              <w:rPr>
                <w:rFonts w:ascii="楷体" w:hAnsi="楷体" w:eastAsia="楷体" w:cs="Times New Roman"/>
                <w:sz w:val="22"/>
                <w:szCs w:val="22"/>
              </w:rPr>
              <w:t xml:space="preserve">姓名: </w:t>
            </w:r>
            <w:r>
              <w:rPr>
                <w:rFonts w:hint="eastAsia" w:ascii="楷体" w:hAnsi="楷体" w:eastAsia="楷体" w:cs="Times New Roman"/>
                <w:sz w:val="22"/>
                <w:szCs w:val="22"/>
              </w:rPr>
              <w:t>季家超</w:t>
            </w:r>
          </w:p>
        </w:tc>
      </w:tr>
      <w:tr>
        <w:tblPrEx>
          <w:tblCellMar>
            <w:top w:w="0" w:type="dxa"/>
            <w:left w:w="108" w:type="dxa"/>
            <w:bottom w:w="0" w:type="dxa"/>
            <w:right w:w="108" w:type="dxa"/>
          </w:tblCellMar>
        </w:tblPrEx>
        <w:trPr>
          <w:jc w:val="center"/>
        </w:trPr>
        <w:tc>
          <w:tcPr>
            <w:tcW w:w="9286" w:type="dxa"/>
            <w:gridSpan w:val="2"/>
            <w:tcBorders>
              <w:top w:val="single" w:color="auto" w:sz="6" w:space="0"/>
              <w:left w:val="double" w:color="auto" w:sz="4" w:space="0"/>
              <w:bottom w:val="double" w:color="auto" w:sz="4" w:space="0"/>
              <w:right w:val="double" w:color="auto" w:sz="4" w:space="0"/>
            </w:tcBorders>
          </w:tcPr>
          <w:p>
            <w:pPr>
              <w:spacing w:before="120"/>
              <w:ind w:left="72"/>
              <w:rPr>
                <w:rFonts w:ascii="楷体" w:hAnsi="楷体" w:eastAsia="楷体" w:cs="Times New Roman"/>
                <w:sz w:val="22"/>
                <w:szCs w:val="22"/>
              </w:rPr>
            </w:pPr>
            <w:r>
              <w:rPr>
                <w:rFonts w:ascii="楷体" w:hAnsi="楷体" w:eastAsia="楷体" w:cs="Times New Roman"/>
                <w:sz w:val="22"/>
                <w:szCs w:val="22"/>
              </w:rPr>
              <w:t xml:space="preserve">部门/职位: </w:t>
            </w:r>
            <w:r>
              <w:rPr>
                <w:rFonts w:hint="eastAsia" w:ascii="楷体" w:hAnsi="楷体" w:eastAsia="楷体" w:cs="Times New Roman"/>
                <w:sz w:val="22"/>
                <w:szCs w:val="22"/>
              </w:rPr>
              <w:t>零氪科技</w:t>
            </w:r>
            <w:r>
              <w:rPr>
                <w:rFonts w:ascii="楷体" w:hAnsi="楷体" w:eastAsia="楷体" w:cs="Times New Roman"/>
                <w:sz w:val="22"/>
                <w:szCs w:val="22"/>
              </w:rPr>
              <w:t>(北京)有限公司</w:t>
            </w:r>
            <w:r>
              <w:rPr>
                <w:rFonts w:hint="eastAsia" w:ascii="楷体" w:hAnsi="楷体" w:eastAsia="楷体" w:cs="Times New Roman"/>
                <w:sz w:val="22"/>
                <w:szCs w:val="22"/>
              </w:rPr>
              <w:t>统计团队</w:t>
            </w:r>
            <w:r>
              <w:rPr>
                <w:rFonts w:ascii="楷体" w:hAnsi="楷体" w:eastAsia="楷体" w:cs="Times New Roman"/>
                <w:sz w:val="22"/>
                <w:szCs w:val="22"/>
              </w:rPr>
              <w:t xml:space="preserve"> / </w:t>
            </w:r>
            <w:r>
              <w:rPr>
                <w:rFonts w:hint="eastAsia" w:ascii="楷体" w:hAnsi="楷体" w:eastAsia="楷体" w:cs="Times New Roman"/>
                <w:sz w:val="22"/>
                <w:szCs w:val="22"/>
              </w:rPr>
              <w:t>高级</w:t>
            </w:r>
            <w:r>
              <w:rPr>
                <w:rFonts w:ascii="楷体" w:hAnsi="楷体" w:eastAsia="楷体" w:cs="Times New Roman"/>
                <w:sz w:val="22"/>
                <w:szCs w:val="22"/>
              </w:rPr>
              <w:t>统计</w:t>
            </w:r>
            <w:r>
              <w:rPr>
                <w:rFonts w:hint="eastAsia" w:ascii="楷体" w:hAnsi="楷体" w:eastAsia="楷体" w:cs="Times New Roman"/>
                <w:sz w:val="22"/>
                <w:szCs w:val="22"/>
              </w:rPr>
              <w:t>师</w:t>
            </w:r>
          </w:p>
        </w:tc>
      </w:tr>
    </w:tbl>
    <w:p>
      <w:pPr>
        <w:rPr>
          <w:rFonts w:ascii="楷体" w:hAnsi="楷体" w:eastAsia="楷体" w:cs="Times New Roman"/>
          <w:sz w:val="22"/>
          <w:szCs w:val="22"/>
        </w:rPr>
      </w:pPr>
    </w:p>
    <w:p>
      <w:pPr>
        <w:rPr>
          <w:rFonts w:ascii="楷体" w:hAnsi="楷体" w:eastAsia="楷体" w:cs="Times New Roman"/>
          <w:sz w:val="22"/>
          <w:szCs w:val="22"/>
        </w:rPr>
      </w:pPr>
    </w:p>
    <w:tbl>
      <w:tblPr>
        <w:tblStyle w:val="22"/>
        <w:tblW w:w="9286" w:type="dxa"/>
        <w:jc w:val="center"/>
        <w:tblLayout w:type="fixed"/>
        <w:tblCellMar>
          <w:top w:w="0" w:type="dxa"/>
          <w:left w:w="108" w:type="dxa"/>
          <w:bottom w:w="0" w:type="dxa"/>
          <w:right w:w="108" w:type="dxa"/>
        </w:tblCellMar>
      </w:tblPr>
      <w:tblGrid>
        <w:gridCol w:w="6222"/>
        <w:gridCol w:w="3064"/>
      </w:tblGrid>
      <w:tr>
        <w:trPr>
          <w:jc w:val="center"/>
        </w:trPr>
        <w:tc>
          <w:tcPr>
            <w:tcW w:w="9286" w:type="dxa"/>
            <w:gridSpan w:val="2"/>
            <w:tcBorders>
              <w:top w:val="double" w:color="auto" w:sz="4" w:space="0"/>
              <w:left w:val="double" w:color="auto" w:sz="4" w:space="0"/>
              <w:bottom w:val="double" w:color="auto" w:sz="4" w:space="0"/>
              <w:right w:val="double" w:color="auto" w:sz="4" w:space="0"/>
            </w:tcBorders>
          </w:tcPr>
          <w:p>
            <w:pPr>
              <w:spacing w:before="120"/>
              <w:ind w:left="72"/>
              <w:jc w:val="center"/>
              <w:rPr>
                <w:rFonts w:ascii="楷体" w:hAnsi="楷体" w:eastAsia="楷体" w:cs="Times New Roman"/>
                <w:sz w:val="22"/>
                <w:szCs w:val="22"/>
              </w:rPr>
            </w:pPr>
            <w:r>
              <w:rPr>
                <w:rFonts w:ascii="楷体" w:hAnsi="楷体" w:eastAsia="楷体" w:cs="Times New Roman"/>
                <w:sz w:val="22"/>
                <w:szCs w:val="22"/>
              </w:rPr>
              <w:t>审阅与批准</w:t>
            </w:r>
          </w:p>
        </w:tc>
      </w:tr>
      <w:tr>
        <w:trPr>
          <w:jc w:val="center"/>
        </w:trPr>
        <w:tc>
          <w:tcPr>
            <w:tcW w:w="6222" w:type="dxa"/>
            <w:tcBorders>
              <w:top w:val="double" w:color="auto" w:sz="4" w:space="0"/>
              <w:left w:val="double" w:color="auto" w:sz="4" w:space="0"/>
              <w:bottom w:val="single" w:color="auto" w:sz="6" w:space="0"/>
              <w:right w:val="single" w:color="auto" w:sz="6" w:space="0"/>
            </w:tcBorders>
          </w:tcPr>
          <w:p>
            <w:pPr>
              <w:spacing w:before="120"/>
              <w:ind w:left="72"/>
              <w:rPr>
                <w:rFonts w:ascii="楷体" w:hAnsi="楷体" w:eastAsia="楷体" w:cs="Times New Roman"/>
                <w:sz w:val="22"/>
                <w:szCs w:val="22"/>
              </w:rPr>
            </w:pPr>
            <w:r>
              <w:rPr>
                <w:rFonts w:ascii="楷体" w:hAnsi="楷体" w:eastAsia="楷体" w:cs="Times New Roman"/>
                <w:sz w:val="22"/>
                <w:szCs w:val="22"/>
              </w:rPr>
              <w:t>签名:</w:t>
            </w:r>
          </w:p>
        </w:tc>
        <w:tc>
          <w:tcPr>
            <w:tcW w:w="3064" w:type="dxa"/>
            <w:tcBorders>
              <w:top w:val="double" w:color="auto" w:sz="4" w:space="0"/>
              <w:left w:val="single" w:color="auto" w:sz="6" w:space="0"/>
              <w:bottom w:val="single" w:color="auto" w:sz="6" w:space="0"/>
              <w:right w:val="double" w:color="auto" w:sz="4" w:space="0"/>
            </w:tcBorders>
          </w:tcPr>
          <w:p>
            <w:pPr>
              <w:spacing w:before="120"/>
              <w:ind w:left="72"/>
              <w:rPr>
                <w:rFonts w:ascii="楷体" w:hAnsi="楷体" w:eastAsia="楷体" w:cs="Times New Roman"/>
                <w:sz w:val="22"/>
                <w:szCs w:val="22"/>
              </w:rPr>
            </w:pPr>
            <w:r>
              <w:rPr>
                <w:rFonts w:ascii="楷体" w:hAnsi="楷体" w:eastAsia="楷体" w:cs="Times New Roman"/>
                <w:sz w:val="22"/>
                <w:szCs w:val="22"/>
              </w:rPr>
              <w:t>日期:</w:t>
            </w:r>
            <w:r>
              <w:rPr>
                <w:rFonts w:ascii="楷体" w:hAnsi="楷体" w:eastAsia="楷体"/>
              </w:rPr>
              <w:t xml:space="preserve"> </w:t>
            </w:r>
          </w:p>
        </w:tc>
      </w:tr>
      <w:tr>
        <w:trPr>
          <w:jc w:val="center"/>
        </w:trPr>
        <w:tc>
          <w:tcPr>
            <w:tcW w:w="9286" w:type="dxa"/>
            <w:gridSpan w:val="2"/>
            <w:tcBorders>
              <w:top w:val="single" w:color="auto" w:sz="6" w:space="0"/>
              <w:left w:val="double" w:color="auto" w:sz="4" w:space="0"/>
              <w:bottom w:val="single" w:color="auto" w:sz="6" w:space="0"/>
              <w:right w:val="double" w:color="auto" w:sz="4" w:space="0"/>
            </w:tcBorders>
          </w:tcPr>
          <w:p>
            <w:pPr>
              <w:spacing w:before="120"/>
              <w:ind w:left="72"/>
              <w:rPr>
                <w:rFonts w:ascii="楷体" w:hAnsi="楷体" w:eastAsia="楷体" w:cs="Times New Roman"/>
                <w:sz w:val="22"/>
                <w:szCs w:val="22"/>
              </w:rPr>
            </w:pPr>
            <w:r>
              <w:rPr>
                <w:rFonts w:ascii="楷体" w:hAnsi="楷体" w:eastAsia="楷体" w:cs="Times New Roman"/>
                <w:sz w:val="22"/>
                <w:szCs w:val="22"/>
              </w:rPr>
              <w:t xml:space="preserve">姓名: </w:t>
            </w:r>
            <w:r>
              <w:rPr>
                <w:rFonts w:hint="eastAsia" w:ascii="楷体" w:hAnsi="楷体" w:eastAsia="楷体" w:cs="Times New Roman"/>
                <w:sz w:val="22"/>
                <w:szCs w:val="22"/>
              </w:rPr>
              <w:t>胡佳佳</w:t>
            </w:r>
          </w:p>
        </w:tc>
      </w:tr>
      <w:tr>
        <w:trPr>
          <w:jc w:val="center"/>
        </w:trPr>
        <w:tc>
          <w:tcPr>
            <w:tcW w:w="9286" w:type="dxa"/>
            <w:gridSpan w:val="2"/>
            <w:tcBorders>
              <w:top w:val="single" w:color="auto" w:sz="6" w:space="0"/>
              <w:left w:val="double" w:color="auto" w:sz="4" w:space="0"/>
              <w:bottom w:val="double" w:color="auto" w:sz="4" w:space="0"/>
              <w:right w:val="double" w:color="auto" w:sz="4" w:space="0"/>
            </w:tcBorders>
          </w:tcPr>
          <w:p>
            <w:pPr>
              <w:spacing w:before="120"/>
              <w:ind w:left="72"/>
              <w:rPr>
                <w:rFonts w:ascii="楷体" w:hAnsi="楷体" w:eastAsia="楷体" w:cs="Times New Roman"/>
                <w:sz w:val="22"/>
                <w:szCs w:val="22"/>
              </w:rPr>
            </w:pPr>
            <w:r>
              <w:rPr>
                <w:rFonts w:ascii="楷体" w:hAnsi="楷体" w:eastAsia="楷体" w:cs="Times New Roman"/>
                <w:sz w:val="22"/>
                <w:szCs w:val="22"/>
              </w:rPr>
              <w:t xml:space="preserve">部门/职位: </w:t>
            </w:r>
            <w:r>
              <w:rPr>
                <w:rFonts w:hint="eastAsia" w:ascii="楷体" w:hAnsi="楷体" w:eastAsia="楷体" w:cs="Times New Roman"/>
                <w:sz w:val="22"/>
                <w:szCs w:val="22"/>
              </w:rPr>
              <w:t>零氪科技</w:t>
            </w:r>
            <w:r>
              <w:rPr>
                <w:rFonts w:ascii="楷体" w:hAnsi="楷体" w:eastAsia="楷体" w:cs="Times New Roman"/>
                <w:sz w:val="22"/>
                <w:szCs w:val="22"/>
              </w:rPr>
              <w:t>(北京)有限公司</w:t>
            </w:r>
            <w:r>
              <w:rPr>
                <w:rFonts w:hint="eastAsia" w:ascii="楷体" w:hAnsi="楷体" w:eastAsia="楷体" w:cs="Times New Roman"/>
                <w:sz w:val="22"/>
                <w:szCs w:val="22"/>
              </w:rPr>
              <w:t>统计团队</w:t>
            </w:r>
            <w:r>
              <w:rPr>
                <w:rFonts w:ascii="楷体" w:hAnsi="楷体" w:eastAsia="楷体" w:cs="Times New Roman"/>
                <w:sz w:val="22"/>
                <w:szCs w:val="22"/>
              </w:rPr>
              <w:t xml:space="preserve"> / 统计</w:t>
            </w:r>
            <w:r>
              <w:rPr>
                <w:rFonts w:hint="eastAsia" w:ascii="楷体" w:hAnsi="楷体" w:eastAsia="楷体" w:cs="Times New Roman"/>
                <w:sz w:val="22"/>
                <w:szCs w:val="22"/>
              </w:rPr>
              <w:t>副总监</w:t>
            </w:r>
          </w:p>
        </w:tc>
      </w:tr>
    </w:tbl>
    <w:p>
      <w:pPr>
        <w:rPr>
          <w:rFonts w:ascii="楷体" w:hAnsi="楷体" w:eastAsia="楷体" w:cs="Times New Roman"/>
          <w:b/>
          <w:sz w:val="22"/>
          <w:szCs w:val="22"/>
        </w:rPr>
      </w:pPr>
    </w:p>
    <w:p>
      <w:pPr>
        <w:rPr>
          <w:rFonts w:ascii="楷体" w:hAnsi="楷体" w:eastAsia="楷体" w:cs="Times New Roman"/>
          <w:sz w:val="22"/>
          <w:szCs w:val="22"/>
        </w:rPr>
      </w:pPr>
    </w:p>
    <w:tbl>
      <w:tblPr>
        <w:tblStyle w:val="22"/>
        <w:tblW w:w="9286" w:type="dxa"/>
        <w:jc w:val="center"/>
        <w:tblLayout w:type="fixed"/>
        <w:tblCellMar>
          <w:top w:w="0" w:type="dxa"/>
          <w:left w:w="108" w:type="dxa"/>
          <w:bottom w:w="0" w:type="dxa"/>
          <w:right w:w="108" w:type="dxa"/>
        </w:tblCellMar>
      </w:tblPr>
      <w:tblGrid>
        <w:gridCol w:w="6222"/>
        <w:gridCol w:w="3064"/>
      </w:tblGrid>
      <w:tr>
        <w:trPr>
          <w:jc w:val="center"/>
        </w:trPr>
        <w:tc>
          <w:tcPr>
            <w:tcW w:w="9286" w:type="dxa"/>
            <w:gridSpan w:val="2"/>
            <w:tcBorders>
              <w:top w:val="double" w:color="auto" w:sz="4" w:space="0"/>
              <w:left w:val="double" w:color="auto" w:sz="4" w:space="0"/>
              <w:bottom w:val="double" w:color="auto" w:sz="4" w:space="0"/>
              <w:right w:val="double" w:color="auto" w:sz="4" w:space="0"/>
            </w:tcBorders>
          </w:tcPr>
          <w:p>
            <w:pPr>
              <w:spacing w:before="120"/>
              <w:ind w:left="72"/>
              <w:jc w:val="center"/>
              <w:rPr>
                <w:rFonts w:ascii="楷体" w:hAnsi="楷体" w:eastAsia="楷体" w:cs="Times New Roman"/>
                <w:sz w:val="22"/>
                <w:szCs w:val="22"/>
              </w:rPr>
            </w:pPr>
            <w:r>
              <w:rPr>
                <w:rFonts w:ascii="楷体" w:hAnsi="楷体" w:eastAsia="楷体" w:cs="Times New Roman"/>
                <w:sz w:val="22"/>
                <w:szCs w:val="22"/>
              </w:rPr>
              <w:t>审阅与批准</w:t>
            </w:r>
          </w:p>
        </w:tc>
      </w:tr>
      <w:tr>
        <w:trPr>
          <w:jc w:val="center"/>
        </w:trPr>
        <w:tc>
          <w:tcPr>
            <w:tcW w:w="6222" w:type="dxa"/>
            <w:tcBorders>
              <w:top w:val="double" w:color="auto" w:sz="4" w:space="0"/>
              <w:left w:val="double" w:color="auto" w:sz="4" w:space="0"/>
              <w:bottom w:val="single" w:color="auto" w:sz="6" w:space="0"/>
              <w:right w:val="single" w:color="auto" w:sz="6" w:space="0"/>
            </w:tcBorders>
          </w:tcPr>
          <w:p>
            <w:pPr>
              <w:spacing w:before="120"/>
              <w:ind w:left="72"/>
              <w:rPr>
                <w:rFonts w:ascii="楷体" w:hAnsi="楷体" w:eastAsia="楷体" w:cs="Times New Roman"/>
                <w:sz w:val="22"/>
                <w:szCs w:val="22"/>
              </w:rPr>
            </w:pPr>
            <w:r>
              <w:rPr>
                <w:rFonts w:ascii="楷体" w:hAnsi="楷体" w:eastAsia="楷体" w:cs="Times New Roman"/>
                <w:sz w:val="22"/>
                <w:szCs w:val="22"/>
              </w:rPr>
              <w:t>签名:</w:t>
            </w:r>
          </w:p>
        </w:tc>
        <w:tc>
          <w:tcPr>
            <w:tcW w:w="3064" w:type="dxa"/>
            <w:tcBorders>
              <w:top w:val="double" w:color="auto" w:sz="4" w:space="0"/>
              <w:left w:val="single" w:color="auto" w:sz="6" w:space="0"/>
              <w:bottom w:val="single" w:color="auto" w:sz="6" w:space="0"/>
              <w:right w:val="double" w:color="auto" w:sz="4" w:space="0"/>
            </w:tcBorders>
          </w:tcPr>
          <w:p>
            <w:pPr>
              <w:spacing w:before="120"/>
              <w:ind w:left="72"/>
              <w:rPr>
                <w:rFonts w:ascii="楷体" w:hAnsi="楷体" w:eastAsia="楷体" w:cs="Times New Roman"/>
                <w:sz w:val="22"/>
                <w:szCs w:val="22"/>
              </w:rPr>
            </w:pPr>
            <w:r>
              <w:rPr>
                <w:rFonts w:ascii="楷体" w:hAnsi="楷体" w:eastAsia="楷体" w:cs="Times New Roman"/>
                <w:sz w:val="22"/>
                <w:szCs w:val="22"/>
              </w:rPr>
              <w:t>日期:</w:t>
            </w:r>
            <w:r>
              <w:rPr>
                <w:rFonts w:ascii="楷体" w:hAnsi="楷体" w:eastAsia="楷体"/>
              </w:rPr>
              <w:t xml:space="preserve"> </w:t>
            </w:r>
          </w:p>
        </w:tc>
      </w:tr>
      <w:tr>
        <w:trPr>
          <w:jc w:val="center"/>
        </w:trPr>
        <w:tc>
          <w:tcPr>
            <w:tcW w:w="9286" w:type="dxa"/>
            <w:gridSpan w:val="2"/>
            <w:tcBorders>
              <w:top w:val="single" w:color="auto" w:sz="6" w:space="0"/>
              <w:left w:val="double" w:color="auto" w:sz="4" w:space="0"/>
              <w:bottom w:val="single" w:color="auto" w:sz="6" w:space="0"/>
              <w:right w:val="double" w:color="auto" w:sz="4" w:space="0"/>
            </w:tcBorders>
          </w:tcPr>
          <w:p>
            <w:pPr>
              <w:spacing w:before="120"/>
              <w:ind w:left="72"/>
              <w:rPr>
                <w:rFonts w:ascii="楷体" w:hAnsi="楷体" w:eastAsia="楷体" w:cs="Times New Roman"/>
                <w:sz w:val="22"/>
                <w:szCs w:val="22"/>
              </w:rPr>
            </w:pPr>
            <w:r>
              <w:rPr>
                <w:rFonts w:ascii="楷体" w:hAnsi="楷体" w:eastAsia="楷体" w:cs="Times New Roman"/>
                <w:sz w:val="22"/>
                <w:szCs w:val="22"/>
              </w:rPr>
              <w:t xml:space="preserve">姓名: </w:t>
            </w:r>
            <w:r>
              <w:rPr>
                <w:rFonts w:hint="eastAsia" w:ascii="楷体" w:hAnsi="楷体" w:eastAsia="楷体" w:cs="Times New Roman"/>
                <w:sz w:val="22"/>
                <w:szCs w:val="22"/>
              </w:rPr>
              <w:t>周彩存</w:t>
            </w:r>
          </w:p>
        </w:tc>
      </w:tr>
      <w:tr>
        <w:trPr>
          <w:jc w:val="center"/>
        </w:trPr>
        <w:tc>
          <w:tcPr>
            <w:tcW w:w="9286" w:type="dxa"/>
            <w:gridSpan w:val="2"/>
            <w:tcBorders>
              <w:top w:val="single" w:color="auto" w:sz="6" w:space="0"/>
              <w:left w:val="double" w:color="auto" w:sz="4" w:space="0"/>
              <w:bottom w:val="double" w:color="auto" w:sz="4" w:space="0"/>
              <w:right w:val="double" w:color="auto" w:sz="4" w:space="0"/>
            </w:tcBorders>
          </w:tcPr>
          <w:p>
            <w:pPr>
              <w:spacing w:before="120"/>
              <w:ind w:left="72"/>
              <w:rPr>
                <w:rFonts w:ascii="楷体" w:hAnsi="楷体" w:eastAsia="楷体" w:cs="Times New Roman"/>
                <w:sz w:val="22"/>
                <w:szCs w:val="22"/>
              </w:rPr>
            </w:pPr>
            <w:r>
              <w:rPr>
                <w:rFonts w:ascii="楷体" w:hAnsi="楷体" w:eastAsia="楷体" w:cs="Times New Roman"/>
                <w:sz w:val="22"/>
                <w:szCs w:val="22"/>
              </w:rPr>
              <w:t xml:space="preserve">部门/职位: </w:t>
            </w:r>
            <w:r>
              <w:rPr>
                <w:rFonts w:hint="eastAsia" w:ascii="楷体" w:hAnsi="楷体" w:eastAsia="楷体" w:cs="Times New Roman"/>
                <w:sz w:val="22"/>
                <w:szCs w:val="22"/>
              </w:rPr>
              <w:t>上海市肺科医院/主要研究者</w:t>
            </w:r>
          </w:p>
        </w:tc>
      </w:tr>
    </w:tbl>
    <w:p>
      <w:pPr>
        <w:rPr>
          <w:rFonts w:ascii="楷体" w:hAnsi="楷体" w:eastAsia="楷体" w:cs="Times New Roman"/>
          <w:sz w:val="22"/>
          <w:szCs w:val="22"/>
        </w:rPr>
      </w:pPr>
    </w:p>
    <w:p>
      <w:pPr>
        <w:rPr>
          <w:rFonts w:ascii="楷体" w:hAnsi="楷体" w:eastAsia="楷体" w:cs="Times New Roman"/>
          <w:sz w:val="22"/>
          <w:szCs w:val="22"/>
        </w:rPr>
      </w:pPr>
    </w:p>
    <w:p>
      <w:pPr>
        <w:spacing w:before="120" w:line="360" w:lineRule="auto"/>
        <w:rPr>
          <w:rFonts w:ascii="楷体" w:hAnsi="楷体" w:eastAsia="楷体" w:cs="Times New Roman"/>
          <w:lang w:eastAsia="zh-TW"/>
        </w:rPr>
      </w:pPr>
    </w:p>
    <w:p>
      <w:pPr>
        <w:widowControl/>
        <w:jc w:val="left"/>
        <w:rPr>
          <w:rFonts w:ascii="Times New Roman" w:hAnsi="Times New Roman" w:eastAsia="黑体" w:cs="Times New Roman"/>
          <w:sz w:val="24"/>
          <w:szCs w:val="32"/>
          <w:u w:val="single"/>
        </w:rPr>
      </w:pPr>
    </w:p>
    <w:p>
      <w:pPr>
        <w:widowControl/>
        <w:jc w:val="left"/>
        <w:rPr>
          <w:rFonts w:ascii="Times New Roman" w:hAnsi="Times New Roman" w:eastAsia="黑体" w:cs="Times New Roman"/>
          <w:sz w:val="24"/>
          <w:szCs w:val="32"/>
          <w:u w:val="single"/>
        </w:rPr>
      </w:pPr>
    </w:p>
    <w:p>
      <w:pPr>
        <w:widowControl/>
        <w:jc w:val="left"/>
        <w:rPr>
          <w:rFonts w:ascii="Times New Roman" w:hAnsi="Times New Roman" w:eastAsia="黑体" w:cs="Times New Roman"/>
          <w:sz w:val="24"/>
          <w:szCs w:val="32"/>
          <w:u w:val="single"/>
        </w:rPr>
      </w:pPr>
    </w:p>
    <w:p>
      <w:pPr>
        <w:widowControl/>
        <w:jc w:val="left"/>
        <w:rPr>
          <w:rFonts w:ascii="Times New Roman" w:hAnsi="Times New Roman" w:eastAsia="黑体" w:cs="Times New Roman"/>
          <w:sz w:val="24"/>
          <w:szCs w:val="32"/>
          <w:u w:val="single"/>
        </w:rPr>
      </w:pPr>
    </w:p>
    <w:p>
      <w:pPr>
        <w:widowControl/>
        <w:jc w:val="left"/>
        <w:rPr>
          <w:rFonts w:ascii="Times New Roman" w:hAnsi="Times New Roman" w:eastAsia="黑体" w:cs="Times New Roman"/>
          <w:sz w:val="24"/>
          <w:szCs w:val="32"/>
          <w:u w:val="single"/>
        </w:rPr>
      </w:pPr>
    </w:p>
    <w:p>
      <w:pPr>
        <w:widowControl/>
        <w:jc w:val="left"/>
        <w:rPr>
          <w:rFonts w:ascii="Times New Roman" w:hAnsi="Times New Roman" w:eastAsia="黑体" w:cs="Times New Roman"/>
          <w:sz w:val="24"/>
          <w:szCs w:val="32"/>
          <w:u w:val="single"/>
        </w:rPr>
      </w:pPr>
    </w:p>
    <w:p>
      <w:pPr>
        <w:widowControl/>
        <w:jc w:val="left"/>
        <w:rPr>
          <w:rFonts w:ascii="Times New Roman" w:hAnsi="Times New Roman" w:eastAsia="黑体" w:cs="Times New Roman"/>
          <w:sz w:val="24"/>
          <w:szCs w:val="32"/>
          <w:u w:val="single"/>
        </w:rPr>
      </w:pPr>
    </w:p>
    <w:p>
      <w:pPr>
        <w:widowControl/>
        <w:jc w:val="left"/>
        <w:rPr>
          <w:rFonts w:ascii="Times New Roman" w:hAnsi="Times New Roman" w:eastAsia="黑体" w:cs="Times New Roman"/>
          <w:sz w:val="24"/>
          <w:szCs w:val="32"/>
          <w:u w:val="single"/>
        </w:rPr>
      </w:pPr>
    </w:p>
    <w:p>
      <w:pPr>
        <w:widowControl/>
        <w:jc w:val="left"/>
        <w:rPr>
          <w:rFonts w:ascii="Times New Roman" w:hAnsi="Times New Roman" w:eastAsia="黑体" w:cs="Times New Roman"/>
          <w:sz w:val="24"/>
          <w:szCs w:val="32"/>
          <w:u w:val="single"/>
        </w:rPr>
      </w:pPr>
    </w:p>
    <w:p>
      <w:pPr>
        <w:widowControl/>
        <w:jc w:val="left"/>
        <w:rPr>
          <w:rFonts w:ascii="Times New Roman" w:hAnsi="Times New Roman" w:eastAsia="黑体" w:cs="Times New Roman"/>
          <w:sz w:val="24"/>
          <w:szCs w:val="32"/>
          <w:u w:val="single"/>
        </w:rPr>
      </w:pPr>
    </w:p>
    <w:p>
      <w:pPr>
        <w:widowControl/>
        <w:jc w:val="left"/>
        <w:rPr>
          <w:rFonts w:ascii="Times New Roman" w:hAnsi="Times New Roman" w:eastAsia="黑体" w:cs="Times New Roman"/>
          <w:sz w:val="24"/>
          <w:szCs w:val="32"/>
          <w:u w:val="single"/>
        </w:rPr>
      </w:pPr>
    </w:p>
    <w:p>
      <w:pPr>
        <w:widowControl/>
        <w:jc w:val="left"/>
        <w:rPr>
          <w:rFonts w:ascii="Times New Roman" w:hAnsi="Times New Roman" w:eastAsia="黑体" w:cs="Times New Roman"/>
          <w:sz w:val="24"/>
          <w:szCs w:val="32"/>
          <w:u w:val="single"/>
        </w:rPr>
      </w:pPr>
    </w:p>
    <w:p>
      <w:pPr>
        <w:widowControl/>
        <w:jc w:val="left"/>
        <w:rPr>
          <w:rFonts w:ascii="Times New Roman" w:hAnsi="Times New Roman" w:eastAsia="黑体" w:cs="Times New Roman"/>
          <w:sz w:val="24"/>
          <w:szCs w:val="32"/>
          <w:u w:val="single"/>
        </w:rPr>
      </w:pPr>
    </w:p>
    <w:p>
      <w:pPr>
        <w:widowControl/>
        <w:jc w:val="left"/>
        <w:rPr>
          <w:rFonts w:ascii="Times New Roman" w:hAnsi="Times New Roman" w:eastAsia="黑体" w:cs="Times New Roman"/>
          <w:sz w:val="24"/>
          <w:szCs w:val="32"/>
          <w:u w:val="single"/>
        </w:rPr>
      </w:pPr>
    </w:p>
    <w:p>
      <w:pPr>
        <w:widowControl/>
        <w:jc w:val="left"/>
        <w:rPr>
          <w:rFonts w:ascii="Times New Roman" w:hAnsi="Times New Roman" w:eastAsia="黑体" w:cs="Times New Roman"/>
          <w:sz w:val="24"/>
          <w:szCs w:val="32"/>
          <w:u w:val="single"/>
        </w:rPr>
      </w:pPr>
    </w:p>
    <w:p>
      <w:pPr>
        <w:widowControl/>
        <w:jc w:val="left"/>
        <w:rPr>
          <w:rFonts w:ascii="Times New Roman" w:hAnsi="Times New Roman" w:eastAsia="黑体" w:cs="Times New Roman"/>
          <w:sz w:val="24"/>
          <w:szCs w:val="32"/>
          <w:u w:val="single"/>
        </w:rPr>
      </w:pPr>
    </w:p>
    <w:sdt>
      <w:sdtPr>
        <w:rPr>
          <w:rFonts w:ascii="Calibri" w:hAnsi="Calibri" w:eastAsia="Calibri" w:cs="Calibri"/>
          <w:color w:val="000000"/>
          <w:kern w:val="2"/>
          <w:sz w:val="21"/>
          <w:szCs w:val="21"/>
          <w:lang w:val="zh-CN"/>
        </w:rPr>
        <w:id w:val="-715743807"/>
        <w:docPartObj>
          <w:docPartGallery w:val="Table of Contents"/>
          <w:docPartUnique/>
        </w:docPartObj>
      </w:sdtPr>
      <w:sdtEndPr>
        <w:rPr>
          <w:rFonts w:ascii="Times New Roman" w:hAnsi="Times New Roman" w:eastAsia="宋体" w:cs="Times New Roman"/>
          <w:b/>
          <w:bCs/>
          <w:color w:val="000000"/>
          <w:kern w:val="2"/>
          <w:sz w:val="21"/>
          <w:szCs w:val="21"/>
          <w:lang w:val="zh-CN"/>
        </w:rPr>
      </w:sdtEndPr>
      <w:sdtContent>
        <w:p>
          <w:pPr>
            <w:pStyle w:val="41"/>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lang w:val="zh-CN"/>
              <w14:textFill>
                <w14:solidFill>
                  <w14:schemeClr w14:val="tx1"/>
                </w14:solidFill>
              </w14:textFill>
            </w:rPr>
            <w:t>目录</w:t>
          </w:r>
        </w:p>
        <w:p>
          <w:pPr>
            <w:pStyle w:val="17"/>
            <w:tabs>
              <w:tab w:val="left" w:pos="420"/>
              <w:tab w:val="right" w:leader="dot" w:pos="9735"/>
            </w:tabs>
            <w:spacing w:line="360" w:lineRule="auto"/>
            <w:rPr>
              <w:rFonts w:ascii="Times New Roman" w:hAnsi="Times New Roman" w:cs="Times New Roman" w:eastAsiaTheme="minorEastAsia"/>
              <w:color w:val="auto"/>
              <w:szCs w:val="22"/>
            </w:rPr>
          </w:pPr>
          <w:r>
            <w:rPr>
              <w:rFonts w:ascii="Times New Roman" w:hAnsi="Times New Roman" w:eastAsia="宋体" w:cs="Times New Roman"/>
            </w:rPr>
            <w:fldChar w:fldCharType="begin"/>
          </w:r>
          <w:r>
            <w:rPr>
              <w:rFonts w:ascii="Times New Roman" w:hAnsi="Times New Roman" w:eastAsia="宋体" w:cs="Times New Roman"/>
            </w:rPr>
            <w:instrText xml:space="preserve"> TOC \o "1-3" \h \z \u </w:instrText>
          </w:r>
          <w:r>
            <w:rPr>
              <w:rFonts w:ascii="Times New Roman" w:hAnsi="Times New Roman" w:eastAsia="宋体" w:cs="Times New Roman"/>
            </w:rPr>
            <w:fldChar w:fldCharType="separate"/>
          </w:r>
          <w:r>
            <w:fldChar w:fldCharType="begin"/>
          </w:r>
          <w:r>
            <w:instrText xml:space="preserve"> HYPERLINK \l "_Toc33465498" </w:instrText>
          </w:r>
          <w:r>
            <w:fldChar w:fldCharType="separate"/>
          </w:r>
          <w:r>
            <w:rPr>
              <w:rStyle w:val="25"/>
              <w:rFonts w:ascii="Times New Roman" w:hAnsi="Times New Roman" w:eastAsia="宋体" w:cs="Times New Roman"/>
            </w:rPr>
            <w:t>1</w:t>
          </w:r>
          <w:r>
            <w:rPr>
              <w:rFonts w:ascii="Times New Roman" w:hAnsi="Times New Roman" w:cs="Times New Roman" w:eastAsiaTheme="minorEastAsia"/>
              <w:color w:val="auto"/>
              <w:szCs w:val="22"/>
            </w:rPr>
            <w:tab/>
          </w:r>
          <w:r>
            <w:rPr>
              <w:rStyle w:val="25"/>
              <w:rFonts w:ascii="Times New Roman" w:hAnsi="Times New Roman" w:eastAsia="宋体" w:cs="Times New Roman"/>
            </w:rPr>
            <w:t>分析人群确定</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_Toc33465498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pPr>
            <w:pStyle w:val="17"/>
            <w:tabs>
              <w:tab w:val="left" w:pos="42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"_Toc33465499" </w:instrText>
          </w:r>
          <w:r>
            <w:fldChar w:fldCharType="separate"/>
          </w:r>
          <w:r>
            <w:rPr>
              <w:rStyle w:val="25"/>
              <w:rFonts w:ascii="Times New Roman" w:hAnsi="Times New Roman" w:eastAsia="宋体" w:cs="Times New Roman"/>
            </w:rPr>
            <w:t>2</w:t>
          </w:r>
          <w:r>
            <w:rPr>
              <w:rFonts w:ascii="Times New Roman" w:hAnsi="Times New Roman" w:cs="Times New Roman" w:eastAsiaTheme="minorEastAsia"/>
              <w:color w:val="auto"/>
              <w:szCs w:val="22"/>
            </w:rPr>
            <w:tab/>
          </w:r>
          <w:r>
            <w:rPr>
              <w:rStyle w:val="25"/>
              <w:rFonts w:ascii="Times New Roman" w:hAnsi="Times New Roman" w:eastAsia="宋体" w:cs="Times New Roman"/>
            </w:rPr>
            <w:t>基本信息</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_Toc33465499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pPr>
            <w:pStyle w:val="19"/>
            <w:tabs>
              <w:tab w:val="left" w:pos="126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"_Toc33465500" </w:instrText>
          </w:r>
          <w:r>
            <w:fldChar w:fldCharType="separate"/>
          </w:r>
          <w:r>
            <w:rPr>
              <w:rStyle w:val="25"/>
              <w:rFonts w:ascii="Times New Roman" w:hAnsi="Times New Roman" w:eastAsia="宋体" w:cs="Times New Roman"/>
            </w:rPr>
            <w:t>2.1</w:t>
          </w:r>
          <w:r>
            <w:rPr>
              <w:rFonts w:ascii="Times New Roman" w:hAnsi="Times New Roman" w:cs="Times New Roman" w:eastAsiaTheme="minorEastAsia"/>
              <w:color w:val="auto"/>
              <w:szCs w:val="22"/>
            </w:rPr>
            <w:tab/>
          </w:r>
          <w:r>
            <w:rPr>
              <w:rStyle w:val="25"/>
              <w:rFonts w:ascii="Times New Roman" w:hAnsi="Times New Roman" w:eastAsia="宋体" w:cs="Times New Roman"/>
            </w:rPr>
            <w:t>患者基本信息</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_Toc33465500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pPr>
            <w:pStyle w:val="19"/>
            <w:tabs>
              <w:tab w:val="left" w:pos="126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"_Toc33465501" </w:instrText>
          </w:r>
          <w:r>
            <w:fldChar w:fldCharType="separate"/>
          </w:r>
          <w:r>
            <w:rPr>
              <w:rStyle w:val="25"/>
              <w:rFonts w:ascii="Times New Roman" w:hAnsi="Times New Roman" w:eastAsia="宋体" w:cs="Times New Roman"/>
            </w:rPr>
            <w:t>2.2</w:t>
          </w:r>
          <w:r>
            <w:rPr>
              <w:rFonts w:ascii="Times New Roman" w:hAnsi="Times New Roman" w:cs="Times New Roman" w:eastAsiaTheme="minorEastAsia"/>
              <w:color w:val="auto"/>
              <w:szCs w:val="22"/>
            </w:rPr>
            <w:tab/>
          </w:r>
          <w:r>
            <w:rPr>
              <w:rStyle w:val="25"/>
              <w:rFonts w:ascii="Times New Roman" w:hAnsi="Times New Roman" w:eastAsia="宋体" w:cs="Times New Roman"/>
            </w:rPr>
            <w:t>参芪扶正使用情况</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_Toc33465501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pPr>
            <w:pStyle w:val="17"/>
            <w:tabs>
              <w:tab w:val="left" w:pos="42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"_Toc33465502" </w:instrText>
          </w:r>
          <w:r>
            <w:fldChar w:fldCharType="separate"/>
          </w:r>
          <w:r>
            <w:rPr>
              <w:rStyle w:val="25"/>
              <w:rFonts w:ascii="Times New Roman" w:hAnsi="Times New Roman" w:eastAsia="宋体" w:cs="Times New Roman"/>
            </w:rPr>
            <w:t>3</w:t>
          </w:r>
          <w:r>
            <w:rPr>
              <w:rFonts w:ascii="Times New Roman" w:hAnsi="Times New Roman" w:cs="Times New Roman" w:eastAsiaTheme="minorEastAsia"/>
              <w:color w:val="auto"/>
              <w:szCs w:val="22"/>
            </w:rPr>
            <w:tab/>
          </w:r>
          <w:r>
            <w:rPr>
              <w:rStyle w:val="25"/>
              <w:rFonts w:ascii="Times New Roman" w:hAnsi="Times New Roman" w:eastAsia="宋体" w:cs="Times New Roman"/>
            </w:rPr>
            <w:t>有效性分析</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_Toc33465502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pPr>
            <w:pStyle w:val="19"/>
            <w:tabs>
              <w:tab w:val="left" w:pos="126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"_Toc33465503" </w:instrText>
          </w:r>
          <w:r>
            <w:fldChar w:fldCharType="separate"/>
          </w:r>
          <w:r>
            <w:rPr>
              <w:rStyle w:val="25"/>
              <w:rFonts w:ascii="Times New Roman" w:hAnsi="Times New Roman" w:eastAsia="宋体" w:cs="Times New Roman"/>
            </w:rPr>
            <w:t>3.1</w:t>
          </w:r>
          <w:r>
            <w:rPr>
              <w:rFonts w:ascii="Times New Roman" w:hAnsi="Times New Roman" w:cs="Times New Roman" w:eastAsiaTheme="minorEastAsia"/>
              <w:color w:val="auto"/>
              <w:szCs w:val="22"/>
            </w:rPr>
            <w:tab/>
          </w:r>
          <w:r>
            <w:rPr>
              <w:rStyle w:val="25"/>
              <w:rFonts w:ascii="Times New Roman" w:hAnsi="Times New Roman" w:eastAsia="宋体" w:cs="Times New Roman"/>
            </w:rPr>
            <w:t>疗效评价</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_Toc33465503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pPr>
            <w:pStyle w:val="13"/>
            <w:tabs>
              <w:tab w:val="left" w:pos="168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"_Toc33465504" </w:instrText>
          </w:r>
          <w:r>
            <w:fldChar w:fldCharType="separate"/>
          </w:r>
          <w:r>
            <w:rPr>
              <w:rStyle w:val="25"/>
              <w:rFonts w:ascii="Times New Roman" w:hAnsi="Times New Roman" w:eastAsia="宋体" w:cs="Times New Roman"/>
            </w:rPr>
            <w:t>3.1.1</w:t>
          </w:r>
          <w:r>
            <w:rPr>
              <w:rFonts w:ascii="Times New Roman" w:hAnsi="Times New Roman" w:cs="Times New Roman" w:eastAsiaTheme="minorEastAsia"/>
              <w:color w:val="auto"/>
              <w:szCs w:val="22"/>
            </w:rPr>
            <w:tab/>
          </w:r>
          <w:r>
            <w:rPr>
              <w:rStyle w:val="25"/>
              <w:rFonts w:ascii="Times New Roman" w:hAnsi="Times New Roman" w:eastAsia="宋体" w:cs="Times New Roman"/>
            </w:rPr>
            <w:t>原始结果</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_Toc33465504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pPr>
            <w:pStyle w:val="13"/>
            <w:tabs>
              <w:tab w:val="left" w:pos="168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"_Toc33465505" </w:instrText>
          </w:r>
          <w:r>
            <w:fldChar w:fldCharType="separate"/>
          </w:r>
          <w:r>
            <w:rPr>
              <w:rStyle w:val="25"/>
              <w:rFonts w:ascii="Times New Roman" w:hAnsi="Times New Roman" w:eastAsia="宋体" w:cs="Times New Roman"/>
            </w:rPr>
            <w:t>3.1.2</w:t>
          </w:r>
          <w:r>
            <w:rPr>
              <w:rFonts w:ascii="Times New Roman" w:hAnsi="Times New Roman" w:cs="Times New Roman" w:eastAsiaTheme="minorEastAsia"/>
              <w:color w:val="auto"/>
              <w:szCs w:val="22"/>
            </w:rPr>
            <w:tab/>
          </w:r>
          <w:r>
            <w:rPr>
              <w:rStyle w:val="25"/>
              <w:rFonts w:ascii="Times New Roman" w:hAnsi="Times New Roman" w:eastAsia="宋体" w:cs="Times New Roman"/>
            </w:rPr>
            <w:t>倾向性评分匹配后结果</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_Toc33465505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pPr>
            <w:pStyle w:val="13"/>
            <w:tabs>
              <w:tab w:val="left" w:pos="168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"_Toc33465506" </w:instrText>
          </w:r>
          <w:r>
            <w:fldChar w:fldCharType="separate"/>
          </w:r>
          <w:r>
            <w:rPr>
              <w:rStyle w:val="25"/>
              <w:rFonts w:ascii="Times New Roman" w:hAnsi="Times New Roman" w:eastAsia="宋体" w:cs="Times New Roman"/>
            </w:rPr>
            <w:t>3.1.3</w:t>
          </w:r>
          <w:r>
            <w:rPr>
              <w:rFonts w:ascii="Times New Roman" w:hAnsi="Times New Roman" w:cs="Times New Roman" w:eastAsiaTheme="minorEastAsia"/>
              <w:color w:val="auto"/>
              <w:szCs w:val="22"/>
            </w:rPr>
            <w:tab/>
          </w:r>
          <w:r>
            <w:rPr>
              <w:rStyle w:val="25"/>
              <w:rFonts w:ascii="Times New Roman" w:hAnsi="Times New Roman" w:eastAsia="宋体" w:cs="Times New Roman"/>
            </w:rPr>
            <w:t>多因素回归调整后结果</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_Toc33465506 \h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pPr>
            <w:pStyle w:val="19"/>
            <w:tabs>
              <w:tab w:val="left" w:pos="126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"_Toc33465507" </w:instrText>
          </w:r>
          <w:r>
            <w:fldChar w:fldCharType="separate"/>
          </w:r>
          <w:r>
            <w:rPr>
              <w:rStyle w:val="25"/>
              <w:rFonts w:ascii="Times New Roman" w:hAnsi="Times New Roman" w:eastAsia="宋体" w:cs="Times New Roman"/>
            </w:rPr>
            <w:t>3.2</w:t>
          </w:r>
          <w:r>
            <w:rPr>
              <w:rFonts w:ascii="Times New Roman" w:hAnsi="Times New Roman" w:cs="Times New Roman" w:eastAsiaTheme="minorEastAsia"/>
              <w:color w:val="auto"/>
              <w:szCs w:val="22"/>
            </w:rPr>
            <w:tab/>
          </w:r>
          <w:r>
            <w:rPr>
              <w:rStyle w:val="25"/>
              <w:rFonts w:ascii="Times New Roman" w:hAnsi="Times New Roman" w:eastAsia="宋体" w:cs="Times New Roman"/>
            </w:rPr>
            <w:t>无进展生存</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_Toc33465507 \h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pPr>
            <w:pStyle w:val="13"/>
            <w:tabs>
              <w:tab w:val="left" w:pos="168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"_Toc33465508" </w:instrText>
          </w:r>
          <w:r>
            <w:fldChar w:fldCharType="separate"/>
          </w:r>
          <w:r>
            <w:rPr>
              <w:rStyle w:val="25"/>
              <w:rFonts w:ascii="Times New Roman" w:hAnsi="Times New Roman" w:eastAsia="宋体" w:cs="Times New Roman"/>
            </w:rPr>
            <w:t>3.2.1</w:t>
          </w:r>
          <w:r>
            <w:rPr>
              <w:rFonts w:ascii="Times New Roman" w:hAnsi="Times New Roman" w:cs="Times New Roman" w:eastAsiaTheme="minorEastAsia"/>
              <w:color w:val="auto"/>
              <w:szCs w:val="22"/>
            </w:rPr>
            <w:tab/>
          </w:r>
          <w:r>
            <w:rPr>
              <w:rStyle w:val="25"/>
              <w:rFonts w:ascii="Times New Roman" w:hAnsi="Times New Roman" w:eastAsia="宋体" w:cs="Times New Roman"/>
            </w:rPr>
            <w:t>原始结果</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_Toc33465508 \h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pPr>
            <w:pStyle w:val="13"/>
            <w:tabs>
              <w:tab w:val="left" w:pos="168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"_Toc33465509" </w:instrText>
          </w:r>
          <w:r>
            <w:fldChar w:fldCharType="separate"/>
          </w:r>
          <w:r>
            <w:rPr>
              <w:rStyle w:val="25"/>
              <w:rFonts w:ascii="Times New Roman" w:hAnsi="Times New Roman" w:eastAsia="宋体" w:cs="Times New Roman"/>
            </w:rPr>
            <w:t>3.2.2</w:t>
          </w:r>
          <w:r>
            <w:rPr>
              <w:rFonts w:ascii="Times New Roman" w:hAnsi="Times New Roman" w:cs="Times New Roman" w:eastAsiaTheme="minorEastAsia"/>
              <w:color w:val="auto"/>
              <w:szCs w:val="22"/>
            </w:rPr>
            <w:tab/>
          </w:r>
          <w:r>
            <w:rPr>
              <w:rStyle w:val="25"/>
              <w:rFonts w:ascii="Times New Roman" w:hAnsi="Times New Roman" w:eastAsia="宋体" w:cs="Times New Roman"/>
            </w:rPr>
            <w:t>倾向性评分匹配后结果</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_Toc33465509 \h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w:pPr>
            <w:pStyle w:val="13"/>
            <w:tabs>
              <w:tab w:val="left" w:pos="168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"_Toc33465510" </w:instrText>
          </w:r>
          <w:r>
            <w:fldChar w:fldCharType="separate"/>
          </w:r>
          <w:r>
            <w:rPr>
              <w:rStyle w:val="25"/>
              <w:rFonts w:ascii="Times New Roman" w:hAnsi="Times New Roman" w:eastAsia="宋体" w:cs="Times New Roman"/>
            </w:rPr>
            <w:t>3.2.3</w:t>
          </w:r>
          <w:r>
            <w:rPr>
              <w:rFonts w:ascii="Times New Roman" w:hAnsi="Times New Roman" w:cs="Times New Roman" w:eastAsiaTheme="minorEastAsia"/>
              <w:color w:val="auto"/>
              <w:szCs w:val="22"/>
            </w:rPr>
            <w:tab/>
          </w:r>
          <w:r>
            <w:rPr>
              <w:rStyle w:val="25"/>
              <w:rFonts w:ascii="Times New Roman" w:hAnsi="Times New Roman" w:eastAsia="宋体" w:cs="Times New Roman"/>
            </w:rPr>
            <w:t>多因素回归调整后结果</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_Toc33465510 \h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fldChar w:fldCharType="end"/>
          </w:r>
        </w:p>
        <w:p>
          <w:pPr>
            <w:pStyle w:val="17"/>
            <w:tabs>
              <w:tab w:val="left" w:pos="42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"_Toc33465511" </w:instrText>
          </w:r>
          <w:r>
            <w:fldChar w:fldCharType="separate"/>
          </w:r>
          <w:r>
            <w:rPr>
              <w:rStyle w:val="25"/>
              <w:rFonts w:ascii="Times New Roman" w:hAnsi="Times New Roman" w:eastAsia="宋体" w:cs="Times New Roman"/>
            </w:rPr>
            <w:t>4</w:t>
          </w:r>
          <w:r>
            <w:rPr>
              <w:rFonts w:ascii="Times New Roman" w:hAnsi="Times New Roman" w:cs="Times New Roman" w:eastAsiaTheme="minorEastAsia"/>
              <w:color w:val="auto"/>
              <w:szCs w:val="22"/>
            </w:rPr>
            <w:tab/>
          </w:r>
          <w:r>
            <w:rPr>
              <w:rStyle w:val="25"/>
              <w:rFonts w:ascii="Times New Roman" w:hAnsi="Times New Roman" w:eastAsia="宋体" w:cs="Times New Roman"/>
            </w:rPr>
            <w:t>所有不良事件</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_Toc33465511 \h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ascii="Times New Roman" w:hAnsi="Times New Roman" w:cs="Times New Roman"/>
            </w:rPr>
            <w:fldChar w:fldCharType="end"/>
          </w:r>
        </w:p>
        <w:p>
          <w:pPr>
            <w:pStyle w:val="19"/>
            <w:tabs>
              <w:tab w:val="left" w:pos="126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"_Toc33465512" </w:instrText>
          </w:r>
          <w:r>
            <w:fldChar w:fldCharType="separate"/>
          </w:r>
          <w:r>
            <w:rPr>
              <w:rStyle w:val="25"/>
              <w:rFonts w:ascii="Times New Roman" w:hAnsi="Times New Roman" w:eastAsia="宋体" w:cs="Times New Roman"/>
            </w:rPr>
            <w:t>4.1</w:t>
          </w:r>
          <w:r>
            <w:rPr>
              <w:rFonts w:ascii="Times New Roman" w:hAnsi="Times New Roman" w:cs="Times New Roman" w:eastAsiaTheme="minorEastAsia"/>
              <w:color w:val="auto"/>
              <w:szCs w:val="22"/>
            </w:rPr>
            <w:tab/>
          </w:r>
          <w:r>
            <w:rPr>
              <w:rStyle w:val="25"/>
              <w:rFonts w:ascii="Times New Roman" w:hAnsi="Times New Roman" w:eastAsia="宋体" w:cs="Times New Roman"/>
            </w:rPr>
            <w:t>原始结果</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_Toc33465512 \h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ascii="Times New Roman" w:hAnsi="Times New Roman" w:cs="Times New Roman"/>
            </w:rPr>
            <w:fldChar w:fldCharType="end"/>
          </w:r>
        </w:p>
        <w:p>
          <w:pPr>
            <w:pStyle w:val="19"/>
            <w:tabs>
              <w:tab w:val="left" w:pos="126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"_Toc33465513" </w:instrText>
          </w:r>
          <w:r>
            <w:fldChar w:fldCharType="separate"/>
          </w:r>
          <w:r>
            <w:rPr>
              <w:rStyle w:val="25"/>
              <w:rFonts w:ascii="Times New Roman" w:hAnsi="Times New Roman" w:eastAsia="宋体" w:cs="Times New Roman"/>
            </w:rPr>
            <w:t>4.2</w:t>
          </w:r>
          <w:r>
            <w:rPr>
              <w:rFonts w:ascii="Times New Roman" w:hAnsi="Times New Roman" w:cs="Times New Roman" w:eastAsiaTheme="minorEastAsia"/>
              <w:color w:val="auto"/>
              <w:szCs w:val="22"/>
            </w:rPr>
            <w:tab/>
          </w:r>
          <w:r>
            <w:rPr>
              <w:rStyle w:val="25"/>
              <w:rFonts w:ascii="Times New Roman" w:hAnsi="Times New Roman" w:eastAsia="宋体" w:cs="Times New Roman"/>
            </w:rPr>
            <w:t>倾向性评分匹配后结果</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_Toc33465513 \h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fldChar w:fldCharType="end"/>
          </w:r>
        </w:p>
        <w:p>
          <w:pPr>
            <w:pStyle w:val="19"/>
            <w:tabs>
              <w:tab w:val="left" w:pos="126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"_Toc33465514" </w:instrText>
          </w:r>
          <w:r>
            <w:fldChar w:fldCharType="separate"/>
          </w:r>
          <w:r>
            <w:rPr>
              <w:rStyle w:val="25"/>
              <w:rFonts w:ascii="Times New Roman" w:hAnsi="Times New Roman" w:eastAsia="宋体" w:cs="Times New Roman"/>
            </w:rPr>
            <w:t>4.3</w:t>
          </w:r>
          <w:r>
            <w:rPr>
              <w:rFonts w:ascii="Times New Roman" w:hAnsi="Times New Roman" w:cs="Times New Roman" w:eastAsiaTheme="minorEastAsia"/>
              <w:color w:val="auto"/>
              <w:szCs w:val="22"/>
            </w:rPr>
            <w:tab/>
          </w:r>
          <w:r>
            <w:rPr>
              <w:rStyle w:val="25"/>
              <w:rFonts w:ascii="Times New Roman" w:hAnsi="Times New Roman" w:eastAsia="宋体" w:cs="Times New Roman"/>
            </w:rPr>
            <w:t>多因素回归调整后结果</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_Toc33465514 \h </w:instrText>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r>
            <w:rPr>
              <w:rFonts w:ascii="Times New Roman" w:hAnsi="Times New Roman" w:cs="Times New Roman"/>
            </w:rPr>
            <w:fldChar w:fldCharType="end"/>
          </w:r>
        </w:p>
        <w:p>
          <w:pPr>
            <w:pStyle w:val="17"/>
            <w:tabs>
              <w:tab w:val="left" w:pos="42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"_Toc33465515" </w:instrText>
          </w:r>
          <w:r>
            <w:fldChar w:fldCharType="separate"/>
          </w:r>
          <w:r>
            <w:rPr>
              <w:rStyle w:val="25"/>
              <w:rFonts w:ascii="Times New Roman" w:hAnsi="Times New Roman" w:eastAsia="宋体" w:cs="Times New Roman"/>
            </w:rPr>
            <w:t>5</w:t>
          </w:r>
          <w:r>
            <w:rPr>
              <w:rFonts w:ascii="Times New Roman" w:hAnsi="Times New Roman" w:cs="Times New Roman" w:eastAsiaTheme="minorEastAsia"/>
              <w:color w:val="auto"/>
              <w:szCs w:val="22"/>
            </w:rPr>
            <w:tab/>
          </w:r>
          <w:r>
            <w:rPr>
              <w:rStyle w:val="25"/>
              <w:rFonts w:ascii="Times New Roman" w:hAnsi="Times New Roman" w:eastAsia="宋体" w:cs="Times New Roman"/>
            </w:rPr>
            <w:t>化疗相关ADR</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_Toc33465515 \h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r>
            <w:rPr>
              <w:rFonts w:ascii="Times New Roman" w:hAnsi="Times New Roman" w:cs="Times New Roman"/>
            </w:rPr>
            <w:fldChar w:fldCharType="end"/>
          </w:r>
        </w:p>
        <w:p>
          <w:pPr>
            <w:pStyle w:val="19"/>
            <w:tabs>
              <w:tab w:val="left" w:pos="126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"_Toc33465516" </w:instrText>
          </w:r>
          <w:r>
            <w:fldChar w:fldCharType="separate"/>
          </w:r>
          <w:r>
            <w:rPr>
              <w:rStyle w:val="25"/>
              <w:rFonts w:ascii="Times New Roman" w:hAnsi="Times New Roman" w:eastAsia="宋体" w:cs="Times New Roman"/>
            </w:rPr>
            <w:t>5.1</w:t>
          </w:r>
          <w:r>
            <w:rPr>
              <w:rFonts w:ascii="Times New Roman" w:hAnsi="Times New Roman" w:cs="Times New Roman" w:eastAsiaTheme="minorEastAsia"/>
              <w:color w:val="auto"/>
              <w:szCs w:val="22"/>
            </w:rPr>
            <w:tab/>
          </w:r>
          <w:r>
            <w:rPr>
              <w:rStyle w:val="25"/>
              <w:rFonts w:ascii="Times New Roman" w:hAnsi="Times New Roman" w:eastAsia="宋体" w:cs="Times New Roman"/>
            </w:rPr>
            <w:t>原始结果</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_Toc33465516 \h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r>
            <w:rPr>
              <w:rFonts w:ascii="Times New Roman" w:hAnsi="Times New Roman" w:cs="Times New Roman"/>
            </w:rPr>
            <w:fldChar w:fldCharType="end"/>
          </w:r>
        </w:p>
        <w:p>
          <w:pPr>
            <w:pStyle w:val="19"/>
            <w:tabs>
              <w:tab w:val="left" w:pos="126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"_Toc33465517" </w:instrText>
          </w:r>
          <w:r>
            <w:fldChar w:fldCharType="separate"/>
          </w:r>
          <w:r>
            <w:rPr>
              <w:rStyle w:val="25"/>
              <w:rFonts w:ascii="Times New Roman" w:hAnsi="Times New Roman" w:eastAsia="宋体" w:cs="Times New Roman"/>
            </w:rPr>
            <w:t>5.2</w:t>
          </w:r>
          <w:r>
            <w:rPr>
              <w:rFonts w:ascii="Times New Roman" w:hAnsi="Times New Roman" w:cs="Times New Roman" w:eastAsiaTheme="minorEastAsia"/>
              <w:color w:val="auto"/>
              <w:szCs w:val="22"/>
            </w:rPr>
            <w:tab/>
          </w:r>
          <w:r>
            <w:rPr>
              <w:rStyle w:val="25"/>
              <w:rFonts w:ascii="Times New Roman" w:hAnsi="Times New Roman" w:eastAsia="宋体" w:cs="Times New Roman"/>
            </w:rPr>
            <w:t>倾向性评分匹配后结果</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_Toc33465517 \h </w:instrText>
          </w:r>
          <w:r>
            <w:rPr>
              <w:rFonts w:ascii="Times New Roman" w:hAnsi="Times New Roman" w:cs="Times New Roman"/>
            </w:rPr>
            <w:fldChar w:fldCharType="separate"/>
          </w:r>
          <w:r>
            <w:rPr>
              <w:rFonts w:ascii="Times New Roman" w:hAnsi="Times New Roman" w:cs="Times New Roman"/>
            </w:rPr>
            <w:t>30</w:t>
          </w:r>
          <w:r>
            <w:rPr>
              <w:rFonts w:ascii="Times New Roman" w:hAnsi="Times New Roman" w:cs="Times New Roman"/>
            </w:rPr>
            <w:fldChar w:fldCharType="end"/>
          </w:r>
          <w:r>
            <w:rPr>
              <w:rFonts w:ascii="Times New Roman" w:hAnsi="Times New Roman" w:cs="Times New Roman"/>
            </w:rPr>
            <w:fldChar w:fldCharType="end"/>
          </w:r>
        </w:p>
        <w:p>
          <w:pPr>
            <w:pStyle w:val="19"/>
            <w:tabs>
              <w:tab w:val="left" w:pos="126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"_Toc33465518" </w:instrText>
          </w:r>
          <w:r>
            <w:fldChar w:fldCharType="separate"/>
          </w:r>
          <w:r>
            <w:rPr>
              <w:rStyle w:val="25"/>
              <w:rFonts w:ascii="Times New Roman" w:hAnsi="Times New Roman" w:eastAsia="宋体" w:cs="Times New Roman"/>
            </w:rPr>
            <w:t>5.3</w:t>
          </w:r>
          <w:r>
            <w:rPr>
              <w:rFonts w:ascii="Times New Roman" w:hAnsi="Times New Roman" w:cs="Times New Roman" w:eastAsiaTheme="minorEastAsia"/>
              <w:color w:val="auto"/>
              <w:szCs w:val="22"/>
            </w:rPr>
            <w:tab/>
          </w:r>
          <w:r>
            <w:rPr>
              <w:rStyle w:val="25"/>
              <w:rFonts w:ascii="Times New Roman" w:hAnsi="Times New Roman" w:eastAsia="宋体" w:cs="Times New Roman"/>
            </w:rPr>
            <w:t>多因素回归调整后结果</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_Toc33465518 \h </w:instrText>
          </w:r>
          <w:r>
            <w:rPr>
              <w:rFonts w:ascii="Times New Roman" w:hAnsi="Times New Roman" w:cs="Times New Roman"/>
            </w:rPr>
            <w:fldChar w:fldCharType="separate"/>
          </w:r>
          <w:r>
            <w:rPr>
              <w:rFonts w:ascii="Times New Roman" w:hAnsi="Times New Roman" w:cs="Times New Roman"/>
            </w:rPr>
            <w:t>32</w:t>
          </w:r>
          <w:r>
            <w:rPr>
              <w:rFonts w:ascii="Times New Roman" w:hAnsi="Times New Roman" w:cs="Times New Roman"/>
            </w:rPr>
            <w:fldChar w:fldCharType="end"/>
          </w:r>
          <w:r>
            <w:rPr>
              <w:rFonts w:ascii="Times New Roman" w:hAnsi="Times New Roman" w:cs="Times New Roman"/>
            </w:rPr>
            <w:fldChar w:fldCharType="end"/>
          </w:r>
        </w:p>
        <w:p>
          <w:pPr>
            <w:pStyle w:val="17"/>
            <w:tabs>
              <w:tab w:val="left" w:pos="420"/>
              <w:tab w:val="right" w:leader="dot" w:pos="9735"/>
            </w:tabs>
            <w:spacing w:line="360" w:lineRule="auto"/>
            <w:rPr>
              <w:rFonts w:ascii="Times New Roman" w:hAnsi="Times New Roman" w:cs="Times New Roman" w:eastAsiaTheme="minorEastAsia"/>
              <w:color w:val="auto"/>
              <w:szCs w:val="22"/>
            </w:rPr>
          </w:pPr>
          <w:r>
            <w:fldChar w:fldCharType="begin"/>
          </w:r>
          <w:r>
            <w:instrText xml:space="preserve"> HYPERLINK \l "_Toc33465519" </w:instrText>
          </w:r>
          <w:r>
            <w:fldChar w:fldCharType="separate"/>
          </w:r>
          <w:r>
            <w:rPr>
              <w:rStyle w:val="25"/>
              <w:rFonts w:ascii="Times New Roman" w:hAnsi="Times New Roman" w:eastAsia="宋体" w:cs="Times New Roman"/>
            </w:rPr>
            <w:t>6</w:t>
          </w:r>
          <w:r>
            <w:rPr>
              <w:rFonts w:ascii="Times New Roman" w:hAnsi="Times New Roman" w:cs="Times New Roman" w:eastAsiaTheme="minorEastAsia"/>
              <w:color w:val="auto"/>
              <w:szCs w:val="22"/>
            </w:rPr>
            <w:tab/>
          </w:r>
          <w:r>
            <w:rPr>
              <w:rStyle w:val="25"/>
              <w:rFonts w:ascii="Times New Roman" w:hAnsi="Times New Roman" w:eastAsia="宋体" w:cs="Times New Roman"/>
            </w:rPr>
            <w:t>探索性分析</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_Toc33465519 \h </w:instrText>
          </w:r>
          <w:r>
            <w:rPr>
              <w:rFonts w:ascii="Times New Roman" w:hAnsi="Times New Roman" w:cs="Times New Roman"/>
            </w:rPr>
            <w:fldChar w:fldCharType="separate"/>
          </w:r>
          <w:r>
            <w:rPr>
              <w:rFonts w:ascii="Times New Roman" w:hAnsi="Times New Roman" w:cs="Times New Roman"/>
            </w:rPr>
            <w:t>35</w:t>
          </w:r>
          <w:r>
            <w:rPr>
              <w:rFonts w:ascii="Times New Roman" w:hAnsi="Times New Roman" w:cs="Times New Roman"/>
            </w:rPr>
            <w:fldChar w:fldCharType="end"/>
          </w:r>
          <w:r>
            <w:rPr>
              <w:rFonts w:ascii="Times New Roman" w:hAnsi="Times New Roman" w:cs="Times New Roman"/>
            </w:rPr>
            <w:fldChar w:fldCharType="end"/>
          </w:r>
        </w:p>
        <w:p>
          <w:pPr>
            <w:spacing w:line="360" w:lineRule="auto"/>
            <w:rPr>
              <w:rFonts w:ascii="Times New Roman" w:hAnsi="Times New Roman" w:eastAsia="宋体" w:cs="Times New Roman"/>
            </w:rPr>
          </w:pPr>
          <w:r>
            <w:rPr>
              <w:rFonts w:ascii="Times New Roman" w:hAnsi="Times New Roman" w:eastAsia="宋体" w:cs="Times New Roman"/>
              <w:b/>
              <w:bCs/>
              <w:lang w:val="zh-CN"/>
            </w:rPr>
            <w:fldChar w:fldCharType="end"/>
          </w:r>
        </w:p>
      </w:sdtContent>
    </w:sdt>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sectPr>
          <w:headerReference r:id="rId3" w:type="default"/>
          <w:footerReference r:id="rId4" w:type="default"/>
          <w:pgSz w:w="11905" w:h="16837"/>
          <w:pgMar w:top="1440" w:right="1080" w:bottom="1440" w:left="1080" w:header="720" w:footer="720" w:gutter="0"/>
          <w:cols w:space="720" w:num="1"/>
          <w:docGrid w:linePitch="286" w:charSpace="0"/>
        </w:sectPr>
      </w:pPr>
    </w:p>
    <w:p>
      <w:pPr>
        <w:rPr>
          <w:rFonts w:ascii="Times New Roman" w:hAnsi="Times New Roman" w:eastAsia="宋体" w:cs="Times New Roman"/>
        </w:rPr>
      </w:pPr>
    </w:p>
    <w:p>
      <w:pPr>
        <w:pStyle w:val="2"/>
        <w:spacing w:before="240" w:after="120" w:line="360" w:lineRule="auto"/>
        <w:rPr>
          <w:rFonts w:ascii="Times New Roman" w:hAnsi="Times New Roman" w:eastAsia="宋体" w:cs="Times New Roman"/>
          <w:sz w:val="36"/>
        </w:rPr>
      </w:pPr>
      <w:bookmarkStart w:id="2" w:name="_Toc33465498"/>
      <w:r>
        <w:rPr>
          <w:rFonts w:ascii="Times New Roman" w:hAnsi="Times New Roman" w:eastAsia="宋体" w:cs="Times New Roman"/>
          <w:sz w:val="36"/>
        </w:rPr>
        <w:t>分析人群确定</w:t>
      </w:r>
      <w:bookmarkEnd w:id="2"/>
    </w:p>
    <w:p>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本报告将基于最终筛选的人群（参芪扶正组1000患者、对照组1273患者）进行整理分析。该次分析人群的选择及统计分析结果均是基于对“基线化疗及参芪扶正使用情况等相关指标”的重新定义而进行的。</w:t>
      </w:r>
    </w:p>
    <w:p>
      <w:pPr>
        <w:spacing w:line="360" w:lineRule="auto"/>
        <w:ind w:firstLine="480" w:firstLineChars="200"/>
        <w:rPr>
          <w:rFonts w:ascii="Times New Roman" w:hAnsi="Times New Roman" w:eastAsia="宋体" w:cs="Times New Roman"/>
          <w:color w:val="auto"/>
          <w:sz w:val="24"/>
          <w:szCs w:val="20"/>
        </w:rPr>
      </w:pPr>
      <w:r>
        <w:rPr>
          <w:rFonts w:ascii="Times New Roman" w:hAnsi="Times New Roman" w:eastAsia="宋体" w:cs="Times New Roman"/>
          <w:sz w:val="24"/>
        </w:rPr>
        <w:t>两组患者的基线化疗周期分布见下表1.1，其中化疗周期的定义为：基线期相同化疗方案（单换铂类不算换方案）两次化疗开始时间间隔≥20天且≤60天计算为一个化疗周期。</w:t>
      </w:r>
      <w:r>
        <w:rPr>
          <w:rFonts w:ascii="Times New Roman" w:hAnsi="Times New Roman" w:eastAsia="宋体" w:cs="Times New Roman"/>
          <w:vanish/>
          <w:sz w:val="24"/>
        </w:rPr>
        <w:t>表患者的基线化疗周期分布如下：</w:t>
      </w: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表1.1 两组患者基线化疗周期数分布描述</w:t>
      </w:r>
    </w:p>
    <w:tbl>
      <w:tblPr>
        <w:tblStyle w:val="22"/>
        <w:tblW w:w="5000" w:type="pct"/>
        <w:jc w:val="center"/>
        <w:tblLayout w:type="autofit"/>
        <w:tblCellMar>
          <w:top w:w="0" w:type="dxa"/>
          <w:left w:w="0" w:type="dxa"/>
          <w:bottom w:w="0" w:type="dxa"/>
          <w:right w:w="0" w:type="dxa"/>
        </w:tblCellMar>
      </w:tblPr>
      <w:tblGrid>
        <w:gridCol w:w="2615"/>
        <w:gridCol w:w="1973"/>
        <w:gridCol w:w="1973"/>
        <w:gridCol w:w="1973"/>
        <w:gridCol w:w="1971"/>
      </w:tblGrid>
      <w:tr>
        <w:tblPrEx>
          <w:tblCellMar>
            <w:top w:w="0" w:type="dxa"/>
            <w:left w:w="0" w:type="dxa"/>
            <w:bottom w:w="0" w:type="dxa"/>
            <w:right w:w="0" w:type="dxa"/>
          </w:tblCellMar>
        </w:tblPrEx>
        <w:trPr>
          <w:cantSplit/>
          <w:tblHeader/>
          <w:jc w:val="center"/>
        </w:trPr>
        <w:tc>
          <w:tcPr>
            <w:tcW w:w="1245"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djustRightInd w:val="0"/>
              <w:spacing w:before="20" w:after="20"/>
              <w:rPr>
                <w:rFonts w:ascii="Times New Roman" w:hAnsi="Times New Roman" w:eastAsia="宋体" w:cs="Times New Roman"/>
                <w:b/>
                <w:bCs/>
                <w:sz w:val="20"/>
                <w:szCs w:val="20"/>
              </w:rPr>
            </w:pPr>
          </w:p>
        </w:tc>
        <w:tc>
          <w:tcPr>
            <w:tcW w:w="939"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(N=1000)</w:t>
            </w:r>
          </w:p>
        </w:tc>
        <w:tc>
          <w:tcPr>
            <w:tcW w:w="939"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(N=1273)</w:t>
            </w:r>
          </w:p>
        </w:tc>
        <w:tc>
          <w:tcPr>
            <w:tcW w:w="939"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r>
              <w:rPr>
                <w:rFonts w:ascii="Times New Roman" w:hAnsi="Times New Roman" w:eastAsia="宋体" w:cs="Times New Roman"/>
                <w:b/>
                <w:bCs/>
              </w:rPr>
              <w:br w:type="textWrapping"/>
            </w:r>
            <w:r>
              <w:rPr>
                <w:rFonts w:ascii="Times New Roman" w:hAnsi="Times New Roman" w:eastAsia="宋体" w:cs="Times New Roman"/>
                <w:b/>
                <w:bCs/>
              </w:rPr>
              <w:t>(N=2273)</w:t>
            </w:r>
          </w:p>
        </w:tc>
        <w:tc>
          <w:tcPr>
            <w:tcW w:w="939"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245" w:type="pct"/>
            <w:shd w:val="clear" w:color="auto" w:fill="F0F0F0"/>
            <w:tcMar>
              <w:top w:w="0" w:type="dxa"/>
              <w:left w:w="20" w:type="dxa"/>
              <w:bottom w:w="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基线化疗周期数</w:t>
            </w:r>
          </w:p>
        </w:tc>
        <w:tc>
          <w:tcPr>
            <w:tcW w:w="93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p>
        </w:tc>
        <w:tc>
          <w:tcPr>
            <w:tcW w:w="93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p>
        </w:tc>
        <w:tc>
          <w:tcPr>
            <w:tcW w:w="93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p>
        </w:tc>
        <w:tc>
          <w:tcPr>
            <w:tcW w:w="93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&lt;.0001</w:t>
            </w:r>
          </w:p>
        </w:tc>
      </w:tr>
      <w:tr>
        <w:tblPrEx>
          <w:tblCellMar>
            <w:top w:w="0" w:type="dxa"/>
            <w:left w:w="0" w:type="dxa"/>
            <w:bottom w:w="0" w:type="dxa"/>
            <w:right w:w="0" w:type="dxa"/>
          </w:tblCellMar>
        </w:tblPrEx>
        <w:trPr>
          <w:cantSplit/>
          <w:jc w:val="center"/>
        </w:trPr>
        <w:tc>
          <w:tcPr>
            <w:tcW w:w="1245" w:type="pct"/>
            <w:shd w:val="clear" w:color="auto" w:fill="FFFFFF"/>
            <w:tcMar>
              <w:top w:w="0" w:type="dxa"/>
              <w:left w:w="20" w:type="dxa"/>
              <w:bottom w:w="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w:t>
            </w:r>
          </w:p>
        </w:tc>
        <w:tc>
          <w:tcPr>
            <w:tcW w:w="93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149 (14.9%)</w:t>
            </w:r>
          </w:p>
        </w:tc>
        <w:tc>
          <w:tcPr>
            <w:tcW w:w="93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 (7.9%)</w:t>
            </w:r>
          </w:p>
        </w:tc>
        <w:tc>
          <w:tcPr>
            <w:tcW w:w="93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249 (11.0%)</w:t>
            </w:r>
          </w:p>
        </w:tc>
        <w:tc>
          <w:tcPr>
            <w:tcW w:w="93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45" w:type="pct"/>
            <w:shd w:val="clear" w:color="auto" w:fill="F0F0F0"/>
            <w:tcMar>
              <w:top w:w="0" w:type="dxa"/>
              <w:left w:w="20" w:type="dxa"/>
              <w:bottom w:w="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w:t>
            </w:r>
          </w:p>
        </w:tc>
        <w:tc>
          <w:tcPr>
            <w:tcW w:w="93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287 (28.7%)</w:t>
            </w:r>
          </w:p>
        </w:tc>
        <w:tc>
          <w:tcPr>
            <w:tcW w:w="93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175 (13.7%)</w:t>
            </w:r>
          </w:p>
        </w:tc>
        <w:tc>
          <w:tcPr>
            <w:tcW w:w="93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462 (20.3%)</w:t>
            </w:r>
          </w:p>
        </w:tc>
        <w:tc>
          <w:tcPr>
            <w:tcW w:w="93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45" w:type="pct"/>
            <w:shd w:val="clear" w:color="auto" w:fill="FFFFFF"/>
            <w:tcMar>
              <w:top w:w="0" w:type="dxa"/>
              <w:left w:w="20" w:type="dxa"/>
              <w:bottom w:w="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w:t>
            </w:r>
          </w:p>
        </w:tc>
        <w:tc>
          <w:tcPr>
            <w:tcW w:w="93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177 (17.7%)</w:t>
            </w:r>
          </w:p>
        </w:tc>
        <w:tc>
          <w:tcPr>
            <w:tcW w:w="93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365 (28.7%)</w:t>
            </w:r>
          </w:p>
        </w:tc>
        <w:tc>
          <w:tcPr>
            <w:tcW w:w="93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542 (23.8%)</w:t>
            </w:r>
          </w:p>
        </w:tc>
        <w:tc>
          <w:tcPr>
            <w:tcW w:w="93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45" w:type="pct"/>
            <w:shd w:val="clear" w:color="auto" w:fill="F0F0F0"/>
            <w:tcMar>
              <w:top w:w="0" w:type="dxa"/>
              <w:left w:w="20" w:type="dxa"/>
              <w:bottom w:w="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4</w:t>
            </w:r>
          </w:p>
        </w:tc>
        <w:tc>
          <w:tcPr>
            <w:tcW w:w="93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202 (20.2%)</w:t>
            </w:r>
          </w:p>
        </w:tc>
        <w:tc>
          <w:tcPr>
            <w:tcW w:w="93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340 (26.7%)</w:t>
            </w:r>
          </w:p>
        </w:tc>
        <w:tc>
          <w:tcPr>
            <w:tcW w:w="93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542 (23.8%)</w:t>
            </w:r>
          </w:p>
        </w:tc>
        <w:tc>
          <w:tcPr>
            <w:tcW w:w="93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45" w:type="pct"/>
            <w:shd w:val="clear" w:color="auto" w:fill="FFFFFF"/>
            <w:tcMar>
              <w:top w:w="0" w:type="dxa"/>
              <w:left w:w="20" w:type="dxa"/>
              <w:bottom w:w="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5</w:t>
            </w:r>
          </w:p>
        </w:tc>
        <w:tc>
          <w:tcPr>
            <w:tcW w:w="93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77 (7.7%)</w:t>
            </w:r>
          </w:p>
        </w:tc>
        <w:tc>
          <w:tcPr>
            <w:tcW w:w="93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153 (12.0%)</w:t>
            </w:r>
          </w:p>
        </w:tc>
        <w:tc>
          <w:tcPr>
            <w:tcW w:w="93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230 (10.1%)</w:t>
            </w:r>
          </w:p>
        </w:tc>
        <w:tc>
          <w:tcPr>
            <w:tcW w:w="93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45" w:type="pct"/>
            <w:shd w:val="clear" w:color="auto" w:fill="F0F0F0"/>
            <w:tcMar>
              <w:top w:w="0" w:type="dxa"/>
              <w:left w:w="20" w:type="dxa"/>
              <w:bottom w:w="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6</w:t>
            </w:r>
          </w:p>
        </w:tc>
        <w:tc>
          <w:tcPr>
            <w:tcW w:w="93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90 (9.0%)</w:t>
            </w:r>
          </w:p>
        </w:tc>
        <w:tc>
          <w:tcPr>
            <w:tcW w:w="93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120 (9.4%)</w:t>
            </w:r>
          </w:p>
        </w:tc>
        <w:tc>
          <w:tcPr>
            <w:tcW w:w="93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210 (9.2%)</w:t>
            </w:r>
          </w:p>
        </w:tc>
        <w:tc>
          <w:tcPr>
            <w:tcW w:w="93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45" w:type="pct"/>
            <w:tcBorders>
              <w:top w:val="nil"/>
              <w:left w:val="nil"/>
              <w:bottom w:val="double" w:color="000000" w:sz="6" w:space="0"/>
              <w:right w:val="nil"/>
            </w:tcBorders>
            <w:shd w:val="clear" w:color="auto" w:fill="FFFFFF"/>
            <w:tcMar>
              <w:top w:w="0" w:type="dxa"/>
              <w:left w:w="20" w:type="dxa"/>
              <w:bottom w:w="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＞6</w:t>
            </w:r>
          </w:p>
        </w:tc>
        <w:tc>
          <w:tcPr>
            <w:tcW w:w="939" w:type="pct"/>
            <w:tcBorders>
              <w:top w:val="nil"/>
              <w:left w:val="nil"/>
              <w:bottom w:val="double" w:color="000000" w:sz="6" w:space="0"/>
              <w:right w:val="nil"/>
            </w:tcBorders>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18 (1.8%)</w:t>
            </w:r>
          </w:p>
        </w:tc>
        <w:tc>
          <w:tcPr>
            <w:tcW w:w="939" w:type="pct"/>
            <w:tcBorders>
              <w:top w:val="nil"/>
              <w:left w:val="nil"/>
              <w:bottom w:val="double" w:color="000000" w:sz="6" w:space="0"/>
              <w:right w:val="nil"/>
            </w:tcBorders>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20 (1.6%)</w:t>
            </w:r>
          </w:p>
        </w:tc>
        <w:tc>
          <w:tcPr>
            <w:tcW w:w="939" w:type="pct"/>
            <w:tcBorders>
              <w:top w:val="nil"/>
              <w:left w:val="nil"/>
              <w:bottom w:val="double" w:color="000000" w:sz="6" w:space="0"/>
              <w:right w:val="nil"/>
            </w:tcBorders>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38 (1.7%)</w:t>
            </w:r>
          </w:p>
        </w:tc>
        <w:tc>
          <w:tcPr>
            <w:tcW w:w="939" w:type="pct"/>
            <w:tcBorders>
              <w:top w:val="nil"/>
              <w:left w:val="nil"/>
              <w:bottom w:val="double" w:color="000000" w:sz="6" w:space="0"/>
              <w:right w:val="nil"/>
            </w:tcBorders>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p>
        </w:tc>
      </w:tr>
    </w:tbl>
    <w:p>
      <w:pPr>
        <w:spacing w:before="120" w:beforeLines="50" w:line="360" w:lineRule="auto"/>
        <w:ind w:firstLine="480" w:firstLineChars="200"/>
        <w:rPr>
          <w:rFonts w:ascii="Times New Roman" w:hAnsi="Times New Roman" w:eastAsia="宋体" w:cs="Times New Roman"/>
          <w:color w:val="auto"/>
          <w:sz w:val="24"/>
          <w:szCs w:val="20"/>
        </w:rPr>
      </w:pPr>
      <w:r>
        <w:rPr>
          <w:rFonts w:ascii="Times New Roman" w:hAnsi="Times New Roman" w:eastAsia="宋体" w:cs="Times New Roman"/>
          <w:sz w:val="24"/>
        </w:rPr>
        <w:t>下表描述了不同基线化疗周期数患者中连续使用参芪扶正≥5天的化疗周期数的分布情况。其中参芪扶正与含铂双药化疗联用定义为：参芪扶正注射液开始使用时间与含铂双药化疗开始使用时间之间差值≥-3天且＜相同方案两次化疗周期的实际间隔时间。参芪扶正连续使用的定义为：一个化疗周期内间隔使用天数≤2天视为连续；如果一个化疗周期中有多个连续使用的数值，取最大值记为患者本周期内的连续使用天数。</w:t>
      </w: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表1.2 基线化疗期间参芪扶正使用分布描述</w:t>
      </w:r>
    </w:p>
    <w:tbl>
      <w:tblPr>
        <w:tblStyle w:val="22"/>
        <w:tblW w:w="5000" w:type="pct"/>
        <w:jc w:val="center"/>
        <w:tblLayout w:type="autofit"/>
        <w:tblCellMar>
          <w:top w:w="0" w:type="dxa"/>
          <w:left w:w="0" w:type="dxa"/>
          <w:bottom w:w="0" w:type="dxa"/>
          <w:right w:w="0" w:type="dxa"/>
        </w:tblCellMar>
      </w:tblPr>
      <w:tblGrid>
        <w:gridCol w:w="962"/>
        <w:gridCol w:w="1198"/>
        <w:gridCol w:w="1027"/>
        <w:gridCol w:w="1027"/>
        <w:gridCol w:w="1027"/>
        <w:gridCol w:w="1027"/>
        <w:gridCol w:w="1027"/>
        <w:gridCol w:w="1028"/>
        <w:gridCol w:w="1028"/>
        <w:gridCol w:w="1154"/>
      </w:tblGrid>
      <w:tr>
        <w:tblPrEx>
          <w:tblCellMar>
            <w:top w:w="0" w:type="dxa"/>
            <w:left w:w="0" w:type="dxa"/>
            <w:bottom w:w="0" w:type="dxa"/>
            <w:right w:w="0" w:type="dxa"/>
          </w:tblCellMar>
        </w:tblPrEx>
        <w:trPr>
          <w:cantSplit/>
          <w:tblHeader/>
          <w:jc w:val="center"/>
        </w:trPr>
        <w:tc>
          <w:tcPr>
            <w:tcW w:w="458" w:type="pct"/>
            <w:tcBorders>
              <w:top w:val="single" w:color="000000" w:sz="6" w:space="0"/>
              <w:left w:val="nil"/>
              <w:bottom w:val="nil"/>
              <w:right w:val="nil"/>
            </w:tcBorders>
            <w:shd w:val="clear" w:color="auto" w:fill="FFFFFF"/>
            <w:tcMar>
              <w:top w:w="0" w:type="dxa"/>
              <w:left w:w="20" w:type="dxa"/>
              <w:bottom w:w="0" w:type="dxa"/>
              <w:right w:w="20" w:type="dxa"/>
            </w:tcMar>
            <w:vAlign w:val="bottom"/>
          </w:tcPr>
          <w:p>
            <w:pPr>
              <w:adjustRightInd w:val="0"/>
              <w:spacing w:before="20" w:after="20"/>
              <w:jc w:val="center"/>
              <w:rPr>
                <w:rFonts w:ascii="Times New Roman" w:hAnsi="Times New Roman" w:eastAsia="宋体" w:cs="Times New Roman"/>
                <w:b/>
                <w:bCs/>
                <w:sz w:val="20"/>
                <w:szCs w:val="20"/>
              </w:rPr>
            </w:pPr>
            <w:r>
              <w:rPr>
                <w:rFonts w:ascii="Times New Roman" w:hAnsi="Times New Roman" w:eastAsia="宋体" w:cs="Times New Roman"/>
                <w:b/>
                <w:bCs/>
              </w:rPr>
              <w:t>基线化疗</w:t>
            </w:r>
          </w:p>
        </w:tc>
        <w:tc>
          <w:tcPr>
            <w:tcW w:w="3992" w:type="pct"/>
            <w:gridSpan w:val="8"/>
            <w:tcBorders>
              <w:top w:val="single" w:color="000000" w:sz="6" w:space="0"/>
              <w:left w:val="nil"/>
              <w:bottom w:val="nil"/>
              <w:right w:val="nil"/>
            </w:tcBorders>
            <w:shd w:val="clear" w:color="auto" w:fill="FFFFFF"/>
            <w:tcMar>
              <w:top w:w="0" w:type="dxa"/>
              <w:left w:w="20" w:type="dxa"/>
              <w:bottom w:w="0" w:type="dxa"/>
              <w:right w:w="20" w:type="dxa"/>
            </w:tcMar>
            <w:vAlign w:val="bottom"/>
          </w:tcPr>
          <w:p>
            <w:pPr>
              <w:pBdr>
                <w:bottom w:val="single" w:color="auto" w:sz="6" w:space="0"/>
              </w:pBd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参芪扶正连续使用≥5天的化疗周期数</w:t>
            </w:r>
          </w:p>
        </w:tc>
        <w:tc>
          <w:tcPr>
            <w:tcW w:w="550" w:type="pct"/>
            <w:tcBorders>
              <w:top w:val="single" w:color="000000" w:sz="6" w:space="0"/>
              <w:left w:val="nil"/>
              <w:bottom w:val="nil"/>
              <w:right w:val="nil"/>
            </w:tcBorders>
            <w:shd w:val="clear" w:color="auto" w:fill="FFFFFF"/>
            <w:tcMar>
              <w:top w:w="0" w:type="dxa"/>
              <w:left w:w="20" w:type="dxa"/>
              <w:bottom w:w="0" w:type="dxa"/>
              <w:right w:w="20" w:type="dxa"/>
            </w:tcMar>
            <w:vAlign w:val="bottom"/>
          </w:tcPr>
          <w:p>
            <w:pPr>
              <w:adjustRightInd w:val="0"/>
              <w:spacing w:before="20" w:after="20"/>
              <w:jc w:val="center"/>
              <w:rPr>
                <w:rFonts w:ascii="Times New Roman" w:hAnsi="Times New Roman" w:eastAsia="宋体" w:cs="Times New Roman"/>
                <w:b/>
                <w:bCs/>
              </w:rPr>
            </w:pPr>
          </w:p>
        </w:tc>
      </w:tr>
      <w:tr>
        <w:tblPrEx>
          <w:tblCellMar>
            <w:top w:w="0" w:type="dxa"/>
            <w:left w:w="0" w:type="dxa"/>
            <w:bottom w:w="0" w:type="dxa"/>
            <w:right w:w="0" w:type="dxa"/>
          </w:tblCellMar>
        </w:tblPrEx>
        <w:trPr>
          <w:cantSplit/>
          <w:tblHeader/>
          <w:jc w:val="center"/>
        </w:trPr>
        <w:tc>
          <w:tcPr>
            <w:tcW w:w="458" w:type="pct"/>
            <w:tcBorders>
              <w:top w:val="nil"/>
              <w:left w:val="nil"/>
              <w:bottom w:val="inset" w:color="000000" w:sz="4" w:space="0"/>
              <w:right w:val="nil"/>
            </w:tcBorders>
            <w:shd w:val="clear" w:color="auto" w:fill="FFFFFF"/>
            <w:tcMar>
              <w:top w:w="0" w:type="dxa"/>
              <w:left w:w="20" w:type="dxa"/>
              <w:bottom w:w="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周期数</w:t>
            </w:r>
          </w:p>
        </w:tc>
        <w:tc>
          <w:tcPr>
            <w:tcW w:w="570" w:type="pct"/>
            <w:tcBorders>
              <w:top w:val="nil"/>
              <w:left w:val="nil"/>
              <w:bottom w:val="inset" w:color="000000" w:sz="4" w:space="0"/>
              <w:right w:val="nil"/>
            </w:tcBorders>
            <w:shd w:val="clear" w:color="auto" w:fill="FFFFFF"/>
            <w:tcMar>
              <w:top w:w="0" w:type="dxa"/>
              <w:left w:w="20" w:type="dxa"/>
              <w:bottom w:w="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1</w:t>
            </w:r>
          </w:p>
        </w:tc>
        <w:tc>
          <w:tcPr>
            <w:tcW w:w="489" w:type="pct"/>
            <w:tcBorders>
              <w:top w:val="nil"/>
              <w:left w:val="nil"/>
              <w:bottom w:val="inset" w:color="000000" w:sz="4" w:space="0"/>
              <w:right w:val="nil"/>
            </w:tcBorders>
            <w:shd w:val="clear" w:color="auto" w:fill="FFFFFF"/>
            <w:tcMar>
              <w:top w:w="0" w:type="dxa"/>
              <w:left w:w="20" w:type="dxa"/>
              <w:bottom w:w="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2</w:t>
            </w:r>
          </w:p>
        </w:tc>
        <w:tc>
          <w:tcPr>
            <w:tcW w:w="489" w:type="pct"/>
            <w:tcBorders>
              <w:top w:val="nil"/>
              <w:left w:val="nil"/>
              <w:bottom w:val="inset" w:color="000000" w:sz="4" w:space="0"/>
              <w:right w:val="nil"/>
            </w:tcBorders>
            <w:shd w:val="clear" w:color="auto" w:fill="FFFFFF"/>
            <w:tcMar>
              <w:top w:w="0" w:type="dxa"/>
              <w:left w:w="20" w:type="dxa"/>
              <w:bottom w:w="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3</w:t>
            </w:r>
          </w:p>
        </w:tc>
        <w:tc>
          <w:tcPr>
            <w:tcW w:w="489" w:type="pct"/>
            <w:tcBorders>
              <w:top w:val="nil"/>
              <w:left w:val="nil"/>
              <w:bottom w:val="inset" w:color="000000" w:sz="4" w:space="0"/>
              <w:right w:val="nil"/>
            </w:tcBorders>
            <w:shd w:val="clear" w:color="auto" w:fill="FFFFFF"/>
            <w:tcMar>
              <w:top w:w="0" w:type="dxa"/>
              <w:left w:w="20" w:type="dxa"/>
              <w:bottom w:w="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4</w:t>
            </w:r>
          </w:p>
        </w:tc>
        <w:tc>
          <w:tcPr>
            <w:tcW w:w="489" w:type="pct"/>
            <w:tcBorders>
              <w:top w:val="nil"/>
              <w:left w:val="nil"/>
              <w:bottom w:val="inset" w:color="000000" w:sz="4" w:space="0"/>
              <w:right w:val="nil"/>
            </w:tcBorders>
            <w:shd w:val="clear" w:color="auto" w:fill="FFFFFF"/>
            <w:tcMar>
              <w:top w:w="0" w:type="dxa"/>
              <w:left w:w="20" w:type="dxa"/>
              <w:bottom w:w="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5</w:t>
            </w:r>
          </w:p>
        </w:tc>
        <w:tc>
          <w:tcPr>
            <w:tcW w:w="489" w:type="pct"/>
            <w:tcBorders>
              <w:top w:val="nil"/>
              <w:left w:val="nil"/>
              <w:bottom w:val="inset" w:color="000000" w:sz="4" w:space="0"/>
              <w:right w:val="nil"/>
            </w:tcBorders>
            <w:shd w:val="clear" w:color="auto" w:fill="FFFFFF"/>
            <w:tcMar>
              <w:top w:w="0" w:type="dxa"/>
              <w:left w:w="20" w:type="dxa"/>
              <w:bottom w:w="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6</w:t>
            </w:r>
          </w:p>
        </w:tc>
        <w:tc>
          <w:tcPr>
            <w:tcW w:w="489" w:type="pct"/>
            <w:tcBorders>
              <w:top w:val="nil"/>
              <w:left w:val="nil"/>
              <w:bottom w:val="inset" w:color="000000" w:sz="4" w:space="0"/>
              <w:right w:val="nil"/>
            </w:tcBorders>
            <w:shd w:val="clear" w:color="auto" w:fill="FFFFFF"/>
            <w:tcMar>
              <w:top w:w="0" w:type="dxa"/>
              <w:left w:w="20" w:type="dxa"/>
              <w:bottom w:w="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7</w:t>
            </w:r>
          </w:p>
        </w:tc>
        <w:tc>
          <w:tcPr>
            <w:tcW w:w="489" w:type="pct"/>
            <w:tcBorders>
              <w:top w:val="nil"/>
              <w:left w:val="nil"/>
              <w:bottom w:val="inset" w:color="000000" w:sz="4" w:space="0"/>
              <w:right w:val="nil"/>
            </w:tcBorders>
            <w:shd w:val="clear" w:color="auto" w:fill="FFFFFF"/>
            <w:tcMar>
              <w:top w:w="0" w:type="dxa"/>
              <w:left w:w="20" w:type="dxa"/>
              <w:bottom w:w="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0</w:t>
            </w:r>
          </w:p>
        </w:tc>
        <w:tc>
          <w:tcPr>
            <w:tcW w:w="550" w:type="pct"/>
            <w:tcBorders>
              <w:top w:val="nil"/>
              <w:left w:val="nil"/>
              <w:bottom w:val="inset" w:color="000000" w:sz="4" w:space="0"/>
              <w:right w:val="nil"/>
            </w:tcBorders>
            <w:shd w:val="clear" w:color="auto" w:fill="FFFFFF"/>
            <w:tcMar>
              <w:top w:w="0" w:type="dxa"/>
              <w:left w:w="20" w:type="dxa"/>
              <w:bottom w:w="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p>
        </w:tc>
      </w:tr>
      <w:tr>
        <w:tblPrEx>
          <w:tblCellMar>
            <w:top w:w="0" w:type="dxa"/>
            <w:left w:w="0" w:type="dxa"/>
            <w:bottom w:w="0" w:type="dxa"/>
            <w:right w:w="0" w:type="dxa"/>
          </w:tblCellMar>
        </w:tblPrEx>
        <w:trPr>
          <w:cantSplit/>
          <w:jc w:val="center"/>
        </w:trPr>
        <w:tc>
          <w:tcPr>
            <w:tcW w:w="458" w:type="pct"/>
            <w:shd w:val="clear" w:color="auto" w:fill="F0F0F0"/>
            <w:tcMar>
              <w:top w:w="0" w:type="dxa"/>
              <w:left w:w="20" w:type="dxa"/>
              <w:bottom w:w="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w:t>
            </w:r>
          </w:p>
        </w:tc>
        <w:tc>
          <w:tcPr>
            <w:tcW w:w="570"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62 (21.8%)</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87 (20.3%)</w:t>
            </w:r>
          </w:p>
        </w:tc>
        <w:tc>
          <w:tcPr>
            <w:tcW w:w="550"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149 (14.9%)</w:t>
            </w:r>
          </w:p>
        </w:tc>
      </w:tr>
      <w:tr>
        <w:tblPrEx>
          <w:tblCellMar>
            <w:top w:w="0" w:type="dxa"/>
            <w:left w:w="0" w:type="dxa"/>
            <w:bottom w:w="0" w:type="dxa"/>
            <w:right w:w="0" w:type="dxa"/>
          </w:tblCellMar>
        </w:tblPrEx>
        <w:trPr>
          <w:cantSplit/>
          <w:jc w:val="center"/>
        </w:trPr>
        <w:tc>
          <w:tcPr>
            <w:tcW w:w="458" w:type="pct"/>
            <w:shd w:val="clear" w:color="auto" w:fill="FFFFFF"/>
            <w:tcMar>
              <w:top w:w="0" w:type="dxa"/>
              <w:left w:w="20" w:type="dxa"/>
              <w:bottom w:w="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w:t>
            </w:r>
          </w:p>
        </w:tc>
        <w:tc>
          <w:tcPr>
            <w:tcW w:w="570"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112 (39.4%)</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72 (42.4%)</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103 (24.1%)</w:t>
            </w:r>
          </w:p>
        </w:tc>
        <w:tc>
          <w:tcPr>
            <w:tcW w:w="550"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287 (28.7%)</w:t>
            </w:r>
          </w:p>
        </w:tc>
      </w:tr>
      <w:tr>
        <w:tblPrEx>
          <w:tblCellMar>
            <w:top w:w="0" w:type="dxa"/>
            <w:left w:w="0" w:type="dxa"/>
            <w:bottom w:w="0" w:type="dxa"/>
            <w:right w:w="0" w:type="dxa"/>
          </w:tblCellMar>
        </w:tblPrEx>
        <w:trPr>
          <w:cantSplit/>
          <w:jc w:val="center"/>
        </w:trPr>
        <w:tc>
          <w:tcPr>
            <w:tcW w:w="458" w:type="pct"/>
            <w:shd w:val="clear" w:color="auto" w:fill="F0F0F0"/>
            <w:tcMar>
              <w:top w:w="0" w:type="dxa"/>
              <w:left w:w="20" w:type="dxa"/>
              <w:bottom w:w="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w:t>
            </w:r>
          </w:p>
        </w:tc>
        <w:tc>
          <w:tcPr>
            <w:tcW w:w="570"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41 (14.4%)</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38 (22.4%)</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18 (32.1%)</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80 (18.7%)</w:t>
            </w:r>
          </w:p>
        </w:tc>
        <w:tc>
          <w:tcPr>
            <w:tcW w:w="550"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177 (17.7%)</w:t>
            </w:r>
          </w:p>
        </w:tc>
      </w:tr>
      <w:tr>
        <w:tblPrEx>
          <w:tblCellMar>
            <w:top w:w="0" w:type="dxa"/>
            <w:left w:w="0" w:type="dxa"/>
            <w:bottom w:w="0" w:type="dxa"/>
            <w:right w:w="0" w:type="dxa"/>
          </w:tblCellMar>
        </w:tblPrEx>
        <w:trPr>
          <w:cantSplit/>
          <w:jc w:val="center"/>
        </w:trPr>
        <w:tc>
          <w:tcPr>
            <w:tcW w:w="458" w:type="pct"/>
            <w:shd w:val="clear" w:color="auto" w:fill="FFFFFF"/>
            <w:tcMar>
              <w:top w:w="0" w:type="dxa"/>
              <w:left w:w="20" w:type="dxa"/>
              <w:bottom w:w="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4</w:t>
            </w:r>
          </w:p>
        </w:tc>
        <w:tc>
          <w:tcPr>
            <w:tcW w:w="570"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36 (12.7%)</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32 (18.8%)</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24 (42.9%)</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21 (48.8%)</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89 (20.8%)</w:t>
            </w:r>
          </w:p>
        </w:tc>
        <w:tc>
          <w:tcPr>
            <w:tcW w:w="550"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202 (20.2%)</w:t>
            </w:r>
          </w:p>
        </w:tc>
      </w:tr>
      <w:tr>
        <w:tblPrEx>
          <w:tblCellMar>
            <w:top w:w="0" w:type="dxa"/>
            <w:left w:w="0" w:type="dxa"/>
            <w:bottom w:w="0" w:type="dxa"/>
            <w:right w:w="0" w:type="dxa"/>
          </w:tblCellMar>
        </w:tblPrEx>
        <w:trPr>
          <w:cantSplit/>
          <w:jc w:val="center"/>
        </w:trPr>
        <w:tc>
          <w:tcPr>
            <w:tcW w:w="458" w:type="pct"/>
            <w:shd w:val="clear" w:color="auto" w:fill="F0F0F0"/>
            <w:tcMar>
              <w:top w:w="0" w:type="dxa"/>
              <w:left w:w="20" w:type="dxa"/>
              <w:bottom w:w="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5</w:t>
            </w:r>
          </w:p>
        </w:tc>
        <w:tc>
          <w:tcPr>
            <w:tcW w:w="570"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(5.3%)</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(5.3%)</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(16.1%)</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 (27.9%)</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(50.0%)</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27 (6.3%)</w:t>
            </w:r>
          </w:p>
        </w:tc>
        <w:tc>
          <w:tcPr>
            <w:tcW w:w="550" w:type="pct"/>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77 (7.7%)</w:t>
            </w:r>
          </w:p>
        </w:tc>
      </w:tr>
      <w:tr>
        <w:tblPrEx>
          <w:tblCellMar>
            <w:top w:w="0" w:type="dxa"/>
            <w:left w:w="0" w:type="dxa"/>
            <w:bottom w:w="0" w:type="dxa"/>
            <w:right w:w="0" w:type="dxa"/>
          </w:tblCellMar>
        </w:tblPrEx>
        <w:trPr>
          <w:cantSplit/>
          <w:jc w:val="center"/>
        </w:trPr>
        <w:tc>
          <w:tcPr>
            <w:tcW w:w="458" w:type="pct"/>
            <w:shd w:val="clear" w:color="auto" w:fill="FFFFFF"/>
            <w:tcMar>
              <w:top w:w="0" w:type="dxa"/>
              <w:left w:w="20" w:type="dxa"/>
              <w:bottom w:w="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6</w:t>
            </w:r>
          </w:p>
        </w:tc>
        <w:tc>
          <w:tcPr>
            <w:tcW w:w="570"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 (4.6%)</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(8.8%)</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(8.9%)</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 (18.6%)</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(40.0%)</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(100.0%)</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39 (9.1%)</w:t>
            </w:r>
          </w:p>
        </w:tc>
        <w:tc>
          <w:tcPr>
            <w:tcW w:w="550" w:type="pct"/>
            <w:shd w:val="clear" w:color="auto" w:fill="FFFFFF"/>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90 (9.0%)</w:t>
            </w:r>
          </w:p>
        </w:tc>
      </w:tr>
      <w:tr>
        <w:tblPrEx>
          <w:tblCellMar>
            <w:top w:w="0" w:type="dxa"/>
            <w:left w:w="0" w:type="dxa"/>
            <w:bottom w:w="0" w:type="dxa"/>
            <w:right w:w="0" w:type="dxa"/>
          </w:tblCellMar>
        </w:tblPrEx>
        <w:trPr>
          <w:cantSplit/>
          <w:jc w:val="center"/>
        </w:trPr>
        <w:tc>
          <w:tcPr>
            <w:tcW w:w="458" w:type="pct"/>
            <w:tcBorders>
              <w:top w:val="nil"/>
              <w:left w:val="nil"/>
              <w:bottom w:val="double" w:color="000000" w:sz="6" w:space="0"/>
              <w:right w:val="nil"/>
            </w:tcBorders>
            <w:shd w:val="clear" w:color="auto" w:fill="F0F0F0"/>
            <w:tcMar>
              <w:top w:w="0" w:type="dxa"/>
              <w:left w:w="20" w:type="dxa"/>
              <w:bottom w:w="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＞6</w:t>
            </w:r>
          </w:p>
        </w:tc>
        <w:tc>
          <w:tcPr>
            <w:tcW w:w="570" w:type="pct"/>
            <w:tcBorders>
              <w:top w:val="nil"/>
              <w:left w:val="nil"/>
              <w:bottom w:val="double" w:color="000000" w:sz="6" w:space="0"/>
              <w:right w:val="nil"/>
            </w:tcBorders>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(1.8%)</w:t>
            </w:r>
          </w:p>
        </w:tc>
        <w:tc>
          <w:tcPr>
            <w:tcW w:w="489" w:type="pct"/>
            <w:tcBorders>
              <w:top w:val="nil"/>
              <w:left w:val="nil"/>
              <w:bottom w:val="double" w:color="000000" w:sz="6" w:space="0"/>
              <w:right w:val="nil"/>
            </w:tcBorders>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(2.4%)</w:t>
            </w:r>
          </w:p>
        </w:tc>
        <w:tc>
          <w:tcPr>
            <w:tcW w:w="489" w:type="pct"/>
            <w:tcBorders>
              <w:top w:val="nil"/>
              <w:left w:val="nil"/>
              <w:bottom w:val="double" w:color="000000" w:sz="6" w:space="0"/>
              <w:right w:val="nil"/>
            </w:tcBorders>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tcBorders>
              <w:top w:val="nil"/>
              <w:left w:val="nil"/>
              <w:bottom w:val="double" w:color="000000" w:sz="6" w:space="0"/>
              <w:right w:val="nil"/>
            </w:tcBorders>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(4.7%)</w:t>
            </w:r>
          </w:p>
        </w:tc>
        <w:tc>
          <w:tcPr>
            <w:tcW w:w="489" w:type="pct"/>
            <w:tcBorders>
              <w:top w:val="nil"/>
              <w:left w:val="nil"/>
              <w:bottom w:val="double" w:color="000000" w:sz="6" w:space="0"/>
              <w:right w:val="nil"/>
            </w:tcBorders>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(10.0%)</w:t>
            </w:r>
          </w:p>
        </w:tc>
        <w:tc>
          <w:tcPr>
            <w:tcW w:w="489" w:type="pct"/>
            <w:tcBorders>
              <w:top w:val="nil"/>
              <w:left w:val="nil"/>
              <w:bottom w:val="double" w:color="000000" w:sz="6" w:space="0"/>
              <w:right w:val="nil"/>
            </w:tcBorders>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489" w:type="pct"/>
            <w:tcBorders>
              <w:top w:val="nil"/>
              <w:left w:val="nil"/>
              <w:bottom w:val="double" w:color="000000" w:sz="6" w:space="0"/>
              <w:right w:val="nil"/>
            </w:tcBorders>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(100.0%)</w:t>
            </w:r>
          </w:p>
        </w:tc>
        <w:tc>
          <w:tcPr>
            <w:tcW w:w="489" w:type="pct"/>
            <w:tcBorders>
              <w:top w:val="nil"/>
              <w:left w:val="nil"/>
              <w:bottom w:val="double" w:color="000000" w:sz="6" w:space="0"/>
              <w:right w:val="nil"/>
            </w:tcBorders>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(0.7%)</w:t>
            </w:r>
          </w:p>
        </w:tc>
        <w:tc>
          <w:tcPr>
            <w:tcW w:w="550" w:type="pct"/>
            <w:tcBorders>
              <w:top w:val="nil"/>
              <w:left w:val="nil"/>
              <w:bottom w:val="double" w:color="000000" w:sz="6" w:space="0"/>
              <w:right w:val="nil"/>
            </w:tcBorders>
            <w:shd w:val="clear" w:color="auto" w:fill="F0F0F0"/>
            <w:tcMar>
              <w:top w:w="0" w:type="dxa"/>
              <w:left w:w="20" w:type="dxa"/>
              <w:bottom w:w="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18 (1.8%)</w:t>
            </w:r>
          </w:p>
        </w:tc>
      </w:tr>
    </w:tbl>
    <w:p>
      <w:pPr>
        <w:spacing w:before="120" w:beforeLines="50"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根据上表中关于参芪扶正与化疗联用的分布情况，</w:t>
      </w:r>
      <w:r>
        <w:rPr>
          <w:rFonts w:ascii="Times New Roman" w:hAnsi="Times New Roman" w:eastAsia="宋体" w:cs="Times New Roman"/>
          <w:b/>
          <w:sz w:val="24"/>
        </w:rPr>
        <w:t>该次分析主要</w:t>
      </w:r>
      <w:r>
        <w:rPr>
          <w:rFonts w:hint="eastAsia" w:ascii="Times New Roman" w:hAnsi="Times New Roman" w:eastAsia="宋体" w:cs="Times New Roman"/>
          <w:b/>
          <w:sz w:val="24"/>
        </w:rPr>
        <w:t>关注</w:t>
      </w:r>
      <w:r>
        <w:rPr>
          <w:rFonts w:ascii="Times New Roman" w:hAnsi="Times New Roman" w:eastAsia="宋体" w:cs="Times New Roman"/>
          <w:b/>
          <w:sz w:val="24"/>
        </w:rPr>
        <w:t>基线化疗≥</w:t>
      </w:r>
      <w:r>
        <w:rPr>
          <w:rFonts w:hint="eastAsia" w:ascii="Times New Roman" w:hAnsi="Times New Roman" w:eastAsia="宋体" w:cs="Times New Roman"/>
          <w:b/>
          <w:sz w:val="24"/>
        </w:rPr>
        <w:t>1</w:t>
      </w:r>
      <w:r>
        <w:rPr>
          <w:rFonts w:ascii="Times New Roman" w:hAnsi="Times New Roman" w:eastAsia="宋体" w:cs="Times New Roman"/>
          <w:b/>
          <w:sz w:val="24"/>
        </w:rPr>
        <w:t>周期且至少</w:t>
      </w:r>
      <w:r>
        <w:rPr>
          <w:rFonts w:hint="eastAsia" w:ascii="Times New Roman" w:hAnsi="Times New Roman" w:eastAsia="宋体" w:cs="Times New Roman"/>
          <w:b/>
          <w:sz w:val="24"/>
        </w:rPr>
        <w:t>1</w:t>
      </w:r>
      <w:r>
        <w:rPr>
          <w:rFonts w:ascii="Times New Roman" w:hAnsi="Times New Roman" w:eastAsia="宋体" w:cs="Times New Roman"/>
          <w:b/>
          <w:sz w:val="24"/>
        </w:rPr>
        <w:t>个周期连续使用参芪扶正≥5天的患者人群，共</w:t>
      </w:r>
      <w:r>
        <w:rPr>
          <w:rFonts w:hint="eastAsia" w:ascii="Times New Roman" w:hAnsi="Times New Roman" w:eastAsia="宋体" w:cs="Times New Roman"/>
          <w:b/>
          <w:sz w:val="24"/>
        </w:rPr>
        <w:t>572</w:t>
      </w:r>
      <w:r>
        <w:rPr>
          <w:rFonts w:ascii="Times New Roman" w:hAnsi="Times New Roman" w:eastAsia="宋体" w:cs="Times New Roman"/>
          <w:b/>
          <w:sz w:val="24"/>
        </w:rPr>
        <w:t>患者。对照组</w:t>
      </w:r>
      <w:r>
        <w:rPr>
          <w:rFonts w:hint="eastAsia" w:ascii="Times New Roman" w:hAnsi="Times New Roman" w:eastAsia="宋体" w:cs="Times New Roman"/>
          <w:b/>
          <w:sz w:val="24"/>
        </w:rPr>
        <w:t>见表1.1</w:t>
      </w:r>
      <w:r>
        <w:rPr>
          <w:rFonts w:ascii="Times New Roman" w:hAnsi="Times New Roman" w:eastAsia="宋体" w:cs="Times New Roman"/>
          <w:b/>
          <w:sz w:val="24"/>
        </w:rPr>
        <w:t>，基线化疗≥</w:t>
      </w:r>
      <w:r>
        <w:rPr>
          <w:rFonts w:hint="eastAsia" w:ascii="Times New Roman" w:hAnsi="Times New Roman" w:eastAsia="宋体" w:cs="Times New Roman"/>
          <w:b/>
          <w:sz w:val="24"/>
        </w:rPr>
        <w:t>1</w:t>
      </w:r>
      <w:r>
        <w:rPr>
          <w:rFonts w:ascii="Times New Roman" w:hAnsi="Times New Roman" w:eastAsia="宋体" w:cs="Times New Roman"/>
          <w:b/>
          <w:sz w:val="24"/>
        </w:rPr>
        <w:t>周期的患者共1</w:t>
      </w:r>
      <w:r>
        <w:rPr>
          <w:rFonts w:hint="eastAsia" w:ascii="Times New Roman" w:hAnsi="Times New Roman" w:eastAsia="宋体" w:cs="Times New Roman"/>
          <w:b/>
          <w:sz w:val="24"/>
        </w:rPr>
        <w:t>2</w:t>
      </w:r>
      <w:r>
        <w:rPr>
          <w:rFonts w:ascii="Times New Roman" w:hAnsi="Times New Roman" w:eastAsia="宋体" w:cs="Times New Roman"/>
          <w:b/>
          <w:sz w:val="24"/>
        </w:rPr>
        <w:t>73人。</w:t>
      </w:r>
    </w:p>
    <w:p>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该部分主要描述上述人群患者基本信息，包括医院信息、患者入组时间、患者基本信息、疾病信息及治疗信息等结果。详见下表1.3~1.5。</w:t>
      </w: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表1.3 医院信息描述</w:t>
      </w:r>
    </w:p>
    <w:tbl>
      <w:tblPr>
        <w:tblStyle w:val="22"/>
        <w:tblW w:w="0" w:type="auto"/>
        <w:jc w:val="center"/>
        <w:tblLayout w:type="fixed"/>
        <w:tblCellMar>
          <w:top w:w="0" w:type="dxa"/>
          <w:left w:w="0" w:type="dxa"/>
          <w:bottom w:w="0" w:type="dxa"/>
          <w:right w:w="0" w:type="dxa"/>
        </w:tblCellMar>
      </w:tblPr>
      <w:tblGrid>
        <w:gridCol w:w="3139"/>
        <w:gridCol w:w="1893"/>
        <w:gridCol w:w="1893"/>
        <w:gridCol w:w="1893"/>
        <w:gridCol w:w="1579"/>
      </w:tblGrid>
      <w:tr>
        <w:tblPrEx>
          <w:tblCellMar>
            <w:top w:w="0" w:type="dxa"/>
            <w:left w:w="0" w:type="dxa"/>
            <w:bottom w:w="0" w:type="dxa"/>
            <w:right w:w="0" w:type="dxa"/>
          </w:tblCellMar>
        </w:tblPrEx>
        <w:trPr>
          <w:cantSplit/>
          <w:tblHeader/>
          <w:jc w:val="center"/>
        </w:trPr>
        <w:tc>
          <w:tcPr>
            <w:tcW w:w="3139"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bookmarkStart w:id="3" w:name="IDX"/>
            <w:bookmarkEnd w:id="3"/>
            <w:r>
              <w:rPr>
                <w:rFonts w:ascii="Times New Roman" w:hAnsi="Times New Roman" w:eastAsia="宋体" w:cs="Times New Roman"/>
                <w:b/>
                <w:bCs/>
              </w:rPr>
              <w:t>医院情况</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(N=572)</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(N=1273)</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(N=1845)</w:t>
            </w:r>
          </w:p>
        </w:tc>
        <w:tc>
          <w:tcPr>
            <w:tcW w:w="1579"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医院级别</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0.7322</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572(0)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1273(0)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1845(0)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二级</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 (2.6%)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(2.4%)</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45 (2.4%)</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三级</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557 (97.4%)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1243 (97.6%)</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1800 (97.6%)</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医院类型</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0.1932</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572(0)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1273(0)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1845(0)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专科医院</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126 (22.0%)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316 (24.8%)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442 (24.0%)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综合医院</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446 (78.0%)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957 (75.2%)</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1403 (76.0%)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0397" w:type="dxa"/>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注：带</w:t>
            </w:r>
            <w:r>
              <w:rPr>
                <w:rFonts w:ascii="Times New Roman" w:hAnsi="Times New Roman" w:cs="Times New Roman"/>
                <w:i/>
                <w:iCs/>
                <w:sz w:val="16"/>
                <w:szCs w:val="16"/>
              </w:rPr>
              <w:t>#</w:t>
            </w:r>
            <w:r>
              <w:rPr>
                <w:rFonts w:ascii="Times New Roman" w:hAnsi="Times New Roman" w:eastAsia="宋体" w:cs="Times New Roman"/>
                <w:i/>
                <w:iCs/>
                <w:sz w:val="16"/>
                <w:szCs w:val="16"/>
              </w:rPr>
              <w:t>号的</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t</w:t>
            </w:r>
            <w:r>
              <w:rPr>
                <w:rFonts w:ascii="Times New Roman" w:hAnsi="Times New Roman" w:eastAsia="宋体" w:cs="Times New Roman"/>
                <w:i/>
                <w:iCs/>
                <w:sz w:val="16"/>
                <w:szCs w:val="16"/>
              </w:rPr>
              <w:t>检验，带</w:t>
            </w:r>
            <w:r>
              <w:rPr>
                <w:rFonts w:ascii="Times New Roman" w:hAnsi="Times New Roman" w:cs="Times New Roman"/>
                <w:i/>
                <w:iCs/>
                <w:sz w:val="16"/>
                <w:szCs w:val="16"/>
              </w:rPr>
              <w:t>*</w:t>
            </w:r>
            <w:r>
              <w:rPr>
                <w:rFonts w:ascii="Times New Roman" w:hAnsi="Times New Roman" w:eastAsia="宋体" w:cs="Times New Roman"/>
                <w:i/>
                <w:iCs/>
                <w:sz w:val="16"/>
                <w:szCs w:val="16"/>
              </w:rPr>
              <w:t>号的</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spacing w:before="10" w:after="10"/>
        <w:rPr>
          <w:rFonts w:ascii="Times New Roman" w:hAnsi="Times New Roman" w:eastAsia="宋体" w:cs="Times New Roman"/>
          <w:i/>
          <w:iCs/>
          <w:sz w:val="16"/>
          <w:szCs w:val="16"/>
        </w:rPr>
      </w:pP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表1.4 患者入组时间描述</w:t>
      </w:r>
    </w:p>
    <w:tbl>
      <w:tblPr>
        <w:tblStyle w:val="22"/>
        <w:tblW w:w="0" w:type="auto"/>
        <w:jc w:val="center"/>
        <w:tblLayout w:type="fixed"/>
        <w:tblCellMar>
          <w:top w:w="0" w:type="dxa"/>
          <w:left w:w="0" w:type="dxa"/>
          <w:bottom w:w="0" w:type="dxa"/>
          <w:right w:w="0" w:type="dxa"/>
        </w:tblCellMar>
      </w:tblPr>
      <w:tblGrid>
        <w:gridCol w:w="3139"/>
        <w:gridCol w:w="1893"/>
        <w:gridCol w:w="1893"/>
        <w:gridCol w:w="1893"/>
        <w:gridCol w:w="1579"/>
      </w:tblGrid>
      <w:tr>
        <w:tblPrEx>
          <w:tblCellMar>
            <w:top w:w="0" w:type="dxa"/>
            <w:left w:w="0" w:type="dxa"/>
            <w:bottom w:w="0" w:type="dxa"/>
            <w:right w:w="0" w:type="dxa"/>
          </w:tblCellMar>
        </w:tblPrEx>
        <w:trPr>
          <w:cantSplit/>
          <w:tblHeader/>
          <w:jc w:val="center"/>
        </w:trPr>
        <w:tc>
          <w:tcPr>
            <w:tcW w:w="3139"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bookmarkStart w:id="4" w:name="IDX1"/>
            <w:bookmarkEnd w:id="4"/>
            <w:r>
              <w:rPr>
                <w:rFonts w:ascii="Times New Roman" w:hAnsi="Times New Roman" w:eastAsia="宋体" w:cs="Times New Roman"/>
                <w:b/>
                <w:bCs/>
              </w:rPr>
              <w:t>患者入组时间</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(N=572)</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(N=1273)</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(N=1845)</w:t>
            </w:r>
          </w:p>
        </w:tc>
        <w:tc>
          <w:tcPr>
            <w:tcW w:w="1579"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入组年份</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0.0026</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572(0)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1273(0)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1845(0)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2012</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(1.2%)</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47 (3.7%)</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54 (2.9%)</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 (3.1%)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51 (4.0%)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69 (3.7%)</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2014</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32 (5.6%)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68 (5.3%)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 (5.4%)</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56 (9.8%)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177 (13.9%)</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233 (12.6%)</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129 (22.6%)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250 (19.6%)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379 (20.5%)</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226 (39.5%)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429 (33.7%)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655 (35.5%)</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104 (18.2%)</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251 (19.7%)</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355 (19.2%)</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0397" w:type="dxa"/>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注：带</w:t>
            </w:r>
            <w:r>
              <w:rPr>
                <w:rFonts w:ascii="Times New Roman" w:hAnsi="Times New Roman" w:cs="Times New Roman"/>
                <w:i/>
                <w:iCs/>
                <w:sz w:val="16"/>
                <w:szCs w:val="16"/>
              </w:rPr>
              <w:t>#</w:t>
            </w:r>
            <w:r>
              <w:rPr>
                <w:rFonts w:ascii="Times New Roman" w:hAnsi="Times New Roman" w:eastAsia="宋体" w:cs="Times New Roman"/>
                <w:i/>
                <w:iCs/>
                <w:sz w:val="16"/>
                <w:szCs w:val="16"/>
              </w:rPr>
              <w:t>号的</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t</w:t>
            </w:r>
            <w:r>
              <w:rPr>
                <w:rFonts w:ascii="Times New Roman" w:hAnsi="Times New Roman" w:eastAsia="宋体" w:cs="Times New Roman"/>
                <w:i/>
                <w:iCs/>
                <w:sz w:val="16"/>
                <w:szCs w:val="16"/>
              </w:rPr>
              <w:t>检验，带</w:t>
            </w:r>
            <w:r>
              <w:rPr>
                <w:rFonts w:ascii="Times New Roman" w:hAnsi="Times New Roman" w:cs="Times New Roman"/>
                <w:i/>
                <w:iCs/>
                <w:sz w:val="16"/>
                <w:szCs w:val="16"/>
              </w:rPr>
              <w:t>*</w:t>
            </w:r>
            <w:r>
              <w:rPr>
                <w:rFonts w:ascii="Times New Roman" w:hAnsi="Times New Roman" w:eastAsia="宋体" w:cs="Times New Roman"/>
                <w:i/>
                <w:iCs/>
                <w:sz w:val="16"/>
                <w:szCs w:val="16"/>
              </w:rPr>
              <w:t>号的</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spacing w:before="10" w:after="10"/>
        <w:rPr>
          <w:rFonts w:ascii="Times New Roman" w:hAnsi="Times New Roman" w:eastAsia="宋体" w:cs="Times New Roman"/>
          <w:i/>
          <w:iCs/>
          <w:sz w:val="16"/>
          <w:szCs w:val="16"/>
        </w:rPr>
      </w:pP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表1.5 患者基本信息描述</w:t>
      </w:r>
    </w:p>
    <w:tbl>
      <w:tblPr>
        <w:tblStyle w:val="22"/>
        <w:tblW w:w="0" w:type="auto"/>
        <w:jc w:val="center"/>
        <w:tblLayout w:type="fixed"/>
        <w:tblCellMar>
          <w:top w:w="0" w:type="dxa"/>
          <w:left w:w="0" w:type="dxa"/>
          <w:bottom w:w="0" w:type="dxa"/>
          <w:right w:w="0" w:type="dxa"/>
        </w:tblCellMar>
      </w:tblPr>
      <w:tblGrid>
        <w:gridCol w:w="3139"/>
        <w:gridCol w:w="1893"/>
        <w:gridCol w:w="1893"/>
        <w:gridCol w:w="1893"/>
        <w:gridCol w:w="1579"/>
      </w:tblGrid>
      <w:tr>
        <w:tblPrEx>
          <w:tblCellMar>
            <w:top w:w="0" w:type="dxa"/>
            <w:left w:w="0" w:type="dxa"/>
            <w:bottom w:w="0" w:type="dxa"/>
            <w:right w:w="0" w:type="dxa"/>
          </w:tblCellMar>
        </w:tblPrEx>
        <w:trPr>
          <w:cantSplit/>
          <w:tblHeader/>
          <w:jc w:val="center"/>
        </w:trPr>
        <w:tc>
          <w:tcPr>
            <w:tcW w:w="3139"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bookmarkStart w:id="5" w:name="IDX2"/>
            <w:bookmarkEnd w:id="5"/>
            <w:r>
              <w:rPr>
                <w:rFonts w:ascii="Times New Roman" w:hAnsi="Times New Roman" w:eastAsia="宋体" w:cs="Times New Roman"/>
                <w:b/>
                <w:bCs/>
              </w:rPr>
              <w:t>变量特征</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(N=572)</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(N=1273)</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(N=1845)</w:t>
            </w:r>
          </w:p>
        </w:tc>
        <w:tc>
          <w:tcPr>
            <w:tcW w:w="1579"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性别</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0.4663</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572(0)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1272(1)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1844(1)</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女</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160 (28.0%)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377 (29.6%)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537 (29.1%)</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男</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412 (72.0%)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895 (70.4%)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1307 (70.9%)</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年龄</w:t>
            </w:r>
            <w:r>
              <w:rPr>
                <w:rFonts w:ascii="Times New Roman" w:hAnsi="Times New Roman" w:cs="Times New Roman"/>
                <w:b/>
                <w:bCs/>
                <w:sz w:val="18"/>
                <w:szCs w:val="18"/>
              </w:rPr>
              <w:t>(</w:t>
            </w:r>
            <w:r>
              <w:rPr>
                <w:rFonts w:ascii="Times New Roman" w:hAnsi="Times New Roman" w:eastAsia="宋体" w:cs="Times New Roman"/>
                <w:b/>
                <w:bCs/>
                <w:sz w:val="18"/>
                <w:szCs w:val="18"/>
              </w:rPr>
              <w:t>岁</w:t>
            </w:r>
            <w:r>
              <w:rPr>
                <w:rFonts w:ascii="Times New Roman" w:hAnsi="Times New Roman" w:cs="Times New Roman"/>
                <w:b/>
                <w:bCs/>
                <w:sz w:val="18"/>
                <w:szCs w:val="18"/>
              </w:rPr>
              <w:t>)</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0.1651</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572 (0)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1272 (1)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1844 (1)</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均数（标准差）</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58.8 (8.96)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58.2 (9.21)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58.3 (9.13)</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中位数（</w:t>
            </w:r>
            <w:r>
              <w:rPr>
                <w:rFonts w:ascii="Times New Roman" w:hAnsi="Times New Roman" w:cs="Times New Roman"/>
                <w:sz w:val="18"/>
                <w:szCs w:val="18"/>
              </w:rPr>
              <w:t>Q1-Q3</w:t>
            </w:r>
            <w:r>
              <w:rPr>
                <w:rFonts w:ascii="Times New Roman" w:hAnsi="Times New Roman" w:eastAsia="宋体" w:cs="Times New Roman"/>
                <w:sz w:val="18"/>
                <w:szCs w:val="18"/>
              </w:rPr>
              <w:t>）</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60.0 (53.0-65.0)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59.0 (52.0-65.0)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59.0 (52.0-65.0)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最小值</w:t>
            </w:r>
            <w:r>
              <w:rPr>
                <w:rFonts w:ascii="Times New Roman" w:hAnsi="Times New Roman" w:cs="Times New Roman"/>
                <w:sz w:val="18"/>
                <w:szCs w:val="18"/>
              </w:rPr>
              <w:t>-</w:t>
            </w:r>
            <w:r>
              <w:rPr>
                <w:rFonts w:ascii="Times New Roman" w:hAnsi="Times New Roman" w:eastAsia="宋体" w:cs="Times New Roman"/>
                <w:sz w:val="18"/>
                <w:szCs w:val="18"/>
              </w:rPr>
              <w:t>最大值</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25-80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12-80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12-80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年龄分组</w:t>
            </w:r>
            <w:r>
              <w:rPr>
                <w:rFonts w:ascii="Times New Roman" w:hAnsi="Times New Roman" w:cs="Times New Roman"/>
                <w:b/>
                <w:bCs/>
                <w:sz w:val="18"/>
                <w:szCs w:val="18"/>
              </w:rPr>
              <w:t>(</w:t>
            </w:r>
            <w:r>
              <w:rPr>
                <w:rFonts w:ascii="Times New Roman" w:hAnsi="Times New Roman" w:eastAsia="宋体" w:cs="Times New Roman"/>
                <w:b/>
                <w:bCs/>
                <w:sz w:val="18"/>
                <w:szCs w:val="18"/>
              </w:rPr>
              <w:t>岁</w:t>
            </w:r>
            <w:r>
              <w:rPr>
                <w:rFonts w:ascii="Times New Roman" w:hAnsi="Times New Roman" w:cs="Times New Roman"/>
                <w:b/>
                <w:bCs/>
                <w:sz w:val="18"/>
                <w:szCs w:val="18"/>
              </w:rPr>
              <w:t>)</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0.1498</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572(0)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1272(1)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1844(1)</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w:t>
            </w:r>
            <w:r>
              <w:rPr>
                <w:rFonts w:ascii="Times New Roman" w:hAnsi="Times New Roman" w:cs="Times New Roman"/>
                <w:sz w:val="18"/>
                <w:szCs w:val="18"/>
              </w:rPr>
              <w:t>50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80 (14.0%)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228 (17.9%)</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308 (16.7%)</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[50,55)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101 (17.7%)</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211 (16.6%)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312 (16.9%)</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[55,60)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103 (18.0%)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201 (15.8%)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304 (16.5%)</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[60,65)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124 (21.7%)</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303 (23.8%)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427 (23.2%)</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[65,70)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 (17.5%)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216 (17.0%)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316 (17.1%)</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≥70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64 (11.2%)</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113 (8.9%)</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177 (9.6%)</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病理分期</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0.3922</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572(0)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1273(0)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1845(0)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IIIB</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78 (13.6%)</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193 (15.2%)</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271 (14.7%)</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IV</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494 (86.4%)</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1080 (84.8%)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1574 (85.3%)</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病理类型</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鳞癌</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188 (32.9%)</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367 (28.8%)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555 (30.1%)</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0.0803</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腺癌</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342 (59.8%)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818 (64.3%)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1160 (62.9%)</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0.0662</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腺鳞癌</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(1.6%)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(2.4%)</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 (2.1%)</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0.2794</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大细胞癌</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(0.5%)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(0.5%)</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0.7293</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远处转移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肝转移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33 (5.8%)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57 (4.5%)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90 (4.9%)</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0.2336</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肾及肾上腺转移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28 (4.9%)</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40 (3.1%)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68 (3.7%)</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0.0646</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骨转移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132 (23.1%)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261 (20.5%)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393 (21.3%)</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0.2117</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胸膜转移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47 (8.2%)</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122 (9.6%)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169 (9.2%)</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0.3465</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对侧肺转移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101 (17.7%)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218 (17.1%)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319 (17.3%)</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0.7797</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其它转移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37 (6.5%)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131 (10.3%)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168 (9.1%)</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0.0083</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根治术情况</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0.4978</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572(0)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1273(0)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1845(0)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无根治术史</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489 (85.5%)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1064 (83.6%)</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1553 (84.2%)</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有根治术史</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(5.9%)</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78 (6.1%)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112 (6.1%)</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现行根治术</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49 (8.6%)</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131 (10.3%)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180 (9.8%)</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晚期首次化疗方案</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0.0117</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572(0)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1273(0)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1845(0)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多西他赛</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143 (25.0%)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284 (22.3%)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427 (23.1%)</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吉西他滨</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135 (23.6%)</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234 (18.4%)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369 (20.0%)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培美曲塞</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216 (37.8%)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560 (44.0%)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776 (42.1%)</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其它</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78 (13.6%)</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195 (15.3%)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273 (14.8%)</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晚期首次化疗具体铂类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&lt;.0001</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572(0)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1273(0)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1845(0)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卡铂</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141 (24.7%)</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55 (4.3%)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196 (10.6%)</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奈达铂</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144 (25.2%)</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485 (38.1%)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629 (34.1%)</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其他</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36 (6.3%)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37 (2.9%)</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73 (4.0%)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顺铂</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251 (43.9%)</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696 (54.7%)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947 (51.3%)</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晚期首次化疗方案周期数分组</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&lt;.0001</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572(0)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1273(0)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1845(0)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62 (10.8%)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 (7.9%)</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162 (8.8%)</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184 (32.2%)</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175 (13.7%)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359 (19.5%)</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97 (17.0%)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365 (28.7%)</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462 (25.0%)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113 (19.8%)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340 (26.7%)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453 (24.6%)</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50 (8.7%)</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153 (12.0%)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203 (11.0%)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6</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51 (8.9%)</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120 (9.4%)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171 (9.3%)</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w:t>
            </w:r>
            <w:r>
              <w:rPr>
                <w:rFonts w:ascii="Times New Roman" w:hAnsi="Times New Roman" w:cs="Times New Roman"/>
                <w:sz w:val="18"/>
                <w:szCs w:val="18"/>
              </w:rPr>
              <w:t>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 (2.6%)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 (1.6%)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35 (1.9%)</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晚期首次化疗方案周期数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&lt;.0001</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572 (0)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1273 (0)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1845 (0)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均数（标准差）</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3.2 (1.66)</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3.6 (1.44)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3.5 (1.52)</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中位数（</w:t>
            </w:r>
            <w:r>
              <w:rPr>
                <w:rFonts w:ascii="Times New Roman" w:hAnsi="Times New Roman" w:cs="Times New Roman"/>
                <w:sz w:val="18"/>
                <w:szCs w:val="18"/>
              </w:rPr>
              <w:t>Q1-Q3</w:t>
            </w:r>
            <w:r>
              <w:rPr>
                <w:rFonts w:ascii="Times New Roman" w:hAnsi="Times New Roman" w:eastAsia="宋体" w:cs="Times New Roman"/>
                <w:sz w:val="18"/>
                <w:szCs w:val="18"/>
              </w:rPr>
              <w:t>）</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(2.0-4.0)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(3.0-4.0)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(2.0-4.0)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最小值</w:t>
            </w:r>
            <w:r>
              <w:rPr>
                <w:rFonts w:ascii="Times New Roman" w:hAnsi="Times New Roman" w:cs="Times New Roman"/>
                <w:sz w:val="18"/>
                <w:szCs w:val="18"/>
              </w:rPr>
              <w:t>-</w:t>
            </w:r>
            <w:r>
              <w:rPr>
                <w:rFonts w:ascii="Times New Roman" w:hAnsi="Times New Roman" w:eastAsia="宋体" w:cs="Times New Roman"/>
                <w:sz w:val="18"/>
                <w:szCs w:val="18"/>
              </w:rPr>
              <w:t>最大值</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1-15</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后续化疗</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279 (48.8%)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531 (41.7%)</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810 (43.9%)</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0.0047</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培美曲塞</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65 (11.4%)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103 (8.1%)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168 (9.1%)</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0.0238</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培美曲塞</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55 (9.6%)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143 (11.2%)</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198 (10.7%)</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0.2991</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多西他赛</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78 (13.6%)</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152 (11.9%)</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230 (12.5%)</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0.3077</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多西他赛</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37 (6.5%)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56 (4.4%)</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93 (5.0%)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0.0602</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吉西他滨</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54 (9.4%)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127 (10.0%)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181 (9.8%)</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0.7204</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吉西他滨</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 (3.7%)</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29 (2.3%)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50 (2.7%)</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0.0883</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紫杉醇</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 (4.4%)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59 (4.6%)</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84 (4.6%)</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0.8013</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长春瑞滨</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 (2.4%)</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 (1.3%)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(1.6%)</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0.0614</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其它</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85 (14.9%)</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134 (10.5%)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219 (11.9%)</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0.0078</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后续靶向治疗</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146 (25.5%)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145 (11.4%)</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291 (15.8%)</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&lt;.0001</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贝伐珠单抗</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(5.9%)</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44 (3.5%)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78 (4.2%)</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0.0140</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奥希替尼</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(0.9%)</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(0.3%)</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0.0028</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安罗替尼</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(0.2%)</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(0.5%)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(0.4%)</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0.4477</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重组人血管内皮抑制素</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48 (8.4%)</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45 (3.5%)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93 (5.0%)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&lt;.0001</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阿帕替尼</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 (3.5%)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 (1.4%)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38 (2.1%)</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0.0036</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埃克替尼</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(2.1%)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(0.7%)</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&lt;.0001</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吉非替尼</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 (3.0%)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 (1.0%)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&lt;.0001</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厄洛替尼</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(1.0%)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(0.3%)</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0.0009</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阿法替尼</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(0.6%)</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 (0.5%)</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0.7331</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后续生物免疫治疗</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53 (9.3%)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92 (7.2%)</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145 (7.9%)</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0.1323</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派姆单抗</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(0.2%)</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(0.2%)</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0.5569</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重组人粒细胞刺激因子</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(1.4%)</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 (1.6%)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29 (1.6%)</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0.6884</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免疫调节剂</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(0.7%)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(0.5%)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(0.6%)</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0.7468</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CIK</w:t>
            </w:r>
            <w:r>
              <w:rPr>
                <w:rFonts w:ascii="Times New Roman" w:hAnsi="Times New Roman" w:eastAsia="宋体" w:cs="Times New Roman"/>
                <w:sz w:val="18"/>
                <w:szCs w:val="18"/>
              </w:rPr>
              <w:t>细胞</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(0.2%)</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(0.2%)</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0.5569</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纳武单抗</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(0.4%)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(0.3%)</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0.3323</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0397" w:type="dxa"/>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注：带</w:t>
            </w:r>
            <w:r>
              <w:rPr>
                <w:rFonts w:ascii="Times New Roman" w:hAnsi="Times New Roman" w:cs="Times New Roman"/>
                <w:i/>
                <w:iCs/>
                <w:sz w:val="16"/>
                <w:szCs w:val="16"/>
              </w:rPr>
              <w:t>#</w:t>
            </w:r>
            <w:r>
              <w:rPr>
                <w:rFonts w:ascii="Times New Roman" w:hAnsi="Times New Roman" w:eastAsia="宋体" w:cs="Times New Roman"/>
                <w:i/>
                <w:iCs/>
                <w:sz w:val="16"/>
                <w:szCs w:val="16"/>
              </w:rPr>
              <w:t>号的</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t</w:t>
            </w:r>
            <w:r>
              <w:rPr>
                <w:rFonts w:ascii="Times New Roman" w:hAnsi="Times New Roman" w:eastAsia="宋体" w:cs="Times New Roman"/>
                <w:i/>
                <w:iCs/>
                <w:sz w:val="16"/>
                <w:szCs w:val="16"/>
              </w:rPr>
              <w:t>检验，带</w:t>
            </w:r>
            <w:r>
              <w:rPr>
                <w:rFonts w:ascii="Times New Roman" w:hAnsi="Times New Roman" w:cs="Times New Roman"/>
                <w:i/>
                <w:iCs/>
                <w:sz w:val="16"/>
                <w:szCs w:val="16"/>
              </w:rPr>
              <w:t>*</w:t>
            </w:r>
            <w:r>
              <w:rPr>
                <w:rFonts w:ascii="Times New Roman" w:hAnsi="Times New Roman" w:eastAsia="宋体" w:cs="Times New Roman"/>
                <w:i/>
                <w:iCs/>
                <w:sz w:val="16"/>
                <w:szCs w:val="16"/>
              </w:rPr>
              <w:t>号的</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spacing w:before="10" w:after="10"/>
        <w:rPr>
          <w:rFonts w:ascii="Times New Roman" w:hAnsi="Times New Roman" w:eastAsia="宋体" w:cs="Times New Roman"/>
          <w:i/>
          <w:iCs/>
          <w:sz w:val="16"/>
          <w:szCs w:val="16"/>
        </w:rPr>
      </w:pPr>
    </w:p>
    <w:p>
      <w:pPr>
        <w:adjustRightInd w:val="0"/>
        <w:spacing w:before="10" w:after="10"/>
        <w:rPr>
          <w:rFonts w:ascii="Times New Roman" w:hAnsi="Times New Roman" w:eastAsia="宋体" w:cs="Times New Roman"/>
          <w:i/>
          <w:iCs/>
          <w:sz w:val="16"/>
          <w:szCs w:val="16"/>
        </w:rPr>
      </w:pPr>
    </w:p>
    <w:p>
      <w:pPr>
        <w:spacing w:before="120" w:beforeLines="50" w:line="360" w:lineRule="auto"/>
        <w:ind w:firstLine="480" w:firstLineChars="200"/>
        <w:rPr>
          <w:rFonts w:ascii="Times New Roman" w:hAnsi="Times New Roman" w:eastAsia="宋体" w:cs="Times New Roman"/>
          <w:color w:val="auto"/>
          <w:sz w:val="24"/>
          <w:szCs w:val="20"/>
        </w:rPr>
      </w:pPr>
      <w:r>
        <w:rPr>
          <w:rFonts w:hint="eastAsia" w:ascii="Times New Roman" w:hAnsi="Times New Roman" w:eastAsia="宋体" w:cs="Times New Roman"/>
          <w:sz w:val="24"/>
        </w:rPr>
        <w:t>下</w:t>
      </w:r>
      <w:r>
        <w:rPr>
          <w:rFonts w:ascii="Times New Roman" w:hAnsi="Times New Roman" w:eastAsia="宋体" w:cs="Times New Roman"/>
          <w:sz w:val="24"/>
        </w:rPr>
        <w:t>表</w:t>
      </w:r>
      <w:r>
        <w:rPr>
          <w:rFonts w:hint="eastAsia" w:ascii="Times New Roman" w:hAnsi="Times New Roman" w:eastAsia="宋体" w:cs="Times New Roman"/>
          <w:sz w:val="24"/>
        </w:rPr>
        <w:t>1</w:t>
      </w:r>
      <w:r>
        <w:rPr>
          <w:rFonts w:ascii="Times New Roman" w:hAnsi="Times New Roman" w:eastAsia="宋体" w:cs="Times New Roman"/>
          <w:sz w:val="24"/>
        </w:rPr>
        <w:t>.</w:t>
      </w:r>
      <w:r>
        <w:rPr>
          <w:rFonts w:hint="eastAsia" w:ascii="Times New Roman" w:hAnsi="Times New Roman" w:eastAsia="宋体" w:cs="Times New Roman"/>
          <w:sz w:val="24"/>
        </w:rPr>
        <w:t>6</w:t>
      </w:r>
      <w:r>
        <w:rPr>
          <w:rFonts w:ascii="Times New Roman" w:hAnsi="Times New Roman" w:eastAsia="宋体" w:cs="Times New Roman"/>
          <w:sz w:val="24"/>
        </w:rPr>
        <w:t>描述了该人群在基线化疗期间的参芪扶正使用情况，具体如下。</w:t>
      </w: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w:t>
      </w:r>
      <w:r>
        <w:rPr>
          <w:rFonts w:hint="eastAsia" w:ascii="Times New Roman" w:hAnsi="Times New Roman" w:eastAsia="宋体" w:cs="Times New Roman"/>
          <w:b/>
          <w:bCs/>
          <w:sz w:val="22"/>
          <w:szCs w:val="22"/>
        </w:rPr>
        <w:t>1</w:t>
      </w:r>
      <w:r>
        <w:rPr>
          <w:rFonts w:ascii="Times New Roman" w:hAnsi="Times New Roman" w:eastAsia="宋体" w:cs="Times New Roman"/>
          <w:b/>
          <w:bCs/>
          <w:sz w:val="22"/>
          <w:szCs w:val="22"/>
        </w:rPr>
        <w:t>.</w:t>
      </w:r>
      <w:r>
        <w:rPr>
          <w:rFonts w:hint="eastAsia" w:ascii="Times New Roman" w:hAnsi="Times New Roman" w:eastAsia="宋体" w:cs="Times New Roman"/>
          <w:b/>
          <w:bCs/>
          <w:sz w:val="22"/>
          <w:szCs w:val="22"/>
        </w:rPr>
        <w:t>6</w:t>
      </w:r>
      <w:r>
        <w:rPr>
          <w:rFonts w:ascii="Times New Roman" w:hAnsi="Times New Roman" w:eastAsia="宋体" w:cs="Times New Roman"/>
          <w:b/>
          <w:bCs/>
          <w:sz w:val="22"/>
          <w:szCs w:val="22"/>
        </w:rPr>
        <w:t xml:space="preserve"> 基线化疗期间参芪扶正使用情况汇总</w:t>
      </w:r>
    </w:p>
    <w:tbl>
      <w:tblPr>
        <w:tblStyle w:val="22"/>
        <w:tblW w:w="0" w:type="auto"/>
        <w:jc w:val="center"/>
        <w:tblLayout w:type="fixed"/>
        <w:tblCellMar>
          <w:top w:w="0" w:type="dxa"/>
          <w:left w:w="0" w:type="dxa"/>
          <w:bottom w:w="0" w:type="dxa"/>
          <w:right w:w="0" w:type="dxa"/>
        </w:tblCellMar>
      </w:tblPr>
      <w:tblGrid>
        <w:gridCol w:w="5232"/>
        <w:gridCol w:w="5137"/>
      </w:tblGrid>
      <w:tr>
        <w:trPr>
          <w:cantSplit/>
          <w:tblHeader/>
          <w:jc w:val="center"/>
        </w:trPr>
        <w:tc>
          <w:tcPr>
            <w:tcW w:w="5232"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cs="Times New Roman"/>
                <w:b/>
                <w:bCs/>
              </w:rPr>
              <w:t>基线化疗期间参芪扶正使用情况</w:t>
            </w:r>
          </w:p>
        </w:tc>
        <w:tc>
          <w:tcPr>
            <w:tcW w:w="5137"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参芪扶正组</w:t>
            </w:r>
            <w:r>
              <w:rPr>
                <w:rFonts w:ascii="Times New Roman" w:hAnsi="Times New Roman" w:cs="Times New Roman"/>
                <w:b/>
                <w:bCs/>
              </w:rPr>
              <w:br w:type="textWrapping"/>
            </w:r>
            <w:r>
              <w:rPr>
                <w:rFonts w:ascii="Times New Roman" w:hAnsi="Times New Roman" w:cs="Times New Roman"/>
                <w:b/>
                <w:bCs/>
              </w:rPr>
              <w:t>(N=572)</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使用参芪扶正的化疗周期数</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572(0)</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284 (49.7%)</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170 (29.7%)</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56 (9.8%)</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43 (7.5%)</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5</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 (1.7%)</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6</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(1.0%)</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w:t>
            </w:r>
            <w:r>
              <w:rPr>
                <w:rFonts w:ascii="Times New Roman" w:hAnsi="Times New Roman" w:cs="Times New Roman"/>
                <w:sz w:val="18"/>
                <w:szCs w:val="18"/>
              </w:rPr>
              <w:t>6</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(0.5%)</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基线化疗期间参芪扶正最大连续使用天数</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572(0)</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≤5</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113 (19.8%)</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(5,10]</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346 (60.5%)</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(10,15]</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88 (15.4%)</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(15,20]</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 (2.6%)</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w:t>
            </w:r>
            <w:r>
              <w:rPr>
                <w:rFonts w:ascii="Times New Roman" w:hAnsi="Times New Roman" w:cs="Times New Roman"/>
                <w:sz w:val="18"/>
                <w:szCs w:val="18"/>
              </w:rPr>
              <w:t>20</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 (1.7%)</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基线化疗期间参芪扶正累计使用天数</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572(0)</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≤5</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27 (4.7%)</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(5,10]</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157 (27.4%)</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(10,15]</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120 (21.0%)</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(15,20]</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101 (17.7%)</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(20,25]</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71 (12.4%)</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(25,30]</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37 (6.5%)</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(30,35]</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 (4.2%)</w:t>
            </w:r>
          </w:p>
        </w:tc>
      </w:tr>
      <w:tr>
        <w:tblPrEx>
          <w:tblCellMar>
            <w:top w:w="0" w:type="dxa"/>
            <w:left w:w="0" w:type="dxa"/>
            <w:bottom w:w="0" w:type="dxa"/>
            <w:right w:w="0" w:type="dxa"/>
          </w:tblCellMar>
        </w:tblPrEx>
        <w:trPr>
          <w:cantSplit/>
          <w:jc w:val="center"/>
        </w:trPr>
        <w:tc>
          <w:tcPr>
            <w:tcW w:w="5232" w:type="dxa"/>
            <w:tcBorders>
              <w:top w:val="nil"/>
              <w:left w:val="nil"/>
              <w:bottom w:val="double" w:color="000000" w:sz="4" w:space="0"/>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w:t>
            </w:r>
            <w:r>
              <w:rPr>
                <w:rFonts w:ascii="Times New Roman" w:hAnsi="Times New Roman" w:cs="Times New Roman"/>
                <w:sz w:val="18"/>
                <w:szCs w:val="18"/>
              </w:rPr>
              <w:t>35</w:t>
            </w:r>
          </w:p>
        </w:tc>
        <w:tc>
          <w:tcPr>
            <w:tcW w:w="5137" w:type="dxa"/>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35 (6.1%)</w:t>
            </w:r>
          </w:p>
        </w:tc>
      </w:tr>
    </w:tbl>
    <w:p>
      <w:pPr>
        <w:spacing w:line="360" w:lineRule="auto"/>
        <w:ind w:firstLine="480" w:firstLineChars="200"/>
        <w:rPr>
          <w:rFonts w:ascii="宋体" w:hAnsi="宋体" w:eastAsia="宋体" w:cs="宋体"/>
          <w:kern w:val="0"/>
          <w:sz w:val="24"/>
        </w:rPr>
      </w:pPr>
    </w:p>
    <w:p>
      <w:pPr>
        <w:spacing w:line="360" w:lineRule="auto"/>
        <w:ind w:firstLine="482" w:firstLineChars="200"/>
        <w:rPr>
          <w:rFonts w:ascii="Times New Roman" w:hAnsi="Times New Roman" w:eastAsia="宋体" w:cs="Times New Roman"/>
          <w:b/>
          <w:sz w:val="24"/>
          <w:szCs w:val="24"/>
        </w:rPr>
      </w:pPr>
      <w:r>
        <w:rPr>
          <w:rFonts w:hint="eastAsia" w:ascii="宋体" w:hAnsi="宋体" w:eastAsia="宋体" w:cs="宋体"/>
          <w:b/>
          <w:kern w:val="0"/>
          <w:sz w:val="24"/>
        </w:rPr>
        <w:t>其中，以上人群中疗效评价结果非缺失的患者有：参芪扶正组</w:t>
      </w:r>
      <w:r>
        <w:rPr>
          <w:rFonts w:hint="eastAsia" w:ascii="Times New Roman" w:hAnsi="Times New Roman" w:cs="Times New Roman" w:eastAsiaTheme="minorEastAsia"/>
          <w:b/>
          <w:kern w:val="0"/>
          <w:sz w:val="24"/>
        </w:rPr>
        <w:t>399</w:t>
      </w:r>
      <w:r>
        <w:rPr>
          <w:rFonts w:hint="eastAsia" w:ascii="宋体" w:hAnsi="宋体" w:eastAsia="宋体" w:cs="宋体"/>
          <w:b/>
          <w:kern w:val="0"/>
          <w:sz w:val="24"/>
        </w:rPr>
        <w:t>人，对照组</w:t>
      </w:r>
      <w:r>
        <w:rPr>
          <w:rFonts w:hint="eastAsia" w:ascii="Times New Roman" w:hAnsi="Times New Roman" w:cs="Times New Roman" w:eastAsiaTheme="minorEastAsia"/>
          <w:b/>
          <w:kern w:val="0"/>
          <w:sz w:val="24"/>
        </w:rPr>
        <w:t>729</w:t>
      </w:r>
      <w:r>
        <w:rPr>
          <w:rFonts w:hint="eastAsia" w:ascii="宋体" w:hAnsi="宋体" w:eastAsia="宋体" w:cs="宋体"/>
          <w:b/>
          <w:kern w:val="0"/>
          <w:sz w:val="24"/>
        </w:rPr>
        <w:t>人。以下分析结果将主要对该人群进行分析，因考虑到可能的潜在的混杂因素对分析结果的影响，将分别采用倾向性评分匹配法和多因素回归调整法进行分析，具体分析结果如下。</w:t>
      </w:r>
    </w:p>
    <w:p>
      <w:pPr>
        <w:pStyle w:val="2"/>
        <w:spacing w:before="240" w:after="120" w:line="360" w:lineRule="auto"/>
        <w:rPr>
          <w:rFonts w:ascii="Times New Roman" w:hAnsi="Times New Roman" w:eastAsia="宋体" w:cs="Times New Roman"/>
          <w:sz w:val="36"/>
        </w:rPr>
      </w:pPr>
      <w:bookmarkStart w:id="6" w:name="_Toc33465499"/>
      <w:r>
        <w:rPr>
          <w:rFonts w:ascii="Times New Roman" w:hAnsi="Times New Roman" w:eastAsia="宋体" w:cs="Times New Roman"/>
          <w:sz w:val="36"/>
        </w:rPr>
        <w:t>基本信息</w:t>
      </w:r>
      <w:bookmarkEnd w:id="6"/>
    </w:p>
    <w:p>
      <w:pPr>
        <w:pStyle w:val="3"/>
        <w:rPr>
          <w:rFonts w:ascii="Times New Roman" w:hAnsi="Times New Roman" w:eastAsia="宋体" w:cs="Times New Roman"/>
          <w:sz w:val="28"/>
        </w:rPr>
      </w:pPr>
      <w:bookmarkStart w:id="7" w:name="_Toc33465500"/>
      <w:r>
        <w:rPr>
          <w:rFonts w:ascii="Times New Roman" w:hAnsi="Times New Roman" w:eastAsia="宋体" w:cs="Times New Roman"/>
          <w:sz w:val="28"/>
        </w:rPr>
        <w:t>患者基本信息</w:t>
      </w:r>
      <w:bookmarkEnd w:id="7"/>
    </w:p>
    <w:p>
      <w:pPr>
        <w:spacing w:line="360" w:lineRule="auto"/>
        <w:ind w:firstLine="480" w:firstLineChars="200"/>
        <w:rPr>
          <w:rFonts w:ascii="Times New Roman" w:hAnsi="Times New Roman" w:eastAsia="宋体" w:cs="Times New Roman"/>
          <w:color w:val="auto"/>
          <w:sz w:val="24"/>
          <w:szCs w:val="20"/>
        </w:rPr>
      </w:pPr>
      <w:r>
        <w:rPr>
          <w:rFonts w:hint="eastAsia" w:ascii="Times New Roman" w:hAnsi="Times New Roman" w:eastAsia="宋体" w:cs="Times New Roman"/>
          <w:sz w:val="24"/>
        </w:rPr>
        <w:t>疗效评价结果非缺失的</w:t>
      </w:r>
      <w:r>
        <w:rPr>
          <w:rFonts w:ascii="Times New Roman" w:hAnsi="Times New Roman" w:eastAsia="宋体" w:cs="Times New Roman"/>
          <w:sz w:val="24"/>
        </w:rPr>
        <w:t>两组患者基本信息描述详见下表2.1.1~2.1.3。</w:t>
      </w: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表2.</w:t>
      </w:r>
      <w:r>
        <w:rPr>
          <w:rFonts w:hint="eastAsia" w:ascii="Times New Roman" w:hAnsi="Times New Roman" w:eastAsia="宋体" w:cs="Times New Roman"/>
          <w:b/>
          <w:bCs/>
          <w:sz w:val="22"/>
          <w:szCs w:val="22"/>
        </w:rPr>
        <w:t>1.</w:t>
      </w:r>
      <w:r>
        <w:rPr>
          <w:rFonts w:ascii="Times New Roman" w:hAnsi="Times New Roman" w:eastAsia="宋体" w:cs="Times New Roman"/>
          <w:b/>
          <w:bCs/>
          <w:sz w:val="22"/>
          <w:szCs w:val="22"/>
        </w:rPr>
        <w:t>1 医院信息描述</w:t>
      </w:r>
    </w:p>
    <w:tbl>
      <w:tblPr>
        <w:tblStyle w:val="22"/>
        <w:tblW w:w="0" w:type="auto"/>
        <w:jc w:val="center"/>
        <w:tblLayout w:type="fixed"/>
        <w:tblCellMar>
          <w:top w:w="0" w:type="dxa"/>
          <w:left w:w="0" w:type="dxa"/>
          <w:bottom w:w="0" w:type="dxa"/>
          <w:right w:w="0" w:type="dxa"/>
        </w:tblCellMar>
      </w:tblPr>
      <w:tblGrid>
        <w:gridCol w:w="3139"/>
        <w:gridCol w:w="1893"/>
        <w:gridCol w:w="1893"/>
        <w:gridCol w:w="1893"/>
        <w:gridCol w:w="1579"/>
      </w:tblGrid>
      <w:tr>
        <w:tblPrEx>
          <w:tblCellMar>
            <w:top w:w="0" w:type="dxa"/>
            <w:left w:w="0" w:type="dxa"/>
            <w:bottom w:w="0" w:type="dxa"/>
            <w:right w:w="0" w:type="dxa"/>
          </w:tblCellMar>
        </w:tblPrEx>
        <w:trPr>
          <w:cantSplit/>
          <w:tblHeader/>
          <w:jc w:val="center"/>
        </w:trPr>
        <w:tc>
          <w:tcPr>
            <w:tcW w:w="3139"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cs="Times New Roman"/>
                <w:b/>
                <w:bCs/>
              </w:rPr>
              <w:t>医院情况</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对照组</w:t>
            </w:r>
            <w:r>
              <w:rPr>
                <w:rFonts w:ascii="Times New Roman" w:hAnsi="Times New Roman" w:cs="Times New Roman"/>
                <w:b/>
                <w:bCs/>
              </w:rPr>
              <w:br w:type="textWrapping"/>
            </w:r>
            <w:r>
              <w:rPr>
                <w:rFonts w:ascii="Times New Roman" w:hAnsi="Times New Roman" w:cs="Times New Roman"/>
                <w:b/>
                <w:bCs/>
              </w:rPr>
              <w:t>(N=729)</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合计</w:t>
            </w:r>
            <w:r>
              <w:rPr>
                <w:rFonts w:ascii="Times New Roman" w:hAnsi="Times New Roman" w:cs="Times New Roman"/>
                <w:b/>
                <w:bCs/>
              </w:rPr>
              <w:br w:type="textWrapping"/>
            </w:r>
            <w:r>
              <w:rPr>
                <w:rFonts w:ascii="Times New Roman" w:hAnsi="Times New Roman" w:cs="Times New Roman"/>
                <w:b/>
                <w:bCs/>
              </w:rPr>
              <w:t>(N=1128)</w:t>
            </w:r>
          </w:p>
        </w:tc>
        <w:tc>
          <w:tcPr>
            <w:tcW w:w="1579"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i/>
                <w:iCs/>
              </w:rPr>
              <w:t>P</w:t>
            </w:r>
            <w:r>
              <w:rPr>
                <w:rFonts w:ascii="Times New Roman" w:hAnsi="Times New Roman" w:cs="Times New Roman"/>
                <w:b/>
                <w:bCs/>
              </w:rPr>
              <w:t>值</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医院级别</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0.8436</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729(0)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1128(0)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二级</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 (1.9%)</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 (1.9%)</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三级</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392 (98.2%)</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715 (98.1%)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1107 (98.1%)</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医院类型</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0.0201</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729(0)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1128(0)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专科医院</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94 (23.6%)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219 (30.0%)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313 (27.7%)</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综合医院</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305 (76.4%)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510 (70.0%)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815 (72.3%)</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0397" w:type="dxa"/>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注：带</w:t>
            </w:r>
            <w:r>
              <w:rPr>
                <w:rFonts w:ascii="Times New Roman" w:hAnsi="Times New Roman" w:cs="Times New Roman"/>
                <w:i/>
                <w:iCs/>
                <w:sz w:val="16"/>
                <w:szCs w:val="16"/>
              </w:rPr>
              <w:t>#</w:t>
            </w:r>
            <w:r>
              <w:rPr>
                <w:rFonts w:ascii="Times New Roman" w:hAnsi="Times New Roman" w:eastAsia="宋体" w:cs="Times New Roman"/>
                <w:i/>
                <w:iCs/>
                <w:sz w:val="16"/>
                <w:szCs w:val="16"/>
              </w:rPr>
              <w:t>号的</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t</w:t>
            </w:r>
            <w:r>
              <w:rPr>
                <w:rFonts w:ascii="Times New Roman" w:hAnsi="Times New Roman" w:eastAsia="宋体" w:cs="Times New Roman"/>
                <w:i/>
                <w:iCs/>
                <w:sz w:val="16"/>
                <w:szCs w:val="16"/>
              </w:rPr>
              <w:t>检验，带</w:t>
            </w:r>
            <w:r>
              <w:rPr>
                <w:rFonts w:ascii="Times New Roman" w:hAnsi="Times New Roman" w:cs="Times New Roman"/>
                <w:i/>
                <w:iCs/>
                <w:sz w:val="16"/>
                <w:szCs w:val="16"/>
              </w:rPr>
              <w:t>*</w:t>
            </w:r>
            <w:r>
              <w:rPr>
                <w:rFonts w:ascii="Times New Roman" w:hAnsi="Times New Roman" w:eastAsia="宋体" w:cs="Times New Roman"/>
                <w:i/>
                <w:iCs/>
                <w:sz w:val="16"/>
                <w:szCs w:val="16"/>
              </w:rPr>
              <w:t>号的</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spacing w:before="10" w:after="120"/>
        <w:rPr>
          <w:rFonts w:ascii="Times New Roman" w:hAnsi="Times New Roman" w:eastAsia="宋体" w:cs="Times New Roman"/>
          <w:i/>
          <w:iCs/>
          <w:sz w:val="16"/>
          <w:szCs w:val="16"/>
        </w:rPr>
      </w:pP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表2.1.2 患者入组时间描述</w:t>
      </w:r>
    </w:p>
    <w:tbl>
      <w:tblPr>
        <w:tblStyle w:val="22"/>
        <w:tblW w:w="0" w:type="auto"/>
        <w:jc w:val="center"/>
        <w:tblLayout w:type="fixed"/>
        <w:tblCellMar>
          <w:top w:w="0" w:type="dxa"/>
          <w:left w:w="0" w:type="dxa"/>
          <w:bottom w:w="0" w:type="dxa"/>
          <w:right w:w="0" w:type="dxa"/>
        </w:tblCellMar>
      </w:tblPr>
      <w:tblGrid>
        <w:gridCol w:w="3139"/>
        <w:gridCol w:w="1893"/>
        <w:gridCol w:w="1893"/>
        <w:gridCol w:w="1893"/>
        <w:gridCol w:w="1579"/>
      </w:tblGrid>
      <w:tr>
        <w:tblPrEx>
          <w:tblCellMar>
            <w:top w:w="0" w:type="dxa"/>
            <w:left w:w="0" w:type="dxa"/>
            <w:bottom w:w="0" w:type="dxa"/>
            <w:right w:w="0" w:type="dxa"/>
          </w:tblCellMar>
        </w:tblPrEx>
        <w:trPr>
          <w:cantSplit/>
          <w:tblHeader/>
          <w:jc w:val="center"/>
        </w:trPr>
        <w:tc>
          <w:tcPr>
            <w:tcW w:w="3139"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cs="Times New Roman"/>
                <w:b/>
                <w:bCs/>
              </w:rPr>
              <w:t>患者入组时间</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对照组</w:t>
            </w:r>
            <w:r>
              <w:rPr>
                <w:rFonts w:ascii="Times New Roman" w:hAnsi="Times New Roman" w:cs="Times New Roman"/>
                <w:b/>
                <w:bCs/>
              </w:rPr>
              <w:br w:type="textWrapping"/>
            </w:r>
            <w:r>
              <w:rPr>
                <w:rFonts w:ascii="Times New Roman" w:hAnsi="Times New Roman" w:cs="Times New Roman"/>
                <w:b/>
                <w:bCs/>
              </w:rPr>
              <w:t>(N=729)</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合计</w:t>
            </w:r>
            <w:r>
              <w:rPr>
                <w:rFonts w:ascii="Times New Roman" w:hAnsi="Times New Roman" w:cs="Times New Roman"/>
                <w:b/>
                <w:bCs/>
              </w:rPr>
              <w:br w:type="textWrapping"/>
            </w:r>
            <w:r>
              <w:rPr>
                <w:rFonts w:ascii="Times New Roman" w:hAnsi="Times New Roman" w:cs="Times New Roman"/>
                <w:b/>
                <w:bCs/>
              </w:rPr>
              <w:t>(N=1128)</w:t>
            </w:r>
          </w:p>
        </w:tc>
        <w:tc>
          <w:tcPr>
            <w:tcW w:w="1579"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i/>
                <w:iCs/>
              </w:rPr>
              <w:t>P</w:t>
            </w:r>
            <w:r>
              <w:rPr>
                <w:rFonts w:ascii="Times New Roman" w:hAnsi="Times New Roman" w:cs="Times New Roman"/>
                <w:b/>
                <w:bCs/>
              </w:rPr>
              <w:t>值</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入组年份</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0.0058</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729(0)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1128(0)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2012</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33 (4.5%)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37 (3.3%)</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 (4.0%)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(4.1%)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46 (4.1%)</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2014</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 (6.5%)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47 (6.4%)</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73 (6.5%)</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35 (8.8%)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80 (11.0%)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115 (10.2%)</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92 (23.1%)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145 (19.9%)</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237 (21.0%)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177 (44.4%)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274 (37.6%)</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451 (40.0%)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49 (12.3%)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120 (16.5%)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169 (15.0%)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0397" w:type="dxa"/>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注：带</w:t>
            </w:r>
            <w:r>
              <w:rPr>
                <w:rFonts w:ascii="Times New Roman" w:hAnsi="Times New Roman" w:cs="Times New Roman"/>
                <w:i/>
                <w:iCs/>
                <w:sz w:val="16"/>
                <w:szCs w:val="16"/>
              </w:rPr>
              <w:t>#</w:t>
            </w:r>
            <w:r>
              <w:rPr>
                <w:rFonts w:ascii="Times New Roman" w:hAnsi="Times New Roman" w:eastAsia="宋体" w:cs="Times New Roman"/>
                <w:i/>
                <w:iCs/>
                <w:sz w:val="16"/>
                <w:szCs w:val="16"/>
              </w:rPr>
              <w:t>号的</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t</w:t>
            </w:r>
            <w:r>
              <w:rPr>
                <w:rFonts w:ascii="Times New Roman" w:hAnsi="Times New Roman" w:eastAsia="宋体" w:cs="Times New Roman"/>
                <w:i/>
                <w:iCs/>
                <w:sz w:val="16"/>
                <w:szCs w:val="16"/>
              </w:rPr>
              <w:t>检验，带</w:t>
            </w:r>
            <w:r>
              <w:rPr>
                <w:rFonts w:ascii="Times New Roman" w:hAnsi="Times New Roman" w:cs="Times New Roman"/>
                <w:i/>
                <w:iCs/>
                <w:sz w:val="16"/>
                <w:szCs w:val="16"/>
              </w:rPr>
              <w:t>*</w:t>
            </w:r>
            <w:r>
              <w:rPr>
                <w:rFonts w:ascii="Times New Roman" w:hAnsi="Times New Roman" w:eastAsia="宋体" w:cs="Times New Roman"/>
                <w:i/>
                <w:iCs/>
                <w:sz w:val="16"/>
                <w:szCs w:val="16"/>
              </w:rPr>
              <w:t>号的</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spacing w:before="10" w:after="120"/>
        <w:rPr>
          <w:rFonts w:ascii="Times New Roman" w:hAnsi="Times New Roman" w:eastAsia="宋体" w:cs="Times New Roman"/>
          <w:i/>
          <w:iCs/>
          <w:sz w:val="16"/>
          <w:szCs w:val="16"/>
        </w:rPr>
      </w:pP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表2.1.3 患者基本信息描述</w:t>
      </w:r>
    </w:p>
    <w:tbl>
      <w:tblPr>
        <w:tblStyle w:val="22"/>
        <w:tblW w:w="0" w:type="auto"/>
        <w:jc w:val="center"/>
        <w:tblLayout w:type="fixed"/>
        <w:tblCellMar>
          <w:top w:w="0" w:type="dxa"/>
          <w:left w:w="0" w:type="dxa"/>
          <w:bottom w:w="0" w:type="dxa"/>
          <w:right w:w="0" w:type="dxa"/>
        </w:tblCellMar>
      </w:tblPr>
      <w:tblGrid>
        <w:gridCol w:w="3139"/>
        <w:gridCol w:w="1893"/>
        <w:gridCol w:w="1893"/>
        <w:gridCol w:w="1893"/>
        <w:gridCol w:w="1579"/>
      </w:tblGrid>
      <w:tr>
        <w:tblPrEx>
          <w:tblCellMar>
            <w:top w:w="0" w:type="dxa"/>
            <w:left w:w="0" w:type="dxa"/>
            <w:bottom w:w="0" w:type="dxa"/>
            <w:right w:w="0" w:type="dxa"/>
          </w:tblCellMar>
        </w:tblPrEx>
        <w:trPr>
          <w:cantSplit/>
          <w:tblHeader/>
          <w:jc w:val="center"/>
        </w:trPr>
        <w:tc>
          <w:tcPr>
            <w:tcW w:w="3139"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cs="Times New Roman"/>
                <w:b/>
                <w:bCs/>
              </w:rPr>
              <w:t>变量特征</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对照组</w:t>
            </w:r>
            <w:r>
              <w:rPr>
                <w:rFonts w:ascii="Times New Roman" w:hAnsi="Times New Roman" w:cs="Times New Roman"/>
                <w:b/>
                <w:bCs/>
              </w:rPr>
              <w:br w:type="textWrapping"/>
            </w:r>
            <w:r>
              <w:rPr>
                <w:rFonts w:ascii="Times New Roman" w:hAnsi="Times New Roman" w:cs="Times New Roman"/>
                <w:b/>
                <w:bCs/>
              </w:rPr>
              <w:t>(N=729)</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合计</w:t>
            </w:r>
            <w:r>
              <w:rPr>
                <w:rFonts w:ascii="Times New Roman" w:hAnsi="Times New Roman" w:cs="Times New Roman"/>
                <w:b/>
                <w:bCs/>
              </w:rPr>
              <w:br w:type="textWrapping"/>
            </w:r>
            <w:r>
              <w:rPr>
                <w:rFonts w:ascii="Times New Roman" w:hAnsi="Times New Roman" w:cs="Times New Roman"/>
                <w:b/>
                <w:bCs/>
              </w:rPr>
              <w:t>(N=1128)</w:t>
            </w:r>
          </w:p>
        </w:tc>
        <w:tc>
          <w:tcPr>
            <w:tcW w:w="1579"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i/>
                <w:iCs/>
              </w:rPr>
              <w:t>P</w:t>
            </w:r>
            <w:r>
              <w:rPr>
                <w:rFonts w:ascii="Times New Roman" w:hAnsi="Times New Roman" w:cs="Times New Roman"/>
                <w:b/>
                <w:bCs/>
              </w:rPr>
              <w:t>值</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性别</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0.4773</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728(1)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1127(1)</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女</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117 (29.3%)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199 (27.3%)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316 (28.0%)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男</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282 (70.7%)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529 (72.7%)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811 (72.0%)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年龄</w:t>
            </w:r>
            <w:r>
              <w:rPr>
                <w:rFonts w:ascii="Times New Roman" w:hAnsi="Times New Roman" w:cs="Times New Roman"/>
                <w:b/>
                <w:bCs/>
                <w:sz w:val="18"/>
                <w:szCs w:val="18"/>
              </w:rPr>
              <w:t>(</w:t>
            </w:r>
            <w:r>
              <w:rPr>
                <w:rFonts w:ascii="Times New Roman" w:hAnsi="Times New Roman" w:eastAsia="宋体" w:cs="Times New Roman"/>
                <w:b/>
                <w:bCs/>
                <w:sz w:val="18"/>
                <w:szCs w:val="18"/>
              </w:rPr>
              <w:t>岁</w:t>
            </w:r>
            <w:r>
              <w:rPr>
                <w:rFonts w:ascii="Times New Roman" w:hAnsi="Times New Roman" w:cs="Times New Roman"/>
                <w:b/>
                <w:bCs/>
                <w:sz w:val="18"/>
                <w:szCs w:val="18"/>
              </w:rPr>
              <w:t>)</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0.4917</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 (0)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728 (1)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1127 (1)</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均数（标准差）</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58.4 (9.18)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58.1 (9.05)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58.2 (9.09)</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中位数（</w:t>
            </w:r>
            <w:r>
              <w:rPr>
                <w:rFonts w:ascii="Times New Roman" w:hAnsi="Times New Roman" w:cs="Times New Roman"/>
                <w:sz w:val="18"/>
                <w:szCs w:val="18"/>
              </w:rPr>
              <w:t>Q1-Q3</w:t>
            </w:r>
            <w:r>
              <w:rPr>
                <w:rFonts w:ascii="Times New Roman" w:hAnsi="Times New Roman" w:eastAsia="宋体" w:cs="Times New Roman"/>
                <w:sz w:val="18"/>
                <w:szCs w:val="18"/>
              </w:rPr>
              <w:t>）</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59.0 (53.0-65.0)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59.0 (52.0-65.0)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59.0 (52.0-65.0)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最小值</w:t>
            </w:r>
            <w:r>
              <w:rPr>
                <w:rFonts w:ascii="Times New Roman" w:hAnsi="Times New Roman" w:cs="Times New Roman"/>
                <w:sz w:val="18"/>
                <w:szCs w:val="18"/>
              </w:rPr>
              <w:t>-</w:t>
            </w:r>
            <w:r>
              <w:rPr>
                <w:rFonts w:ascii="Times New Roman" w:hAnsi="Times New Roman" w:eastAsia="宋体" w:cs="Times New Roman"/>
                <w:sz w:val="18"/>
                <w:szCs w:val="18"/>
              </w:rPr>
              <w:t>最大值</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25-80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24-80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24-80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年龄分组</w:t>
            </w:r>
            <w:r>
              <w:rPr>
                <w:rFonts w:ascii="Times New Roman" w:hAnsi="Times New Roman" w:cs="Times New Roman"/>
                <w:b/>
                <w:bCs/>
                <w:sz w:val="18"/>
                <w:szCs w:val="18"/>
              </w:rPr>
              <w:t>(</w:t>
            </w:r>
            <w:r>
              <w:rPr>
                <w:rFonts w:ascii="Times New Roman" w:hAnsi="Times New Roman" w:eastAsia="宋体" w:cs="Times New Roman"/>
                <w:b/>
                <w:bCs/>
                <w:sz w:val="18"/>
                <w:szCs w:val="18"/>
              </w:rPr>
              <w:t>岁</w:t>
            </w:r>
            <w:r>
              <w:rPr>
                <w:rFonts w:ascii="Times New Roman" w:hAnsi="Times New Roman" w:cs="Times New Roman"/>
                <w:b/>
                <w:bCs/>
                <w:sz w:val="18"/>
                <w:szCs w:val="18"/>
              </w:rPr>
              <w:t>)</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0.3945</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728(1)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1127(1)</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w:t>
            </w:r>
            <w:r>
              <w:rPr>
                <w:rFonts w:ascii="Times New Roman" w:hAnsi="Times New Roman" w:cs="Times New Roman"/>
                <w:sz w:val="18"/>
                <w:szCs w:val="18"/>
              </w:rPr>
              <w:t>50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61 (15.3%)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136 (18.7%)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197 (17.5%)</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[50,55)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70 (17.5%)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119 (16.3%)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189 (16.8%)</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[55,60)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71 (17.8%)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113 (15.5%)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184 (16.3%)</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[60,65)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85 (21.3%)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174 (23.9%)</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259 (23.0%)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[65,70)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70 (17.5%)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127 (17.4%)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197 (17.5%)</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≥70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42 (10.5%)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59 (8.1%)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101 (9.0%)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病理分期</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0.0793</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729(0)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1128(0)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IIIB</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56 (14.0%)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132 (18.1%)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188 (16.7%)</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IV</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343 (86.0%)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597 (81.9%)</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940 (83.3%)</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病理类型</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鳞癌</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127 (31.8%)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219 (30.0%)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346 (30.7%)</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0.5334</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腺癌</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248 (62.2%)</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454 (62.3%)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702 (62.2%)</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0.9678</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腺鳞癌</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 (2.5%)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 (1.9%)</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0.0413</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大细胞癌</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(0.5%)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(0.4%)</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0.6615</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远处转移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肝转移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 (6.0%)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42 (5.8%)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66 (5.9%)</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0.8622</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肾及肾上腺转移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 (4.8%)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 (3.3%)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43 (3.8%)</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0.2178</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骨转移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89 (22.3%)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172 (23.6%)</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261 (23.1%)</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0.6238</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胸膜转移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(8.5%)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66 (9.1%)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 (8.9%)</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0.7637</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对侧肺转移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65 (16.3%)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113 (15.5%)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178 (15.8%)</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0.7278</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其它转移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28 (7.0%)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50 (6.9%)</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78 (6.9%)</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0.9199</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根治术情况</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0.4952</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729(0)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1128(0)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无根治术史</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354 (88.7%)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647 (88.8%)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1001 (88.7%)</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有根治术史</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 (4.8%)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 (3.6%)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45 (4.0%)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现行根治术</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 (6.5%)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56 (7.7%)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82 (7.3%)</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晚期首次化疗方案</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0.0144</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729(0)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1128(0)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多西他赛</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98 (24.6%)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131 (18.0%)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229 (20.3%)</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吉西他滨</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97 (24.3%)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157 (21.5%)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254 (22.5%)</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培美曲塞</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147 (36.8%)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310 (42.5%)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457 (40.5%)</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其它</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57 (14.3%)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131 (18.0%)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188 (16.7%)</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晚期首次化疗具体铂类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&lt;.0001</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729(0)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1128(0)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卡铂</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96 (24.1%)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32 (4.4%)</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128 (11.3%)</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奈达铂</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83 (20.8%)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235 (32.2%)</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318 (28.2%)</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其他</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 (5.0%)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 (2.2%)</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36 (3.2%)</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顺铂</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200 (50.1%)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446 (61.2%)</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646 (57.3%)</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晚期首次化疗方案周期数分组</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&lt;.0001</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729(0)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1128(0)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45 (11.3%)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61 (8.4%)</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106 (9.4%)</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107 (26.8%)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86 (11.8%)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193 (17.1%)</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68 (17.0%)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175 (24.0%)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243 (21.5%)</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80 (20.1%)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185 (25.4%)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265 (23.5%)</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40 (10.0%)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112 (15.4%)</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152 (13.5%)</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6</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45 (11.3%)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96 (13.2%)</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141 (12.5%)</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w:t>
            </w:r>
            <w:r>
              <w:rPr>
                <w:rFonts w:ascii="Times New Roman" w:hAnsi="Times New Roman" w:cs="Times New Roman"/>
                <w:sz w:val="18"/>
                <w:szCs w:val="18"/>
              </w:rPr>
              <w:t>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 (3.5%)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 (1.9%)</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28 (2.5%)</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晚期首次化疗方案周期数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0.0007</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 (0)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729 (0)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1128 (0)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均数（标准差）</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(1.77)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3.8 (1.53)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3.6 (1.63)</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中位数（</w:t>
            </w:r>
            <w:r>
              <w:rPr>
                <w:rFonts w:ascii="Times New Roman" w:hAnsi="Times New Roman" w:cs="Times New Roman"/>
                <w:sz w:val="18"/>
                <w:szCs w:val="18"/>
              </w:rPr>
              <w:t>Q1-Q3</w:t>
            </w:r>
            <w:r>
              <w:rPr>
                <w:rFonts w:ascii="Times New Roman" w:hAnsi="Times New Roman" w:eastAsia="宋体" w:cs="Times New Roman"/>
                <w:sz w:val="18"/>
                <w:szCs w:val="18"/>
              </w:rPr>
              <w:t>）</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(2.0-4.0)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4.0 (3.0-5.0)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4.0 (2.0-5.0)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最小值</w:t>
            </w:r>
            <w:r>
              <w:rPr>
                <w:rFonts w:ascii="Times New Roman" w:hAnsi="Times New Roman" w:cs="Times New Roman"/>
                <w:sz w:val="18"/>
                <w:szCs w:val="18"/>
              </w:rPr>
              <w:t>-</w:t>
            </w:r>
            <w:r>
              <w:rPr>
                <w:rFonts w:ascii="Times New Roman" w:hAnsi="Times New Roman" w:eastAsia="宋体" w:cs="Times New Roman"/>
                <w:sz w:val="18"/>
                <w:szCs w:val="18"/>
              </w:rPr>
              <w:t>最大值</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1-15</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后续化疗</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231 (57.9%)</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397 (54.5%)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628 (55.7%)</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0.2666</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培美曲塞</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60 (15.0%)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83 (11.4%)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143 (12.7%)</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0.0780</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培美曲塞</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45 (11.3%)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98 (13.4%)</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143 (12.7%)</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0.2961</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多西他赛</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69 (17.3%)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117 (16.0%)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186 (16.5%)</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0.5904</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多西他赛</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(8.5%)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53 (7.3%)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87 (7.7%)</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0.4514</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吉西他滨</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43 (10.8%)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92 (12.6%)</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135 (12.0%)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0.3619</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吉西他滨</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 (5.0%)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27 (3.7%)</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47 (4.2%)</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0.2929</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紫杉醇</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22 (5.5%)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43 (5.9%)</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65 (5.8%)</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0.7909</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长春瑞滨</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(3.0%)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 (1.8%)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 (2.2%)</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0.1817</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其它</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74 (18.5%)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108 (14.8%)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182 (16.1%)</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0.1033</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后续靶向治疗</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129 (32.3%)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118 (16.2%)</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247 (21.9%)</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&lt;.0001</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贝伐珠单抗</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(7.5%)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35 (4.8%)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65 (5.8%)</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0.0611</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奥希替尼</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(1.3%)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(0.4%)</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0.0054</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安罗替尼</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(0.7%)</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0.2724</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重组人血管内皮抑制素</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37 (9.3%)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 (5.3%)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76 (6.7%)</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0.0120</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阿帕替尼</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 (4.5%)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 (1.9%)</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32 (2.8%)</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0.0122</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埃克替尼</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(3.0%)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(1.1%)</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&lt;.0001</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吉非替尼</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 (3.8%)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 (1.4%)</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&lt;.0001</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厄洛替尼</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(1.5%)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(0.5%)</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0.0019</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阿法替尼</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(0.8%)</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0.5050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后续生物免疫治疗</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44 (11.0%)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66 (9.1%)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110 (9.8%)</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0.2853</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派姆单抗</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(0.3%)</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0.5562</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重组人粒细胞刺激因子</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 (2.3%)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 (2.1%)</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0.5204</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免疫调节剂</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(0.5%)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(0.7%)</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0.4639</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CIK</w:t>
            </w:r>
            <w:r>
              <w:rPr>
                <w:rFonts w:ascii="Times New Roman" w:hAnsi="Times New Roman" w:eastAsia="宋体" w:cs="Times New Roman"/>
                <w:sz w:val="18"/>
                <w:szCs w:val="18"/>
              </w:rPr>
              <w:t>细胞</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(0.4%)</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(0.3%)</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0.5562</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纳武单抗</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(0.2%)</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0.5424</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0397" w:type="dxa"/>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注：带</w:t>
            </w:r>
            <w:r>
              <w:rPr>
                <w:rFonts w:ascii="Times New Roman" w:hAnsi="Times New Roman" w:cs="Times New Roman"/>
                <w:i/>
                <w:iCs/>
                <w:sz w:val="16"/>
                <w:szCs w:val="16"/>
              </w:rPr>
              <w:t>#</w:t>
            </w:r>
            <w:r>
              <w:rPr>
                <w:rFonts w:ascii="Times New Roman" w:hAnsi="Times New Roman" w:eastAsia="宋体" w:cs="Times New Roman"/>
                <w:i/>
                <w:iCs/>
                <w:sz w:val="16"/>
                <w:szCs w:val="16"/>
              </w:rPr>
              <w:t>号的</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t</w:t>
            </w:r>
            <w:r>
              <w:rPr>
                <w:rFonts w:ascii="Times New Roman" w:hAnsi="Times New Roman" w:eastAsia="宋体" w:cs="Times New Roman"/>
                <w:i/>
                <w:iCs/>
                <w:sz w:val="16"/>
                <w:szCs w:val="16"/>
              </w:rPr>
              <w:t>检验，带</w:t>
            </w:r>
            <w:r>
              <w:rPr>
                <w:rFonts w:ascii="Times New Roman" w:hAnsi="Times New Roman" w:cs="Times New Roman"/>
                <w:i/>
                <w:iCs/>
                <w:sz w:val="16"/>
                <w:szCs w:val="16"/>
              </w:rPr>
              <w:t>*</w:t>
            </w:r>
            <w:r>
              <w:rPr>
                <w:rFonts w:ascii="Times New Roman" w:hAnsi="Times New Roman" w:eastAsia="宋体" w:cs="Times New Roman"/>
                <w:i/>
                <w:iCs/>
                <w:sz w:val="16"/>
                <w:szCs w:val="16"/>
              </w:rPr>
              <w:t>号的</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spacing w:before="10" w:after="120"/>
        <w:rPr>
          <w:rFonts w:ascii="Times New Roman" w:hAnsi="Times New Roman" w:eastAsia="宋体" w:cs="Times New Roman"/>
          <w:i/>
          <w:iCs/>
          <w:sz w:val="16"/>
          <w:szCs w:val="16"/>
        </w:rPr>
      </w:pPr>
    </w:p>
    <w:p>
      <w:pPr>
        <w:pStyle w:val="3"/>
        <w:rPr>
          <w:rFonts w:ascii="Times New Roman" w:hAnsi="Times New Roman" w:eastAsia="宋体" w:cs="Times New Roman"/>
          <w:sz w:val="28"/>
        </w:rPr>
      </w:pPr>
      <w:bookmarkStart w:id="8" w:name="_Toc33465501"/>
      <w:r>
        <w:rPr>
          <w:rFonts w:ascii="Times New Roman" w:hAnsi="Times New Roman" w:eastAsia="宋体" w:cs="Times New Roman"/>
          <w:sz w:val="28"/>
        </w:rPr>
        <w:t>参芪扶正使用情况</w:t>
      </w:r>
      <w:bookmarkEnd w:id="8"/>
    </w:p>
    <w:p>
      <w:pPr>
        <w:spacing w:before="120" w:beforeLines="50" w:line="360" w:lineRule="auto"/>
        <w:ind w:firstLine="480" w:firstLineChars="200"/>
        <w:rPr>
          <w:rFonts w:ascii="Times New Roman" w:hAnsi="Times New Roman" w:eastAsia="宋体" w:cs="Times New Roman"/>
          <w:color w:val="auto"/>
          <w:sz w:val="24"/>
          <w:szCs w:val="20"/>
        </w:rPr>
      </w:pPr>
      <w:r>
        <w:rPr>
          <w:rFonts w:ascii="Times New Roman" w:hAnsi="Times New Roman" w:eastAsia="宋体" w:cs="Times New Roman"/>
          <w:sz w:val="24"/>
        </w:rPr>
        <w:t>表</w:t>
      </w:r>
      <w:r>
        <w:rPr>
          <w:rFonts w:hint="eastAsia" w:ascii="Times New Roman" w:hAnsi="Times New Roman" w:eastAsia="宋体" w:cs="Times New Roman"/>
          <w:sz w:val="24"/>
        </w:rPr>
        <w:t>2</w:t>
      </w:r>
      <w:r>
        <w:rPr>
          <w:rFonts w:ascii="Times New Roman" w:hAnsi="Times New Roman" w:eastAsia="宋体" w:cs="Times New Roman"/>
          <w:sz w:val="24"/>
        </w:rPr>
        <w:t>.</w:t>
      </w:r>
      <w:r>
        <w:rPr>
          <w:rFonts w:hint="eastAsia" w:ascii="Times New Roman" w:hAnsi="Times New Roman" w:eastAsia="宋体" w:cs="Times New Roman"/>
          <w:sz w:val="24"/>
        </w:rPr>
        <w:t>2</w:t>
      </w:r>
      <w:r>
        <w:rPr>
          <w:rFonts w:ascii="Times New Roman" w:hAnsi="Times New Roman" w:eastAsia="宋体" w:cs="Times New Roman"/>
          <w:sz w:val="24"/>
        </w:rPr>
        <w:t>描述了该人群在基线化疗期间的参芪扶正使用情况，具体如下。</w:t>
      </w: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w:t>
      </w:r>
      <w:r>
        <w:rPr>
          <w:rFonts w:hint="eastAsia" w:ascii="Times New Roman" w:hAnsi="Times New Roman" w:eastAsia="宋体" w:cs="Times New Roman"/>
          <w:b/>
          <w:bCs/>
          <w:sz w:val="22"/>
          <w:szCs w:val="22"/>
        </w:rPr>
        <w:t>2</w:t>
      </w:r>
      <w:r>
        <w:rPr>
          <w:rFonts w:ascii="Times New Roman" w:hAnsi="Times New Roman" w:eastAsia="宋体" w:cs="Times New Roman"/>
          <w:b/>
          <w:bCs/>
          <w:sz w:val="22"/>
          <w:szCs w:val="22"/>
        </w:rPr>
        <w:t>.</w:t>
      </w:r>
      <w:r>
        <w:rPr>
          <w:rFonts w:hint="eastAsia" w:ascii="Times New Roman" w:hAnsi="Times New Roman" w:eastAsia="宋体" w:cs="Times New Roman"/>
          <w:b/>
          <w:bCs/>
          <w:sz w:val="22"/>
          <w:szCs w:val="22"/>
        </w:rPr>
        <w:t>2</w:t>
      </w:r>
      <w:r>
        <w:rPr>
          <w:rFonts w:ascii="Times New Roman" w:hAnsi="Times New Roman" w:eastAsia="宋体" w:cs="Times New Roman"/>
          <w:b/>
          <w:bCs/>
          <w:sz w:val="22"/>
          <w:szCs w:val="22"/>
        </w:rPr>
        <w:t xml:space="preserve"> 基线化疗期间参芪扶正使用情况汇总</w:t>
      </w:r>
    </w:p>
    <w:tbl>
      <w:tblPr>
        <w:tblStyle w:val="22"/>
        <w:tblW w:w="0" w:type="auto"/>
        <w:jc w:val="center"/>
        <w:tblLayout w:type="fixed"/>
        <w:tblCellMar>
          <w:top w:w="0" w:type="dxa"/>
          <w:left w:w="0" w:type="dxa"/>
          <w:bottom w:w="0" w:type="dxa"/>
          <w:right w:w="0" w:type="dxa"/>
        </w:tblCellMar>
      </w:tblPr>
      <w:tblGrid>
        <w:gridCol w:w="5232"/>
        <w:gridCol w:w="5137"/>
      </w:tblGrid>
      <w:tr>
        <w:tblPrEx>
          <w:tblCellMar>
            <w:top w:w="0" w:type="dxa"/>
            <w:left w:w="0" w:type="dxa"/>
            <w:bottom w:w="0" w:type="dxa"/>
            <w:right w:w="0" w:type="dxa"/>
          </w:tblCellMar>
        </w:tblPrEx>
        <w:trPr>
          <w:cantSplit/>
          <w:tblHeader/>
          <w:jc w:val="center"/>
        </w:trPr>
        <w:tc>
          <w:tcPr>
            <w:tcW w:w="5232"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cs="Times New Roman"/>
                <w:b/>
                <w:bCs/>
              </w:rPr>
              <w:t>基线化疗期间参芪扶正使用情况</w:t>
            </w:r>
          </w:p>
        </w:tc>
        <w:tc>
          <w:tcPr>
            <w:tcW w:w="5137"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使用参芪扶正的化疗周期数</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190 (47.6%)</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121 (30.3%)</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42 (10.5%)</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31 (7.8%)</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5</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(2.0%)</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6</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w:t>
            </w:r>
            <w:r>
              <w:rPr>
                <w:rFonts w:ascii="Times New Roman" w:hAnsi="Times New Roman" w:cs="Times New Roman"/>
                <w:sz w:val="18"/>
                <w:szCs w:val="18"/>
              </w:rPr>
              <w:t>6</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基线化疗期间参芪扶正最大连续使用天数</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≤5</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70 (17.5%)</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(5,10]</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242 (60.7%)</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(10,15]</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69 (17.3%)</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(15,20]</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(2.0%)</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w:t>
            </w:r>
            <w:r>
              <w:rPr>
                <w:rFonts w:ascii="Times New Roman" w:hAnsi="Times New Roman" w:cs="Times New Roman"/>
                <w:sz w:val="18"/>
                <w:szCs w:val="18"/>
              </w:rPr>
              <w:t>20</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 (2.5%)</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基线化疗期间参芪扶正累计使用天数</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≤5</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 (4.5%)</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(5,10]</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101 (25.3%)</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(10,15]</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83 (20.8%)</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(15,20]</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67 (16.8%)</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(20,25]</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51 (12.8%)</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(25,30]</w:t>
            </w:r>
          </w:p>
        </w:tc>
        <w:tc>
          <w:tcPr>
            <w:tcW w:w="5137"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32 (8.0%)</w:t>
            </w:r>
          </w:p>
        </w:tc>
      </w:tr>
      <w:tr>
        <w:tblPrEx>
          <w:tblCellMar>
            <w:top w:w="0" w:type="dxa"/>
            <w:left w:w="0" w:type="dxa"/>
            <w:bottom w:w="0" w:type="dxa"/>
            <w:right w:w="0" w:type="dxa"/>
          </w:tblCellMar>
        </w:tblPrEx>
        <w:trPr>
          <w:cantSplit/>
          <w:jc w:val="center"/>
        </w:trPr>
        <w:tc>
          <w:tcPr>
            <w:tcW w:w="5232"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(30,35]</w:t>
            </w:r>
          </w:p>
        </w:tc>
        <w:tc>
          <w:tcPr>
            <w:tcW w:w="5137"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 (4.5%)</w:t>
            </w:r>
          </w:p>
        </w:tc>
      </w:tr>
      <w:tr>
        <w:tblPrEx>
          <w:tblCellMar>
            <w:top w:w="0" w:type="dxa"/>
            <w:left w:w="0" w:type="dxa"/>
            <w:bottom w:w="0" w:type="dxa"/>
            <w:right w:w="0" w:type="dxa"/>
          </w:tblCellMar>
        </w:tblPrEx>
        <w:trPr>
          <w:cantSplit/>
          <w:jc w:val="center"/>
        </w:trPr>
        <w:tc>
          <w:tcPr>
            <w:tcW w:w="5232" w:type="dxa"/>
            <w:tcBorders>
              <w:top w:val="nil"/>
              <w:left w:val="nil"/>
              <w:bottom w:val="double" w:color="000000" w:sz="4" w:space="0"/>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w:t>
            </w:r>
            <w:r>
              <w:rPr>
                <w:rFonts w:ascii="Times New Roman" w:hAnsi="Times New Roman" w:cs="Times New Roman"/>
                <w:sz w:val="18"/>
                <w:szCs w:val="18"/>
              </w:rPr>
              <w:t>35</w:t>
            </w:r>
          </w:p>
        </w:tc>
        <w:tc>
          <w:tcPr>
            <w:tcW w:w="5137" w:type="dxa"/>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29 (7.3%)</w:t>
            </w:r>
          </w:p>
        </w:tc>
      </w:tr>
    </w:tbl>
    <w:p>
      <w:pPr>
        <w:adjustRightInd w:val="0"/>
        <w:spacing w:before="10" w:after="10"/>
        <w:rPr>
          <w:rFonts w:ascii="Times New Roman" w:hAnsi="Times New Roman" w:eastAsia="宋体" w:cs="Times New Roman"/>
          <w:b/>
          <w:bCs/>
          <w:sz w:val="22"/>
          <w:szCs w:val="22"/>
        </w:rPr>
      </w:pPr>
    </w:p>
    <w:p>
      <w:pPr>
        <w:pStyle w:val="2"/>
        <w:spacing w:before="240" w:after="120" w:line="360" w:lineRule="auto"/>
        <w:rPr>
          <w:rFonts w:ascii="Times New Roman" w:hAnsi="Times New Roman" w:eastAsia="宋体" w:cs="Times New Roman"/>
          <w:sz w:val="36"/>
        </w:rPr>
      </w:pPr>
      <w:bookmarkStart w:id="9" w:name="_Toc33465502"/>
      <w:r>
        <w:rPr>
          <w:rFonts w:ascii="Times New Roman" w:hAnsi="Times New Roman" w:eastAsia="宋体" w:cs="Times New Roman"/>
          <w:sz w:val="36"/>
        </w:rPr>
        <w:t>有效性分析</w:t>
      </w:r>
      <w:bookmarkEnd w:id="9"/>
    </w:p>
    <w:p>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该部分将主要基于</w:t>
      </w:r>
      <w:r>
        <w:rPr>
          <w:rFonts w:hint="eastAsia" w:ascii="Times New Roman" w:hAnsi="Times New Roman" w:eastAsia="宋体" w:cs="Times New Roman"/>
          <w:sz w:val="24"/>
        </w:rPr>
        <w:t>以上</w:t>
      </w:r>
      <w:r>
        <w:rPr>
          <w:rFonts w:ascii="Times New Roman" w:hAnsi="Times New Roman" w:eastAsia="宋体" w:cs="Times New Roman"/>
          <w:sz w:val="24"/>
        </w:rPr>
        <w:t>分析人群，对疗效评价</w:t>
      </w:r>
      <w:r>
        <w:rPr>
          <w:rFonts w:hint="eastAsia" w:ascii="Times New Roman" w:hAnsi="Times New Roman" w:eastAsia="宋体" w:cs="Times New Roman"/>
          <w:sz w:val="24"/>
        </w:rPr>
        <w:t>相关指标、</w:t>
      </w:r>
      <w:r>
        <w:rPr>
          <w:rFonts w:ascii="Times New Roman" w:hAnsi="Times New Roman" w:eastAsia="宋体" w:cs="Times New Roman"/>
          <w:sz w:val="24"/>
        </w:rPr>
        <w:t>无进展生存（PFS）进行分析。</w:t>
      </w:r>
    </w:p>
    <w:p>
      <w:pPr>
        <w:pStyle w:val="3"/>
        <w:rPr>
          <w:rFonts w:ascii="Times New Roman" w:hAnsi="Times New Roman" w:eastAsia="宋体" w:cs="Times New Roman"/>
          <w:sz w:val="28"/>
        </w:rPr>
      </w:pPr>
      <w:bookmarkStart w:id="10" w:name="_Toc33465503"/>
      <w:r>
        <w:rPr>
          <w:rFonts w:ascii="Times New Roman" w:hAnsi="Times New Roman" w:eastAsia="宋体" w:cs="Times New Roman"/>
          <w:sz w:val="28"/>
        </w:rPr>
        <w:t>疗效评价</w:t>
      </w:r>
      <w:bookmarkEnd w:id="10"/>
    </w:p>
    <w:p>
      <w:pPr>
        <w:pStyle w:val="4"/>
        <w:rPr>
          <w:rFonts w:ascii="Times New Roman" w:hAnsi="Times New Roman" w:eastAsia="宋体" w:cs="Times New Roman"/>
          <w:sz w:val="24"/>
          <w:szCs w:val="24"/>
        </w:rPr>
      </w:pPr>
      <w:bookmarkStart w:id="11" w:name="_Toc33465504"/>
      <w:r>
        <w:rPr>
          <w:rFonts w:hint="eastAsia" w:ascii="Times New Roman" w:hAnsi="Times New Roman" w:eastAsia="宋体" w:cs="Times New Roman"/>
          <w:sz w:val="24"/>
          <w:szCs w:val="24"/>
        </w:rPr>
        <w:t>原始结果</w:t>
      </w:r>
      <w:bookmarkEnd w:id="11"/>
    </w:p>
    <w:p>
      <w:pPr>
        <w:adjustRightInd w:val="0"/>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该部分描述两组患者疗效评价情况相关指标的结果，包括疗效评价各结果构成比例、客观缓解率</w:t>
      </w:r>
      <w:r>
        <w:rPr>
          <w:rFonts w:hint="eastAsia" w:ascii="Times New Roman" w:hAnsi="Times New Roman" w:eastAsia="宋体" w:cs="Times New Roman"/>
          <w:sz w:val="24"/>
        </w:rPr>
        <w:t>（ORR）</w:t>
      </w:r>
      <w:r>
        <w:rPr>
          <w:rFonts w:ascii="Times New Roman" w:hAnsi="Times New Roman" w:eastAsia="宋体" w:cs="Times New Roman"/>
          <w:sz w:val="24"/>
        </w:rPr>
        <w:t>及疾病控制率</w:t>
      </w:r>
      <w:r>
        <w:rPr>
          <w:rFonts w:hint="eastAsia" w:ascii="Times New Roman" w:hAnsi="Times New Roman" w:eastAsia="宋体" w:cs="Times New Roman"/>
          <w:sz w:val="24"/>
        </w:rPr>
        <w:t>（DCR）</w:t>
      </w:r>
      <w:r>
        <w:rPr>
          <w:rFonts w:ascii="Times New Roman" w:hAnsi="Times New Roman" w:eastAsia="宋体" w:cs="Times New Roman"/>
          <w:sz w:val="24"/>
        </w:rPr>
        <w:t>。详见下表</w:t>
      </w:r>
      <w:r>
        <w:rPr>
          <w:rFonts w:hint="eastAsia" w:ascii="Times New Roman" w:hAnsi="Times New Roman" w:eastAsia="宋体" w:cs="Times New Roman"/>
          <w:sz w:val="24"/>
        </w:rPr>
        <w:t>3</w:t>
      </w:r>
      <w:r>
        <w:rPr>
          <w:rFonts w:ascii="Times New Roman" w:hAnsi="Times New Roman" w:eastAsia="宋体" w:cs="Times New Roman"/>
          <w:sz w:val="24"/>
        </w:rPr>
        <w:t>.</w:t>
      </w:r>
      <w:r>
        <w:rPr>
          <w:rFonts w:hint="eastAsia" w:ascii="Times New Roman" w:hAnsi="Times New Roman" w:eastAsia="宋体" w:cs="Times New Roman"/>
          <w:sz w:val="24"/>
        </w:rPr>
        <w:t>1.1</w:t>
      </w:r>
      <w:r>
        <w:rPr>
          <w:rFonts w:ascii="Times New Roman" w:hAnsi="Times New Roman" w:eastAsia="宋体" w:cs="Times New Roman"/>
          <w:sz w:val="24"/>
        </w:rPr>
        <w:t>.1~</w:t>
      </w:r>
      <w:r>
        <w:rPr>
          <w:rFonts w:hint="eastAsia" w:ascii="Times New Roman" w:hAnsi="Times New Roman" w:eastAsia="宋体" w:cs="Times New Roman"/>
          <w:sz w:val="24"/>
        </w:rPr>
        <w:t>3</w:t>
      </w:r>
      <w:r>
        <w:rPr>
          <w:rFonts w:ascii="Times New Roman" w:hAnsi="Times New Roman" w:eastAsia="宋体" w:cs="Times New Roman"/>
          <w:sz w:val="24"/>
        </w:rPr>
        <w:t>.</w:t>
      </w:r>
      <w:r>
        <w:rPr>
          <w:rFonts w:hint="eastAsia" w:ascii="Times New Roman" w:hAnsi="Times New Roman" w:eastAsia="宋体" w:cs="Times New Roman"/>
          <w:sz w:val="24"/>
        </w:rPr>
        <w:t>1.1</w:t>
      </w:r>
      <w:r>
        <w:rPr>
          <w:rFonts w:ascii="Times New Roman" w:hAnsi="Times New Roman" w:eastAsia="宋体" w:cs="Times New Roman"/>
          <w:sz w:val="24"/>
        </w:rPr>
        <w:t>.</w:t>
      </w:r>
      <w:r>
        <w:rPr>
          <w:rFonts w:hint="eastAsia" w:ascii="Times New Roman" w:hAnsi="Times New Roman" w:eastAsia="宋体" w:cs="Times New Roman"/>
          <w:sz w:val="24"/>
        </w:rPr>
        <w:t>3</w:t>
      </w:r>
      <w:r>
        <w:rPr>
          <w:rFonts w:ascii="Times New Roman" w:hAnsi="Times New Roman" w:eastAsia="宋体" w:cs="Times New Roman"/>
          <w:sz w:val="24"/>
        </w:rPr>
        <w:t>。</w:t>
      </w:r>
    </w:p>
    <w:p>
      <w:pPr>
        <w:adjustRightInd w:val="0"/>
        <w:jc w:val="center"/>
        <w:rPr>
          <w:rFonts w:ascii="Times New Roman" w:hAnsi="Times New Roman" w:cs="Times New Roman"/>
          <w:b/>
          <w:bCs/>
          <w:sz w:val="22"/>
          <w:szCs w:val="22"/>
        </w:rPr>
      </w:pPr>
      <w:r>
        <w:rPr>
          <w:rFonts w:ascii="Times New Roman" w:hAnsi="Times New Roman" w:cs="Times New Roman"/>
          <w:b/>
          <w:bCs/>
          <w:sz w:val="22"/>
          <w:szCs w:val="22"/>
          <w:shd w:val="clear" w:color="auto" w:fill="FFFFFF"/>
        </w:rPr>
        <w:t>表</w:t>
      </w:r>
      <w:r>
        <w:rPr>
          <w:rFonts w:hint="eastAsia" w:ascii="Times New Roman" w:hAnsi="Times New Roman" w:cs="Times New Roman" w:eastAsiaTheme="minorEastAsia"/>
          <w:b/>
          <w:bCs/>
          <w:sz w:val="22"/>
          <w:szCs w:val="22"/>
          <w:shd w:val="clear" w:color="auto" w:fill="FFFFFF"/>
        </w:rPr>
        <w:t>3.1.</w:t>
      </w:r>
      <w:r>
        <w:rPr>
          <w:rFonts w:ascii="Times New Roman" w:hAnsi="Times New Roman" w:cs="Times New Roman"/>
          <w:b/>
          <w:bCs/>
          <w:sz w:val="22"/>
          <w:szCs w:val="22"/>
          <w:shd w:val="clear" w:color="auto" w:fill="FFFFFF"/>
        </w:rPr>
        <w:t>1.1 最优评价结果</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疗效评价</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(N=729)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(N=1128)</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疗效评价结果</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0.0399</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729(0)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1128(0)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CR</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(1.2%)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 (0.9%)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PR</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116 (29.1%)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175 (24.0%)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291 (25.8%)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SD</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150 (37.6%)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259 (35.5%)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409 (36.3%)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PD</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132 (33.1%)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286 (39.2%)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418 (37.1%)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客观缓解率</w:t>
            </w:r>
            <w:r>
              <w:rPr>
                <w:rFonts w:ascii="Times New Roman" w:hAnsi="Times New Roman" w:cs="Times New Roman"/>
                <w:b/>
                <w:bCs/>
                <w:sz w:val="18"/>
                <w:szCs w:val="18"/>
              </w:rPr>
              <w:t>(ORR)</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117/399 (29.3%)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184/729 (25.2%)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301/1128 (26.7%)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0.1382</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疾病控制率</w:t>
            </w:r>
            <w:r>
              <w:rPr>
                <w:rFonts w:ascii="Times New Roman" w:hAnsi="Times New Roman" w:cs="Times New Roman"/>
                <w:b/>
                <w:bCs/>
                <w:sz w:val="18"/>
                <w:szCs w:val="18"/>
              </w:rPr>
              <w:t>(DCR)</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267/399 (66.9%)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443/729 (60.8%)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710/1128 (62.9%)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0.0409</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w:t>
            </w:r>
            <w:r>
              <w:rPr>
                <w:rFonts w:ascii="Times New Roman" w:hAnsi="Times New Roman" w:cs="Times New Roman"/>
                <w:i/>
                <w:iCs/>
                <w:sz w:val="16"/>
                <w:szCs w:val="16"/>
              </w:rPr>
              <w:t>1</w:t>
            </w:r>
            <w:r>
              <w:rPr>
                <w:rFonts w:ascii="Times New Roman" w:hAnsi="Times New Roman" w:eastAsia="宋体" w:cs="Times New Roman"/>
                <w:i/>
                <w:iCs/>
                <w:sz w:val="16"/>
                <w:szCs w:val="16"/>
              </w:rPr>
              <w:t>）如果同一患者有多次疗效评价结果，取最优那次疗效评价结果进行描述；</w:t>
            </w:r>
            <w:r>
              <w:rPr>
                <w:rFonts w:ascii="Times New Roman" w:hAnsi="Times New Roman" w:cs="Times New Roman"/>
                <w:i/>
                <w:iCs/>
                <w:sz w:val="16"/>
                <w:szCs w:val="16"/>
              </w:rPr>
              <w:t>2</w:t>
            </w:r>
            <w:r>
              <w:rPr>
                <w:rFonts w:ascii="Times New Roman" w:hAnsi="Times New Roman" w:eastAsia="宋体" w:cs="Times New Roman"/>
                <w:i/>
                <w:iCs/>
                <w:sz w:val="16"/>
                <w:szCs w:val="16"/>
              </w:rPr>
              <w:t>）带</w:t>
            </w:r>
            <w:r>
              <w:rPr>
                <w:rFonts w:ascii="Times New Roman" w:hAnsi="Times New Roman" w:cs="Times New Roman"/>
                <w:i/>
                <w:iCs/>
                <w:sz w:val="16"/>
                <w:szCs w:val="16"/>
              </w:rPr>
              <w:t>*</w:t>
            </w:r>
            <w:r>
              <w:rPr>
                <w:rFonts w:ascii="Times New Roman" w:hAnsi="Times New Roman" w:eastAsia="宋体" w:cs="Times New Roman"/>
                <w:i/>
                <w:iCs/>
                <w:sz w:val="16"/>
                <w:szCs w:val="16"/>
              </w:rPr>
              <w:t>号</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spacing w:before="120" w:beforeLines="50" w:after="120" w:afterLines="50" w:line="360" w:lineRule="auto"/>
        <w:ind w:firstLine="482" w:firstLineChars="200"/>
        <w:rPr>
          <w:rFonts w:ascii="Times New Roman" w:hAnsi="Times New Roman" w:eastAsia="宋体" w:cs="Times New Roman"/>
          <w:b/>
          <w:i/>
          <w:sz w:val="24"/>
          <w:highlight w:val="yellow"/>
        </w:rPr>
      </w:pPr>
      <w:r>
        <w:rPr>
          <w:rFonts w:ascii="Times New Roman" w:hAnsi="Times New Roman" w:eastAsia="宋体" w:cs="Times New Roman"/>
          <w:b/>
          <w:i/>
          <w:sz w:val="24"/>
        </w:rPr>
        <w:t>由上表可知，对于最优疗效评价结果，参芪扶正组患者ORR比对照组高4.1%（29.3% vs 25.2%），但差异无统计学意义（P=0.1382）；</w:t>
      </w:r>
      <w:r>
        <w:rPr>
          <w:rFonts w:ascii="Times New Roman" w:hAnsi="Times New Roman" w:eastAsia="宋体" w:cs="Times New Roman"/>
          <w:b/>
          <w:i/>
          <w:sz w:val="24"/>
          <w:highlight w:val="yellow"/>
        </w:rPr>
        <w:t>参芪扶正组患者DCR比对照组高6.1%（66.9% vs 60.8%），且差异有统计学意义（P=0.0409）。</w:t>
      </w:r>
    </w:p>
    <w:p>
      <w:pPr>
        <w:adjustRightInd w:val="0"/>
        <w:jc w:val="center"/>
        <w:rPr>
          <w:rFonts w:ascii="Times New Roman" w:hAnsi="Times New Roman" w:cs="Times New Roman"/>
          <w:b/>
          <w:bCs/>
          <w:sz w:val="22"/>
          <w:szCs w:val="22"/>
        </w:rPr>
      </w:pPr>
      <w:r>
        <w:rPr>
          <w:rFonts w:ascii="Times New Roman" w:hAnsi="Times New Roman" w:cs="Times New Roman"/>
          <w:b/>
          <w:bCs/>
          <w:sz w:val="22"/>
          <w:szCs w:val="22"/>
          <w:shd w:val="clear" w:color="auto" w:fill="FFFFFF"/>
        </w:rPr>
        <w:t>表</w:t>
      </w:r>
      <w:r>
        <w:rPr>
          <w:rFonts w:hint="eastAsia" w:ascii="Times New Roman" w:hAnsi="Times New Roman" w:cs="Times New Roman" w:eastAsiaTheme="minorEastAsia"/>
          <w:b/>
          <w:bCs/>
          <w:sz w:val="22"/>
          <w:szCs w:val="22"/>
          <w:shd w:val="clear" w:color="auto" w:fill="FFFFFF"/>
        </w:rPr>
        <w:t>3.1.</w:t>
      </w:r>
      <w:r>
        <w:rPr>
          <w:rFonts w:ascii="Times New Roman" w:hAnsi="Times New Roman" w:cs="Times New Roman"/>
          <w:b/>
          <w:bCs/>
          <w:sz w:val="22"/>
          <w:szCs w:val="22"/>
          <w:shd w:val="clear" w:color="auto" w:fill="FFFFFF"/>
        </w:rPr>
        <w:t>1.2 最差评价结果</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疗效评价</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(N=729)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(N=1128)</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疗效评价结果</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0.1737</w:t>
            </w:r>
            <w:r>
              <w:rPr>
                <w:rFonts w:ascii="Times New Roman" w:hAnsi="Times New Roman" w:cs="Times New Roman"/>
                <w:sz w:val="18"/>
                <w:szCs w:val="18"/>
                <w:vertAlign w:val="superscript"/>
              </w:rPr>
              <w:t>d</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729(0)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1128(0)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CR</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PR</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62 (15.5%)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84 (11.5%)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146 (12.9%)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SD</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132 (33.1%)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245 (33.6%)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377 (33.4%)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PD</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205 (51.4%)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397 (54.5%)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602 (53.4%)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客观缓解率</w:t>
            </w:r>
            <w:r>
              <w:rPr>
                <w:rFonts w:ascii="Times New Roman" w:hAnsi="Times New Roman" w:cs="Times New Roman"/>
                <w:b/>
                <w:bCs/>
                <w:sz w:val="18"/>
                <w:szCs w:val="18"/>
              </w:rPr>
              <w:t>(ORR)</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62/399 (15.5%)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87/729 (11.9%)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149/1128 (13.2%)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0.0873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疾病控制率</w:t>
            </w:r>
            <w:r>
              <w:rPr>
                <w:rFonts w:ascii="Times New Roman" w:hAnsi="Times New Roman" w:cs="Times New Roman"/>
                <w:b/>
                <w:bCs/>
                <w:sz w:val="18"/>
                <w:szCs w:val="18"/>
              </w:rPr>
              <w:t>(DCR)</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194/399 (48.6%)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332/729 (45.5%)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526/1128 (46.6%)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0.3215</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w:t>
            </w:r>
            <w:r>
              <w:rPr>
                <w:rFonts w:ascii="Times New Roman" w:hAnsi="Times New Roman" w:cs="Times New Roman"/>
                <w:i/>
                <w:iCs/>
                <w:sz w:val="16"/>
                <w:szCs w:val="16"/>
              </w:rPr>
              <w:t>1</w:t>
            </w:r>
            <w:r>
              <w:rPr>
                <w:rFonts w:ascii="Times New Roman" w:hAnsi="Times New Roman" w:eastAsia="宋体" w:cs="Times New Roman"/>
                <w:i/>
                <w:iCs/>
                <w:sz w:val="16"/>
                <w:szCs w:val="16"/>
              </w:rPr>
              <w:t>）如果同一患者有多次疗效评价结果，取最差那次疗效评价结果进行描述；</w:t>
            </w:r>
            <w:r>
              <w:rPr>
                <w:rFonts w:ascii="Times New Roman" w:hAnsi="Times New Roman" w:cs="Times New Roman"/>
                <w:i/>
                <w:iCs/>
                <w:sz w:val="16"/>
                <w:szCs w:val="16"/>
              </w:rPr>
              <w:t>2</w:t>
            </w:r>
            <w:r>
              <w:rPr>
                <w:rFonts w:ascii="Times New Roman" w:hAnsi="Times New Roman" w:eastAsia="宋体" w:cs="Times New Roman"/>
                <w:i/>
                <w:iCs/>
                <w:sz w:val="16"/>
                <w:szCs w:val="16"/>
              </w:rPr>
              <w:t>）带</w:t>
            </w:r>
            <w:r>
              <w:rPr>
                <w:rFonts w:ascii="Times New Roman" w:hAnsi="Times New Roman" w:cs="Times New Roman"/>
                <w:i/>
                <w:iCs/>
                <w:sz w:val="16"/>
                <w:szCs w:val="16"/>
              </w:rPr>
              <w:t>*</w:t>
            </w:r>
            <w:r>
              <w:rPr>
                <w:rFonts w:ascii="Times New Roman" w:hAnsi="Times New Roman" w:eastAsia="宋体" w:cs="Times New Roman"/>
                <w:i/>
                <w:iCs/>
                <w:sz w:val="16"/>
                <w:szCs w:val="16"/>
              </w:rPr>
              <w:t>号</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spacing w:before="120" w:beforeLines="50" w:after="120" w:afterLines="50" w:line="360" w:lineRule="auto"/>
        <w:ind w:firstLine="482" w:firstLineChars="200"/>
        <w:rPr>
          <w:rFonts w:ascii="Times New Roman" w:hAnsi="Times New Roman" w:eastAsia="宋体" w:cs="Times New Roman"/>
          <w:b/>
          <w:i/>
          <w:sz w:val="24"/>
        </w:rPr>
      </w:pPr>
      <w:r>
        <w:rPr>
          <w:rFonts w:ascii="Times New Roman" w:hAnsi="Times New Roman" w:eastAsia="宋体" w:cs="Times New Roman"/>
          <w:b/>
          <w:i/>
          <w:sz w:val="24"/>
        </w:rPr>
        <w:t>由上表可知，对于最差疗效评价结果，参芪扶正组患者ORR比对照组高3.6%（15.5% vs 11.9%），但差异无统计学意义（P=0.0873）；参芪扶正组患者DCR比对照组高3.1%（48.6% vs 45.5%），但差异无统计学意义（P=0.3215）。</w:t>
      </w:r>
    </w:p>
    <w:p>
      <w:pPr>
        <w:adjustRightInd w:val="0"/>
        <w:jc w:val="center"/>
        <w:rPr>
          <w:rFonts w:ascii="Times New Roman" w:hAnsi="Times New Roman" w:cs="Times New Roman"/>
          <w:b/>
          <w:bCs/>
          <w:sz w:val="22"/>
          <w:szCs w:val="22"/>
        </w:rPr>
      </w:pPr>
      <w:r>
        <w:rPr>
          <w:rFonts w:ascii="Times New Roman" w:hAnsi="Times New Roman" w:cs="Times New Roman"/>
          <w:b/>
          <w:bCs/>
          <w:sz w:val="22"/>
          <w:szCs w:val="22"/>
          <w:shd w:val="clear" w:color="auto" w:fill="FFFFFF"/>
        </w:rPr>
        <w:t>表</w:t>
      </w:r>
      <w:r>
        <w:rPr>
          <w:rFonts w:hint="eastAsia" w:ascii="Times New Roman" w:hAnsi="Times New Roman" w:cs="Times New Roman" w:eastAsiaTheme="minorEastAsia"/>
          <w:b/>
          <w:bCs/>
          <w:sz w:val="22"/>
          <w:szCs w:val="22"/>
          <w:shd w:val="clear" w:color="auto" w:fill="FFFFFF"/>
        </w:rPr>
        <w:t>3.1.</w:t>
      </w:r>
      <w:r>
        <w:rPr>
          <w:rFonts w:ascii="Times New Roman" w:hAnsi="Times New Roman" w:cs="Times New Roman"/>
          <w:b/>
          <w:bCs/>
          <w:sz w:val="22"/>
          <w:szCs w:val="22"/>
          <w:shd w:val="clear" w:color="auto" w:fill="FFFFFF"/>
        </w:rPr>
        <w:t>1.3 最近评价结果</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疗效评价</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(N=729)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(N=1128)</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疗效评价结果</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0.0655</w:t>
            </w:r>
            <w:r>
              <w:rPr>
                <w:rFonts w:ascii="Times New Roman" w:hAnsi="Times New Roman" w:cs="Times New Roman"/>
                <w:sz w:val="18"/>
                <w:szCs w:val="18"/>
                <w:vertAlign w:val="superscript"/>
              </w:rPr>
              <w:t>d</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729(0)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1128(0)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CR</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(0.7%)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PR</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94 (23.6%)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129 (17.7%)</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223 (19.8%)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SD</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149 (37.3%)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272 (37.3%)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421 (37.3%)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PD</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155 (38.8%)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323 (44.3%)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478 (42.4%)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客观缓解率</w:t>
            </w:r>
            <w:r>
              <w:rPr>
                <w:rFonts w:ascii="Times New Roman" w:hAnsi="Times New Roman" w:cs="Times New Roman"/>
                <w:b/>
                <w:bCs/>
                <w:sz w:val="18"/>
                <w:szCs w:val="18"/>
              </w:rPr>
              <w:t>(ORR)</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95/399 (23.8%)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134/729 (18.4%)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229/1128 (20.3%)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0.0302</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疾病控制率</w:t>
            </w:r>
            <w:r>
              <w:rPr>
                <w:rFonts w:ascii="Times New Roman" w:hAnsi="Times New Roman" w:cs="Times New Roman"/>
                <w:b/>
                <w:bCs/>
                <w:sz w:val="18"/>
                <w:szCs w:val="18"/>
              </w:rPr>
              <w:t>(DCR)</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244/399 (61.2%)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406/729 (55.7%)</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650/1128 (57.6%)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0.0760</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w:t>
            </w:r>
            <w:r>
              <w:rPr>
                <w:rFonts w:ascii="Times New Roman" w:hAnsi="Times New Roman" w:cs="Times New Roman"/>
                <w:i/>
                <w:iCs/>
                <w:sz w:val="16"/>
                <w:szCs w:val="16"/>
              </w:rPr>
              <w:t>1</w:t>
            </w:r>
            <w:r>
              <w:rPr>
                <w:rFonts w:ascii="Times New Roman" w:hAnsi="Times New Roman" w:eastAsia="宋体" w:cs="Times New Roman"/>
                <w:i/>
                <w:iCs/>
                <w:sz w:val="16"/>
                <w:szCs w:val="16"/>
              </w:rPr>
              <w:t>）如果同一患者有多次疗效评价结果，取离末次基线化疗最近那次疗效评价结果进行描述；</w:t>
            </w:r>
            <w:r>
              <w:rPr>
                <w:rFonts w:ascii="Times New Roman" w:hAnsi="Times New Roman" w:cs="Times New Roman"/>
                <w:i/>
                <w:iCs/>
                <w:sz w:val="16"/>
                <w:szCs w:val="16"/>
              </w:rPr>
              <w:t>2</w:t>
            </w:r>
            <w:r>
              <w:rPr>
                <w:rFonts w:ascii="Times New Roman" w:hAnsi="Times New Roman" w:eastAsia="宋体" w:cs="Times New Roman"/>
                <w:i/>
                <w:iCs/>
                <w:sz w:val="16"/>
                <w:szCs w:val="16"/>
              </w:rPr>
              <w:t>）带</w:t>
            </w:r>
            <w:r>
              <w:rPr>
                <w:rFonts w:ascii="Times New Roman" w:hAnsi="Times New Roman" w:cs="Times New Roman"/>
                <w:i/>
                <w:iCs/>
                <w:sz w:val="16"/>
                <w:szCs w:val="16"/>
              </w:rPr>
              <w:t>*</w:t>
            </w:r>
            <w:r>
              <w:rPr>
                <w:rFonts w:ascii="Times New Roman" w:hAnsi="Times New Roman" w:eastAsia="宋体" w:cs="Times New Roman"/>
                <w:i/>
                <w:iCs/>
                <w:sz w:val="16"/>
                <w:szCs w:val="16"/>
              </w:rPr>
              <w:t>号</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spacing w:before="120" w:beforeLines="50" w:line="360" w:lineRule="auto"/>
        <w:ind w:firstLine="482" w:firstLineChars="200"/>
        <w:rPr>
          <w:rFonts w:ascii="Times New Roman" w:hAnsi="Times New Roman" w:eastAsia="宋体" w:cs="Times New Roman"/>
          <w:b/>
          <w:i/>
          <w:sz w:val="24"/>
        </w:rPr>
      </w:pPr>
      <w:r>
        <w:rPr>
          <w:rFonts w:ascii="Times New Roman" w:hAnsi="Times New Roman" w:eastAsia="宋体" w:cs="Times New Roman"/>
          <w:b/>
          <w:i/>
          <w:sz w:val="24"/>
        </w:rPr>
        <w:t>由上表可知，对于最近疗效评价结果，参芪扶正组患者ORR比对照组高5.4%（23.8% vs 18.4%），且差异有统计学意义（P=0.0302）；参芪扶正组患者DCR比对照组高5.5%（61.2% vs 55.7%），但差异无统计学意义（P=0.0760）。</w:t>
      </w:r>
    </w:p>
    <w:p>
      <w:pPr>
        <w:pStyle w:val="4"/>
        <w:rPr>
          <w:rFonts w:ascii="Times New Roman" w:hAnsi="Times New Roman" w:eastAsia="宋体" w:cs="Times New Roman"/>
          <w:sz w:val="24"/>
          <w:szCs w:val="24"/>
        </w:rPr>
      </w:pPr>
      <w:bookmarkStart w:id="12" w:name="_Toc33465505"/>
      <w:r>
        <w:rPr>
          <w:rFonts w:hint="eastAsia" w:ascii="Times New Roman" w:hAnsi="Times New Roman" w:eastAsia="宋体" w:cs="Times New Roman"/>
          <w:sz w:val="24"/>
          <w:szCs w:val="24"/>
        </w:rPr>
        <w:t>倾向性评分匹配后结果</w:t>
      </w:r>
      <w:bookmarkEnd w:id="12"/>
    </w:p>
    <w:p>
      <w:pPr>
        <w:adjustRightInd w:val="0"/>
        <w:spacing w:line="360" w:lineRule="auto"/>
        <w:ind w:firstLine="480" w:firstLineChars="200"/>
        <w:rPr>
          <w:rFonts w:ascii="Times New Roman" w:hAnsi="Times New Roman" w:eastAsia="宋体" w:cs="Times New Roman"/>
          <w:kern w:val="0"/>
          <w:sz w:val="24"/>
          <w:szCs w:val="24"/>
        </w:rPr>
      </w:pPr>
      <w:r>
        <w:rPr>
          <w:rFonts w:hint="eastAsia" w:ascii="Times New Roman" w:hAnsi="Times New Roman" w:eastAsia="宋体" w:cs="Times New Roman"/>
          <w:sz w:val="24"/>
        </w:rPr>
        <w:t>对两组患者采用倾向性评分匹配方法进行匹配，</w:t>
      </w:r>
      <w:r>
        <w:rPr>
          <w:rFonts w:hint="eastAsia" w:ascii="Times New Roman" w:hAnsi="Times New Roman" w:eastAsia="宋体" w:cs="Times New Roman"/>
          <w:kern w:val="0"/>
          <w:sz w:val="24"/>
          <w:szCs w:val="24"/>
        </w:rPr>
        <w:t>匹配变量包括：患者所在医院级别、医院类型、患者入院年份、性别、年龄、疾病分期、病理类型、主要转移部位、根治术情况、基线化疗方案及周期数、基线化疗具体铂类、后续治疗方式（即是否有化疗、靶向、生物免疫治疗）。</w:t>
      </w:r>
    </w:p>
    <w:p>
      <w:pPr>
        <w:adjustRightInd w:val="0"/>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对匹配后两组患者的基本信息描述如下，详见表3.1.2.1~3.1.2.3。</w:t>
      </w:r>
    </w:p>
    <w:p>
      <w:pPr>
        <w:adjustRightInd w:val="0"/>
        <w:jc w:val="center"/>
        <w:rPr>
          <w:rFonts w:ascii="Times New Roman" w:hAnsi="Times New Roman" w:cs="Times New Roman"/>
          <w:b/>
          <w:bCs/>
          <w:sz w:val="22"/>
          <w:szCs w:val="22"/>
        </w:rPr>
      </w:pPr>
      <w:r>
        <w:rPr>
          <w:rFonts w:ascii="Times New Roman" w:hAnsi="Times New Roman" w:cs="Times New Roman"/>
          <w:b/>
          <w:bCs/>
          <w:sz w:val="22"/>
          <w:szCs w:val="22"/>
          <w:shd w:val="clear" w:color="auto" w:fill="FFFFFF"/>
        </w:rPr>
        <w:t>表</w:t>
      </w:r>
      <w:r>
        <w:rPr>
          <w:rFonts w:hint="eastAsia" w:ascii="Times New Roman" w:hAnsi="Times New Roman" w:cs="Times New Roman" w:eastAsiaTheme="minorEastAsia"/>
          <w:b/>
          <w:bCs/>
          <w:sz w:val="22"/>
          <w:szCs w:val="22"/>
          <w:shd w:val="clear" w:color="auto" w:fill="FFFFFF"/>
        </w:rPr>
        <w:t>3.1.2</w:t>
      </w:r>
      <w:r>
        <w:rPr>
          <w:rFonts w:ascii="Times New Roman" w:hAnsi="Times New Roman" w:cs="Times New Roman"/>
          <w:b/>
          <w:bCs/>
          <w:sz w:val="22"/>
          <w:szCs w:val="22"/>
          <w:shd w:val="clear" w:color="auto" w:fill="FFFFFF"/>
        </w:rPr>
        <w:t>.1 医院信息描述</w:t>
      </w:r>
    </w:p>
    <w:tbl>
      <w:tblPr>
        <w:tblStyle w:val="22"/>
        <w:tblW w:w="0" w:type="auto"/>
        <w:jc w:val="center"/>
        <w:tblLayout w:type="fixed"/>
        <w:tblCellMar>
          <w:top w:w="0" w:type="dxa"/>
          <w:left w:w="0" w:type="dxa"/>
          <w:bottom w:w="0" w:type="dxa"/>
          <w:right w:w="0" w:type="dxa"/>
        </w:tblCellMar>
      </w:tblPr>
      <w:tblGrid>
        <w:gridCol w:w="3139"/>
        <w:gridCol w:w="1893"/>
        <w:gridCol w:w="1893"/>
        <w:gridCol w:w="1893"/>
        <w:gridCol w:w="1579"/>
      </w:tblGrid>
      <w:tr>
        <w:tblPrEx>
          <w:tblCellMar>
            <w:top w:w="0" w:type="dxa"/>
            <w:left w:w="0" w:type="dxa"/>
            <w:bottom w:w="0" w:type="dxa"/>
            <w:right w:w="0" w:type="dxa"/>
          </w:tblCellMar>
        </w:tblPrEx>
        <w:trPr>
          <w:cantSplit/>
          <w:tblHeader/>
          <w:jc w:val="center"/>
        </w:trPr>
        <w:tc>
          <w:tcPr>
            <w:tcW w:w="3139"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医院情况</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(N=399)</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(N=798)</w:t>
            </w:r>
          </w:p>
        </w:tc>
        <w:tc>
          <w:tcPr>
            <w:tcW w:w="1579"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医院级别</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0.7944</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798(0)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二级</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(2.0%)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 (1.9%)</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三级</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392 (98.2%)</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391 (98.0%)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783 (98.1%)</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医院类型</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0.9336</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798(0)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专科医院</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94 (23.6%)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95 (23.8%)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189 (23.7%)</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综合医院</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305 (76.4%)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304 (76.2%)</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609 (76.3%)</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0397" w:type="dxa"/>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注：带</w:t>
            </w:r>
            <w:r>
              <w:rPr>
                <w:rFonts w:ascii="Times New Roman" w:hAnsi="Times New Roman" w:cs="Times New Roman"/>
                <w:i/>
                <w:iCs/>
                <w:sz w:val="16"/>
                <w:szCs w:val="16"/>
              </w:rPr>
              <w:t>#</w:t>
            </w:r>
            <w:r>
              <w:rPr>
                <w:rFonts w:ascii="Times New Roman" w:hAnsi="Times New Roman" w:eastAsia="宋体" w:cs="Times New Roman"/>
                <w:i/>
                <w:iCs/>
                <w:sz w:val="16"/>
                <w:szCs w:val="16"/>
              </w:rPr>
              <w:t>号的</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t</w:t>
            </w:r>
            <w:r>
              <w:rPr>
                <w:rFonts w:ascii="Times New Roman" w:hAnsi="Times New Roman" w:eastAsia="宋体" w:cs="Times New Roman"/>
                <w:i/>
                <w:iCs/>
                <w:sz w:val="16"/>
                <w:szCs w:val="16"/>
              </w:rPr>
              <w:t>检验，带</w:t>
            </w:r>
            <w:r>
              <w:rPr>
                <w:rFonts w:ascii="Times New Roman" w:hAnsi="Times New Roman" w:cs="Times New Roman"/>
                <w:i/>
                <w:iCs/>
                <w:sz w:val="16"/>
                <w:szCs w:val="16"/>
              </w:rPr>
              <w:t>*</w:t>
            </w:r>
            <w:r>
              <w:rPr>
                <w:rFonts w:ascii="Times New Roman" w:hAnsi="Times New Roman" w:eastAsia="宋体" w:cs="Times New Roman"/>
                <w:i/>
                <w:iCs/>
                <w:sz w:val="16"/>
                <w:szCs w:val="16"/>
              </w:rPr>
              <w:t>号的</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jc w:val="center"/>
        <w:rPr>
          <w:rFonts w:ascii="Times New Roman" w:hAnsi="Times New Roman" w:cs="Times New Roman" w:eastAsiaTheme="minorEastAsia"/>
          <w:b/>
          <w:bCs/>
          <w:sz w:val="22"/>
          <w:szCs w:val="22"/>
          <w:shd w:val="clear" w:color="auto" w:fill="FFFFFF"/>
        </w:rPr>
      </w:pPr>
    </w:p>
    <w:p>
      <w:pPr>
        <w:adjustRightInd w:val="0"/>
        <w:jc w:val="center"/>
        <w:rPr>
          <w:rFonts w:ascii="Times New Roman" w:hAnsi="Times New Roman" w:cs="Times New Roman"/>
          <w:b/>
          <w:bCs/>
          <w:sz w:val="22"/>
          <w:szCs w:val="22"/>
        </w:rPr>
      </w:pPr>
      <w:r>
        <w:rPr>
          <w:rFonts w:ascii="Times New Roman" w:hAnsi="Times New Roman" w:cs="Times New Roman"/>
          <w:b/>
          <w:bCs/>
          <w:sz w:val="22"/>
          <w:szCs w:val="22"/>
          <w:shd w:val="clear" w:color="auto" w:fill="FFFFFF"/>
        </w:rPr>
        <w:t>表</w:t>
      </w:r>
      <w:r>
        <w:rPr>
          <w:rFonts w:hint="eastAsia" w:ascii="Times New Roman" w:hAnsi="Times New Roman" w:cs="Times New Roman" w:eastAsiaTheme="minorEastAsia"/>
          <w:b/>
          <w:bCs/>
          <w:sz w:val="22"/>
          <w:szCs w:val="22"/>
          <w:shd w:val="clear" w:color="auto" w:fill="FFFFFF"/>
        </w:rPr>
        <w:t>3.1.2</w:t>
      </w:r>
      <w:r>
        <w:rPr>
          <w:rFonts w:ascii="Times New Roman" w:hAnsi="Times New Roman" w:cs="Times New Roman"/>
          <w:b/>
          <w:bCs/>
          <w:sz w:val="22"/>
          <w:szCs w:val="22"/>
          <w:shd w:val="clear" w:color="auto" w:fill="FFFFFF"/>
        </w:rPr>
        <w:t>.2 患者入组时间描述</w:t>
      </w:r>
    </w:p>
    <w:tbl>
      <w:tblPr>
        <w:tblStyle w:val="22"/>
        <w:tblW w:w="0" w:type="auto"/>
        <w:jc w:val="center"/>
        <w:tblLayout w:type="fixed"/>
        <w:tblCellMar>
          <w:top w:w="0" w:type="dxa"/>
          <w:left w:w="0" w:type="dxa"/>
          <w:bottom w:w="0" w:type="dxa"/>
          <w:right w:w="0" w:type="dxa"/>
        </w:tblCellMar>
      </w:tblPr>
      <w:tblGrid>
        <w:gridCol w:w="3139"/>
        <w:gridCol w:w="1893"/>
        <w:gridCol w:w="1893"/>
        <w:gridCol w:w="1893"/>
        <w:gridCol w:w="1579"/>
      </w:tblGrid>
      <w:tr>
        <w:tblPrEx>
          <w:tblCellMar>
            <w:top w:w="0" w:type="dxa"/>
            <w:left w:w="0" w:type="dxa"/>
            <w:bottom w:w="0" w:type="dxa"/>
            <w:right w:w="0" w:type="dxa"/>
          </w:tblCellMar>
        </w:tblPrEx>
        <w:trPr>
          <w:cantSplit/>
          <w:tblHeader/>
          <w:jc w:val="center"/>
        </w:trPr>
        <w:tc>
          <w:tcPr>
            <w:tcW w:w="3139"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患者入组时间</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(N=399)</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(N=798)</w:t>
            </w:r>
          </w:p>
        </w:tc>
        <w:tc>
          <w:tcPr>
            <w:tcW w:w="1579"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入组年份</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0.0012</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798(0)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2012</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 (6.3%)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29 (3.6%)</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 (4.0%)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 (4.8%)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35 (4.4%)</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2014</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 (6.5%)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27 (6.8%)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53 (6.6%)</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35 (8.8%)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46 (11.5%)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81 (10.2%)</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92 (23.1%)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86 (21.6%)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178 (22.3%)</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177 (44.4%)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140 (35.1%)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317 (39.7%)</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2018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49 (12.3%)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56 (14.0%)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105 (13.2%)</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0397" w:type="dxa"/>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注：带</w:t>
            </w:r>
            <w:r>
              <w:rPr>
                <w:rFonts w:ascii="Times New Roman" w:hAnsi="Times New Roman" w:cs="Times New Roman"/>
                <w:i/>
                <w:iCs/>
                <w:sz w:val="16"/>
                <w:szCs w:val="16"/>
              </w:rPr>
              <w:t>#</w:t>
            </w:r>
            <w:r>
              <w:rPr>
                <w:rFonts w:ascii="Times New Roman" w:hAnsi="Times New Roman" w:eastAsia="宋体" w:cs="Times New Roman"/>
                <w:i/>
                <w:iCs/>
                <w:sz w:val="16"/>
                <w:szCs w:val="16"/>
              </w:rPr>
              <w:t>号的</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t</w:t>
            </w:r>
            <w:r>
              <w:rPr>
                <w:rFonts w:ascii="Times New Roman" w:hAnsi="Times New Roman" w:eastAsia="宋体" w:cs="Times New Roman"/>
                <w:i/>
                <w:iCs/>
                <w:sz w:val="16"/>
                <w:szCs w:val="16"/>
              </w:rPr>
              <w:t>检验，带</w:t>
            </w:r>
            <w:r>
              <w:rPr>
                <w:rFonts w:ascii="Times New Roman" w:hAnsi="Times New Roman" w:cs="Times New Roman"/>
                <w:i/>
                <w:iCs/>
                <w:sz w:val="16"/>
                <w:szCs w:val="16"/>
              </w:rPr>
              <w:t>*</w:t>
            </w:r>
            <w:r>
              <w:rPr>
                <w:rFonts w:ascii="Times New Roman" w:hAnsi="Times New Roman" w:eastAsia="宋体" w:cs="Times New Roman"/>
                <w:i/>
                <w:iCs/>
                <w:sz w:val="16"/>
                <w:szCs w:val="16"/>
              </w:rPr>
              <w:t>号的</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jc w:val="center"/>
        <w:rPr>
          <w:rFonts w:ascii="Times New Roman" w:hAnsi="Times New Roman" w:cs="Times New Roman" w:eastAsiaTheme="minorEastAsia"/>
          <w:b/>
          <w:bCs/>
          <w:sz w:val="22"/>
          <w:szCs w:val="22"/>
          <w:shd w:val="clear" w:color="auto" w:fill="FFFFFF"/>
        </w:rPr>
      </w:pPr>
    </w:p>
    <w:p>
      <w:pPr>
        <w:adjustRightInd w:val="0"/>
        <w:jc w:val="center"/>
        <w:rPr>
          <w:rFonts w:ascii="Times New Roman" w:hAnsi="Times New Roman" w:cs="Times New Roman"/>
          <w:b/>
          <w:bCs/>
          <w:sz w:val="22"/>
          <w:szCs w:val="22"/>
        </w:rPr>
      </w:pPr>
      <w:r>
        <w:rPr>
          <w:rFonts w:ascii="Times New Roman" w:hAnsi="Times New Roman" w:cs="Times New Roman"/>
          <w:b/>
          <w:bCs/>
          <w:sz w:val="22"/>
          <w:szCs w:val="22"/>
          <w:shd w:val="clear" w:color="auto" w:fill="FFFFFF"/>
        </w:rPr>
        <w:t>表</w:t>
      </w:r>
      <w:r>
        <w:rPr>
          <w:rFonts w:hint="eastAsia" w:ascii="Times New Roman" w:hAnsi="Times New Roman" w:cs="Times New Roman" w:eastAsiaTheme="minorEastAsia"/>
          <w:b/>
          <w:bCs/>
          <w:sz w:val="22"/>
          <w:szCs w:val="22"/>
          <w:shd w:val="clear" w:color="auto" w:fill="FFFFFF"/>
        </w:rPr>
        <w:t>3.1.2</w:t>
      </w:r>
      <w:r>
        <w:rPr>
          <w:rFonts w:ascii="Times New Roman" w:hAnsi="Times New Roman" w:cs="Times New Roman"/>
          <w:b/>
          <w:bCs/>
          <w:sz w:val="22"/>
          <w:szCs w:val="22"/>
          <w:shd w:val="clear" w:color="auto" w:fill="FFFFFF"/>
        </w:rPr>
        <w:t>.3 患者基本信息描述</w:t>
      </w:r>
    </w:p>
    <w:tbl>
      <w:tblPr>
        <w:tblStyle w:val="22"/>
        <w:tblW w:w="0" w:type="auto"/>
        <w:jc w:val="center"/>
        <w:tblLayout w:type="fixed"/>
        <w:tblCellMar>
          <w:top w:w="0" w:type="dxa"/>
          <w:left w:w="0" w:type="dxa"/>
          <w:bottom w:w="0" w:type="dxa"/>
          <w:right w:w="0" w:type="dxa"/>
        </w:tblCellMar>
      </w:tblPr>
      <w:tblGrid>
        <w:gridCol w:w="3139"/>
        <w:gridCol w:w="1893"/>
        <w:gridCol w:w="1893"/>
        <w:gridCol w:w="1893"/>
        <w:gridCol w:w="1579"/>
      </w:tblGrid>
      <w:tr>
        <w:tblPrEx>
          <w:tblCellMar>
            <w:top w:w="0" w:type="dxa"/>
            <w:left w:w="0" w:type="dxa"/>
            <w:bottom w:w="0" w:type="dxa"/>
            <w:right w:w="0" w:type="dxa"/>
          </w:tblCellMar>
        </w:tblPrEx>
        <w:trPr>
          <w:cantSplit/>
          <w:tblHeader/>
          <w:jc w:val="center"/>
        </w:trPr>
        <w:tc>
          <w:tcPr>
            <w:tcW w:w="3139"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变量特征</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(N=399)</w:t>
            </w:r>
          </w:p>
        </w:tc>
        <w:tc>
          <w:tcPr>
            <w:tcW w:w="1893"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(N=798)</w:t>
            </w:r>
          </w:p>
        </w:tc>
        <w:tc>
          <w:tcPr>
            <w:tcW w:w="1579" w:type="dxa"/>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性别</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0.9379</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798(0)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女</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117 (29.3%)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116 (29.1%)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233 (29.2%)</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男</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282 (70.7%)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283 (70.9%)</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565 (70.8%)</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年龄</w:t>
            </w:r>
            <w:r>
              <w:rPr>
                <w:rFonts w:ascii="Times New Roman" w:hAnsi="Times New Roman" w:cs="Times New Roman"/>
                <w:b/>
                <w:bCs/>
                <w:sz w:val="18"/>
                <w:szCs w:val="18"/>
              </w:rPr>
              <w:t>(</w:t>
            </w:r>
            <w:r>
              <w:rPr>
                <w:rFonts w:ascii="Times New Roman" w:hAnsi="Times New Roman" w:eastAsia="宋体" w:cs="Times New Roman"/>
                <w:b/>
                <w:bCs/>
                <w:sz w:val="18"/>
                <w:szCs w:val="18"/>
              </w:rPr>
              <w:t>岁</w:t>
            </w:r>
            <w:r>
              <w:rPr>
                <w:rFonts w:ascii="Times New Roman" w:hAnsi="Times New Roman" w:cs="Times New Roman"/>
                <w:b/>
                <w:bCs/>
                <w:sz w:val="18"/>
                <w:szCs w:val="18"/>
              </w:rPr>
              <w:t>)</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0.6171</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 (0)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 (0)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798 (0)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均数（标准差）</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58.4 (9.18)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58.1 (9.08)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58.3 (9.13)</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中位数（</w:t>
            </w:r>
            <w:r>
              <w:rPr>
                <w:rFonts w:ascii="Times New Roman" w:hAnsi="Times New Roman" w:cs="Times New Roman"/>
                <w:sz w:val="18"/>
                <w:szCs w:val="18"/>
              </w:rPr>
              <w:t>Q1-Q3</w:t>
            </w:r>
            <w:r>
              <w:rPr>
                <w:rFonts w:ascii="Times New Roman" w:hAnsi="Times New Roman" w:eastAsia="宋体" w:cs="Times New Roman"/>
                <w:sz w:val="18"/>
                <w:szCs w:val="18"/>
              </w:rPr>
              <w:t>）</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59.0 (53.0-65.0)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59.0 (52.0-65.0)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59.0 (52.0-65.0)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最小值</w:t>
            </w:r>
            <w:r>
              <w:rPr>
                <w:rFonts w:ascii="Times New Roman" w:hAnsi="Times New Roman" w:cs="Times New Roman"/>
                <w:sz w:val="18"/>
                <w:szCs w:val="18"/>
              </w:rPr>
              <w:t>-</w:t>
            </w:r>
            <w:r>
              <w:rPr>
                <w:rFonts w:ascii="Times New Roman" w:hAnsi="Times New Roman" w:eastAsia="宋体" w:cs="Times New Roman"/>
                <w:sz w:val="18"/>
                <w:szCs w:val="18"/>
              </w:rPr>
              <w:t>最大值</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25-80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24-80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24-80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年龄分组</w:t>
            </w:r>
            <w:r>
              <w:rPr>
                <w:rFonts w:ascii="Times New Roman" w:hAnsi="Times New Roman" w:cs="Times New Roman"/>
                <w:b/>
                <w:bCs/>
                <w:sz w:val="18"/>
                <w:szCs w:val="18"/>
              </w:rPr>
              <w:t>(</w:t>
            </w:r>
            <w:r>
              <w:rPr>
                <w:rFonts w:ascii="Times New Roman" w:hAnsi="Times New Roman" w:eastAsia="宋体" w:cs="Times New Roman"/>
                <w:b/>
                <w:bCs/>
                <w:sz w:val="18"/>
                <w:szCs w:val="18"/>
              </w:rPr>
              <w:t>岁</w:t>
            </w:r>
            <w:r>
              <w:rPr>
                <w:rFonts w:ascii="Times New Roman" w:hAnsi="Times New Roman" w:cs="Times New Roman"/>
                <w:b/>
                <w:bCs/>
                <w:sz w:val="18"/>
                <w:szCs w:val="18"/>
              </w:rPr>
              <w:t>)</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0.7241</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798(0)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w:t>
            </w:r>
            <w:r>
              <w:rPr>
                <w:rFonts w:ascii="Times New Roman" w:hAnsi="Times New Roman" w:cs="Times New Roman"/>
                <w:sz w:val="18"/>
                <w:szCs w:val="18"/>
              </w:rPr>
              <w:t>50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61 (15.3%)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72 (18.0%)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133 (16.7%)</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[50,55)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70 (17.5%)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72 (18.0%)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142 (17.8%)</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[55,60)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71 (17.8%)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61 (15.3%)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132 (16.5%)</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[60,65)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85 (21.3%)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92 (23.1%)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177 (22.2%)</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[65,70)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70 (17.5%)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68 (17.0%)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138 (17.3%)</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≥70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42 (10.5%)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(8.5%)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76 (9.5%)</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病理分期</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0.9191</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798(0)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IIIB</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56 (14.0%)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57 (14.3%)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113 (14.2%)</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IV</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343 (86.0%)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342 (85.7%)</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685 (85.8%)</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病理类型</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鳞癌</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127 (31.8%)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140 (35.1%)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267 (33.5%)</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0.3294</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腺癌</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248 (62.2%)</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234 (58.6%)</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482 (60.4%)</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0.3109</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腺鳞癌</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(0.9%)</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大细胞癌</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(0.4%)</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远处转移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肝转移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 (6.0%)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 (5.3%)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45 (5.6%)</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0.6452</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肾及肾上腺转移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 (4.8%)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 (4.3%)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36 (4.5%)</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0.7330</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骨转移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89 (22.3%)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89 (22.3%)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178 (22.3%)</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胸膜转移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(8.5%)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(8.5%)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68 (8.5%)</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对侧肺转移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65 (16.3%)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71 (17.8%)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136 (17.0%)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0.5722</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其它转移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28 (7.0%)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28 (7.0%)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56 (7.0%)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根治术情况</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0.9752</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798(0)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无根治术史</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354 (88.7%)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352 (88.2%)</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706 (88.5%)</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有根治术史</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 (4.8%)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 (5.0%)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 (4.9%)</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现行根治术</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 (6.5%)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27 (6.8%)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53 (6.6%)</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晚期首次化疗方案</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0.7886</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798(0)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多西他赛</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98 (24.6%)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104 (26.1%)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202 (25.3%)</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吉西他滨</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97 (24.3%)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105 (26.3%)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202 (25.3%)</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培美曲塞</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147 (36.8%)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139 (34.8%)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286 (35.8%)</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其它</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57 (14.3%)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51 (12.8%)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108 (13.5%)</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晚期首次化疗具体铂类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&lt;.0001</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798(0)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卡铂</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96 (24.1%)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32 (8.0%)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128 (16.0%)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奈达铂</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83 (20.8%)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106 (26.6%)</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189 (23.7%)</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其他</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 (5.0%)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 (3.8%)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35 (4.4%)</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顺铂</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200 (50.1%)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246 (61.7%)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446 (55.9%)</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晚期首次化疗方案周期数分组</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0.5945</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798(0)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45 (11.3%)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45 (11.3%)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90 (11.3%)</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107 (26.8%)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84 (21.1%)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191 (23.9%)</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68 (17.0%)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75 (18.8%)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143 (17.9%)</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80 (20.1%)</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95 (23.8%)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175 (21.9%)</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40 (10.0%)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42 (10.5%)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82 (10.3%)</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6</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45 (11.3%)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46 (11.5%)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91 (11.4%)</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w:t>
            </w:r>
            <w:r>
              <w:rPr>
                <w:rFonts w:ascii="Times New Roman" w:hAnsi="Times New Roman" w:cs="Times New Roman"/>
                <w:sz w:val="18"/>
                <w:szCs w:val="18"/>
              </w:rPr>
              <w:t>6</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 (3.5%)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(3.0%)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 (3.3%)</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晚期首次化疗方案周期数</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0.4848</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 (0)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 (0)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798 (0)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均数（标准差）</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(1.77)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3.5 (1.67)</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3.5 (1.72)</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中位数（</w:t>
            </w:r>
            <w:r>
              <w:rPr>
                <w:rFonts w:ascii="Times New Roman" w:hAnsi="Times New Roman" w:cs="Times New Roman"/>
                <w:sz w:val="18"/>
                <w:szCs w:val="18"/>
              </w:rPr>
              <w:t>Q1-Q3</w:t>
            </w:r>
            <w:r>
              <w:rPr>
                <w:rFonts w:ascii="Times New Roman" w:hAnsi="Times New Roman" w:eastAsia="宋体" w:cs="Times New Roman"/>
                <w:sz w:val="18"/>
                <w:szCs w:val="18"/>
              </w:rPr>
              <w:t>）</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(2.0-4.0)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(2.0-5.0)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(2.0-4.0)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最小值</w:t>
            </w:r>
            <w:r>
              <w:rPr>
                <w:rFonts w:ascii="Times New Roman" w:hAnsi="Times New Roman" w:cs="Times New Roman"/>
                <w:sz w:val="18"/>
                <w:szCs w:val="18"/>
              </w:rPr>
              <w:t>-</w:t>
            </w:r>
            <w:r>
              <w:rPr>
                <w:rFonts w:ascii="Times New Roman" w:hAnsi="Times New Roman" w:eastAsia="宋体" w:cs="Times New Roman"/>
                <w:sz w:val="18"/>
                <w:szCs w:val="18"/>
              </w:rPr>
              <w:t>最大值</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1-15</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后续化疗</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231 (57.9%)</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235 (58.9%)</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466 (58.4%)</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0.7739</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培美曲塞</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60 (15.0%)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41 (10.3%)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101 (12.7%)</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0.0431</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培美曲塞</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45 (11.3%)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59 (14.8%)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104 (13.0%)</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0.1410</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多西他赛</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69 (17.3%)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78 (19.5%)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147 (18.4%)</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0.4112</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多西他赛</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(8.5%)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33 (8.3%)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67 (8.4%)</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0.8984</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吉西他滨</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43 (10.8%)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61 (15.3%)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104 (13.0%)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0.0584</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吉西他滨</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 (5.0%)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(2.8%)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31 (3.9%)</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0.0992</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紫杉醇</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22 (5.5%)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(7.5%)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52 (6.5%)</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0.2512</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长春瑞滨</w:t>
            </w:r>
            <w:r>
              <w:rPr>
                <w:rFonts w:ascii="Times New Roman" w:hAnsi="Times New Roman" w:cs="Times New Roman"/>
                <w:sz w:val="18"/>
                <w:szCs w:val="18"/>
              </w:rPr>
              <w:t>+</w:t>
            </w:r>
            <w:r>
              <w:rPr>
                <w:rFonts w:ascii="Times New Roman" w:hAnsi="Times New Roman" w:eastAsia="宋体" w:cs="Times New Roman"/>
                <w:sz w:val="18"/>
                <w:szCs w:val="18"/>
              </w:rPr>
              <w:t>铂类</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(3.0%)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 (2.5%)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22 (2.8%)</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0.6654</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其它</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74 (18.5%)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73 (18.3%)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147 (18.4%)</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0.9272</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后续靶向治疗</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129 (32.3%)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108 (27.1%)</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237 (29.7%)</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0.1038</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贝伐珠单抗</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(7.5%)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32 (8.0%)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62 (7.8%)</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0.7914</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奥希替尼</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(1.3%)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(0.6%)</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0.0617</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安罗替尼</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(1.0%)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0.0689</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重组人血管内皮抑制素</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37 (9.3%)</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(8.5%)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71 (8.9%)</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0.7091</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阿帕替尼</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 (4.5%)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 (3.3%)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31 (3.9%)</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0.3597</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埃克替尼</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(3.0%)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(1.5%)</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0.0005</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吉非替尼</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 (3.8%)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 (2.0%)</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0.0004</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厄洛替尼</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(1.5%)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(0.8%)</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0.0307</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阿法替尼</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(1.1%)</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0.1772</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后续生物免疫治疗</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44 (11.0%)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46 (11.5%)</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90 (11.3%)</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0.8229</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派姆单抗</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(0.4%)</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0.2491</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重组人粒细胞刺激因子</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(3.0%)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 (2.4%)</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0.2456</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免疫调节剂</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(0.9%)</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CIK</w:t>
            </w:r>
            <w:r>
              <w:rPr>
                <w:rFonts w:ascii="Times New Roman" w:hAnsi="Times New Roman" w:eastAsia="宋体" w:cs="Times New Roman"/>
                <w:sz w:val="18"/>
                <w:szCs w:val="18"/>
              </w:rPr>
              <w:t>细胞</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1893"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(0.4%)</w:t>
            </w:r>
          </w:p>
        </w:tc>
        <w:tc>
          <w:tcPr>
            <w:tcW w:w="1579" w:type="dxa"/>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0.2491</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3139" w:type="dxa"/>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纳武单抗</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1893"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1579" w:type="dxa"/>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0397" w:type="dxa"/>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注：带</w:t>
            </w:r>
            <w:r>
              <w:rPr>
                <w:rFonts w:ascii="Times New Roman" w:hAnsi="Times New Roman" w:cs="Times New Roman"/>
                <w:i/>
                <w:iCs/>
                <w:sz w:val="16"/>
                <w:szCs w:val="16"/>
              </w:rPr>
              <w:t>#</w:t>
            </w:r>
            <w:r>
              <w:rPr>
                <w:rFonts w:ascii="Times New Roman" w:hAnsi="Times New Roman" w:eastAsia="宋体" w:cs="Times New Roman"/>
                <w:i/>
                <w:iCs/>
                <w:sz w:val="16"/>
                <w:szCs w:val="16"/>
              </w:rPr>
              <w:t>号的</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t</w:t>
            </w:r>
            <w:r>
              <w:rPr>
                <w:rFonts w:ascii="Times New Roman" w:hAnsi="Times New Roman" w:eastAsia="宋体" w:cs="Times New Roman"/>
                <w:i/>
                <w:iCs/>
                <w:sz w:val="16"/>
                <w:szCs w:val="16"/>
              </w:rPr>
              <w:t>检验，带</w:t>
            </w:r>
            <w:r>
              <w:rPr>
                <w:rFonts w:ascii="Times New Roman" w:hAnsi="Times New Roman" w:cs="Times New Roman"/>
                <w:i/>
                <w:iCs/>
                <w:sz w:val="16"/>
                <w:szCs w:val="16"/>
              </w:rPr>
              <w:t>*</w:t>
            </w:r>
            <w:r>
              <w:rPr>
                <w:rFonts w:ascii="Times New Roman" w:hAnsi="Times New Roman" w:eastAsia="宋体" w:cs="Times New Roman"/>
                <w:i/>
                <w:iCs/>
                <w:sz w:val="16"/>
                <w:szCs w:val="16"/>
              </w:rPr>
              <w:t>号的</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spacing w:before="120" w:beforeLines="50"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由上表可知，匹配后两组患者各基本信息的分布基本一致。</w:t>
      </w:r>
    </w:p>
    <w:p>
      <w:pPr>
        <w:spacing w:before="120" w:beforeLines="50" w:line="360" w:lineRule="auto"/>
        <w:rPr>
          <w:rFonts w:ascii="Times New Roman" w:hAnsi="Times New Roman" w:eastAsia="宋体" w:cs="Times New Roman"/>
          <w:color w:val="auto"/>
          <w:sz w:val="24"/>
          <w:szCs w:val="20"/>
        </w:rPr>
      </w:pPr>
      <w:r>
        <w:rPr>
          <w:rFonts w:hint="eastAsia" w:ascii="Times New Roman" w:hAnsi="Times New Roman" w:eastAsia="宋体" w:cs="Times New Roman"/>
          <w:color w:val="auto"/>
          <w:sz w:val="24"/>
          <w:szCs w:val="20"/>
        </w:rPr>
        <w:t xml:space="preserve">    匹配后两组患者的疗效评价结果如下，详见表3.1.2.4~3.1.2.6。</w:t>
      </w:r>
    </w:p>
    <w:p>
      <w:pPr>
        <w:adjustRightInd w:val="0"/>
        <w:jc w:val="center"/>
        <w:rPr>
          <w:rFonts w:ascii="Times New Roman" w:hAnsi="Times New Roman" w:cs="Times New Roman"/>
          <w:b/>
          <w:bCs/>
          <w:sz w:val="22"/>
          <w:szCs w:val="22"/>
        </w:rPr>
      </w:pPr>
      <w:r>
        <w:rPr>
          <w:rFonts w:ascii="Times New Roman" w:hAnsi="Times New Roman" w:cs="Times New Roman"/>
          <w:b/>
          <w:bCs/>
          <w:sz w:val="22"/>
          <w:szCs w:val="22"/>
          <w:shd w:val="clear" w:color="auto" w:fill="FFFFFF"/>
        </w:rPr>
        <w:t>表</w:t>
      </w:r>
      <w:r>
        <w:rPr>
          <w:rFonts w:hint="eastAsia" w:ascii="Times New Roman" w:hAnsi="Times New Roman" w:cs="Times New Roman" w:eastAsiaTheme="minorEastAsia"/>
          <w:b/>
          <w:bCs/>
          <w:sz w:val="22"/>
          <w:szCs w:val="22"/>
          <w:shd w:val="clear" w:color="auto" w:fill="FFFFFF"/>
        </w:rPr>
        <w:t>3.1.2</w:t>
      </w:r>
      <w:r>
        <w:rPr>
          <w:rFonts w:ascii="Times New Roman" w:hAnsi="Times New Roman" w:cs="Times New Roman"/>
          <w:b/>
          <w:bCs/>
          <w:sz w:val="22"/>
          <w:szCs w:val="22"/>
          <w:shd w:val="clear" w:color="auto" w:fill="FFFFFF"/>
        </w:rPr>
        <w:t>.</w:t>
      </w:r>
      <w:r>
        <w:rPr>
          <w:rFonts w:hint="eastAsia" w:ascii="Times New Roman" w:hAnsi="Times New Roman" w:cs="Times New Roman" w:eastAsiaTheme="minorEastAsia"/>
          <w:b/>
          <w:bCs/>
          <w:sz w:val="22"/>
          <w:szCs w:val="22"/>
          <w:shd w:val="clear" w:color="auto" w:fill="FFFFFF"/>
        </w:rPr>
        <w:t>4</w:t>
      </w:r>
      <w:r>
        <w:rPr>
          <w:rFonts w:ascii="Times New Roman" w:hAnsi="Times New Roman" w:cs="Times New Roman"/>
          <w:b/>
          <w:bCs/>
          <w:sz w:val="22"/>
          <w:szCs w:val="22"/>
          <w:shd w:val="clear" w:color="auto" w:fill="FFFFFF"/>
        </w:rPr>
        <w:t xml:space="preserve"> 最优评价结果</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疗效评价</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(N=798)</w:t>
            </w:r>
          </w:p>
        </w:tc>
        <w:tc>
          <w:tcPr>
            <w:tcW w:w="88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疗效评价结果</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0.0432</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798(0)</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CR</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(1.3%)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(0.8%)</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PR</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116 (29.1%)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95 (23.8%)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211 (26.4%)</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SD</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150 (37.6%)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138 (34.6%)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288 (36.1%)</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PD</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132 (33.1%)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161 (40.4%)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293 (36.7%)</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客观缓解率</w:t>
            </w:r>
            <w:r>
              <w:rPr>
                <w:rFonts w:ascii="Times New Roman" w:hAnsi="Times New Roman" w:cs="Times New Roman"/>
                <w:b/>
                <w:bCs/>
                <w:sz w:val="18"/>
                <w:szCs w:val="18"/>
              </w:rPr>
              <w:t>(ORR)</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117/399 (29.3%)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100/399 (25.1%)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217/798 (27.2%)</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0.1762</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疾病控制率</w:t>
            </w:r>
            <w:r>
              <w:rPr>
                <w:rFonts w:ascii="Times New Roman" w:hAnsi="Times New Roman" w:cs="Times New Roman"/>
                <w:b/>
                <w:bCs/>
                <w:sz w:val="18"/>
                <w:szCs w:val="18"/>
              </w:rPr>
              <w:t>(DCR)</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267/399 (66.9%)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238/399 (</w:t>
            </w:r>
            <w:bookmarkStart w:id="13" w:name="OLE_LINK4"/>
            <w:bookmarkStart w:id="14" w:name="OLE_LINK3"/>
            <w:r>
              <w:rPr>
                <w:rFonts w:ascii="Times New Roman" w:hAnsi="Times New Roman" w:cs="Times New Roman"/>
                <w:sz w:val="18"/>
                <w:szCs w:val="18"/>
              </w:rPr>
              <w:t>59.6</w:t>
            </w:r>
            <w:bookmarkEnd w:id="13"/>
            <w:bookmarkEnd w:id="14"/>
            <w:r>
              <w:rPr>
                <w:rFonts w:ascii="Times New Roman" w:hAnsi="Times New Roman" w:cs="Times New Roman"/>
                <w:sz w:val="18"/>
                <w:szCs w:val="18"/>
              </w:rPr>
              <w:t>%)</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505/798 (63.3%)</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0.0332</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w:t>
            </w:r>
            <w:r>
              <w:rPr>
                <w:rFonts w:ascii="Times New Roman" w:hAnsi="Times New Roman" w:cs="Times New Roman"/>
                <w:i/>
                <w:iCs/>
                <w:sz w:val="16"/>
                <w:szCs w:val="16"/>
              </w:rPr>
              <w:t>1</w:t>
            </w:r>
            <w:r>
              <w:rPr>
                <w:rFonts w:ascii="Times New Roman" w:hAnsi="Times New Roman" w:eastAsia="宋体" w:cs="Times New Roman"/>
                <w:i/>
                <w:iCs/>
                <w:sz w:val="16"/>
                <w:szCs w:val="16"/>
              </w:rPr>
              <w:t>）如果同一患者有多次疗效评价结果，取最优那次疗效评价结果进行描述；</w:t>
            </w:r>
            <w:r>
              <w:rPr>
                <w:rFonts w:ascii="Times New Roman" w:hAnsi="Times New Roman" w:cs="Times New Roman"/>
                <w:i/>
                <w:iCs/>
                <w:sz w:val="16"/>
                <w:szCs w:val="16"/>
              </w:rPr>
              <w:t>2</w:t>
            </w:r>
            <w:r>
              <w:rPr>
                <w:rFonts w:ascii="Times New Roman" w:hAnsi="Times New Roman" w:eastAsia="宋体" w:cs="Times New Roman"/>
                <w:i/>
                <w:iCs/>
                <w:sz w:val="16"/>
                <w:szCs w:val="16"/>
              </w:rPr>
              <w:t>）带</w:t>
            </w:r>
            <w:r>
              <w:rPr>
                <w:rFonts w:ascii="Times New Roman" w:hAnsi="Times New Roman" w:cs="Times New Roman"/>
                <w:i/>
                <w:iCs/>
                <w:sz w:val="16"/>
                <w:szCs w:val="16"/>
              </w:rPr>
              <w:t>*</w:t>
            </w:r>
            <w:r>
              <w:rPr>
                <w:rFonts w:ascii="Times New Roman" w:hAnsi="Times New Roman" w:eastAsia="宋体" w:cs="Times New Roman"/>
                <w:i/>
                <w:iCs/>
                <w:sz w:val="16"/>
                <w:szCs w:val="16"/>
              </w:rPr>
              <w:t>号</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spacing w:before="120" w:beforeLines="50" w:after="120" w:afterLines="50" w:line="360" w:lineRule="auto"/>
        <w:ind w:firstLine="482" w:firstLineChars="200"/>
        <w:rPr>
          <w:rFonts w:ascii="Times New Roman" w:hAnsi="Times New Roman" w:eastAsia="宋体" w:cs="Times New Roman"/>
          <w:b/>
          <w:i/>
          <w:sz w:val="24"/>
          <w:highlight w:val="yellow"/>
        </w:rPr>
      </w:pPr>
      <w:r>
        <w:rPr>
          <w:rFonts w:ascii="Times New Roman" w:hAnsi="Times New Roman" w:eastAsia="宋体" w:cs="Times New Roman"/>
          <w:b/>
          <w:i/>
          <w:sz w:val="24"/>
        </w:rPr>
        <w:t>由上表可知，对于最优疗效评价结果，参芪扶正组患者ORR比对照组高4.2%（29.3% vs 25.1%），但差异无统计学意义（P=0.1762）；</w:t>
      </w:r>
      <w:r>
        <w:rPr>
          <w:rFonts w:ascii="Times New Roman" w:hAnsi="Times New Roman" w:eastAsia="宋体" w:cs="Times New Roman"/>
          <w:b/>
          <w:i/>
          <w:sz w:val="24"/>
          <w:highlight w:val="yellow"/>
        </w:rPr>
        <w:t>参芪扶正组患者DCR比对照组高7.3%（66.9% vs 59.6%），且差异有统计学意义（P=0.0332）。</w:t>
      </w:r>
    </w:p>
    <w:p>
      <w:pPr>
        <w:adjustRightInd w:val="0"/>
        <w:jc w:val="center"/>
        <w:rPr>
          <w:rFonts w:ascii="Times New Roman" w:hAnsi="Times New Roman" w:cs="Times New Roman"/>
          <w:b/>
          <w:bCs/>
          <w:sz w:val="22"/>
          <w:szCs w:val="22"/>
        </w:rPr>
      </w:pPr>
      <w:r>
        <w:rPr>
          <w:rFonts w:ascii="Times New Roman" w:hAnsi="Times New Roman" w:cs="Times New Roman"/>
          <w:b/>
          <w:bCs/>
          <w:sz w:val="22"/>
          <w:szCs w:val="22"/>
          <w:shd w:val="clear" w:color="auto" w:fill="FFFFFF"/>
        </w:rPr>
        <w:t>表</w:t>
      </w:r>
      <w:r>
        <w:rPr>
          <w:rFonts w:hint="eastAsia" w:ascii="Times New Roman" w:hAnsi="Times New Roman" w:cs="Times New Roman" w:eastAsiaTheme="minorEastAsia"/>
          <w:b/>
          <w:bCs/>
          <w:sz w:val="22"/>
          <w:szCs w:val="22"/>
          <w:shd w:val="clear" w:color="auto" w:fill="FFFFFF"/>
        </w:rPr>
        <w:t>3.</w:t>
      </w:r>
      <w:r>
        <w:rPr>
          <w:rFonts w:ascii="Times New Roman" w:hAnsi="Times New Roman" w:cs="Times New Roman"/>
          <w:b/>
          <w:bCs/>
          <w:sz w:val="22"/>
          <w:szCs w:val="22"/>
          <w:shd w:val="clear" w:color="auto" w:fill="FFFFFF"/>
        </w:rPr>
        <w:t>1.2</w:t>
      </w:r>
      <w:r>
        <w:rPr>
          <w:rFonts w:hint="eastAsia" w:ascii="Times New Roman" w:hAnsi="Times New Roman" w:cs="Times New Roman" w:eastAsiaTheme="minorEastAsia"/>
          <w:b/>
          <w:bCs/>
          <w:sz w:val="22"/>
          <w:szCs w:val="22"/>
          <w:shd w:val="clear" w:color="auto" w:fill="FFFFFF"/>
        </w:rPr>
        <w:t>.5</w:t>
      </w:r>
      <w:r>
        <w:rPr>
          <w:rFonts w:ascii="Times New Roman" w:hAnsi="Times New Roman" w:cs="Times New Roman"/>
          <w:b/>
          <w:bCs/>
          <w:sz w:val="22"/>
          <w:szCs w:val="22"/>
          <w:shd w:val="clear" w:color="auto" w:fill="FFFFFF"/>
        </w:rPr>
        <w:t xml:space="preserve"> 最差评价结果</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疗效评价</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(N=798)</w:t>
            </w:r>
          </w:p>
        </w:tc>
        <w:tc>
          <w:tcPr>
            <w:tcW w:w="88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疗效评价结果</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0.0279</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798(0)</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CR</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PR</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62 (15.5%)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41 (10.3%)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103 (12.9%)</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SD</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132 (33.1%)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122 (30.6%)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254 (31.8%)</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PD</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205 (51.4%)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234 (58.6%)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439 (55.0%)</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客观缓解率</w:t>
            </w:r>
            <w:r>
              <w:rPr>
                <w:rFonts w:ascii="Times New Roman" w:hAnsi="Times New Roman" w:cs="Times New Roman"/>
                <w:b/>
                <w:bCs/>
                <w:sz w:val="18"/>
                <w:szCs w:val="18"/>
              </w:rPr>
              <w:t>(ORR)</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62/399 (15.5%)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43/399 (10.8%)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105/798 (13.2%)</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0.0466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疾病控制率</w:t>
            </w:r>
            <w:r>
              <w:rPr>
                <w:rFonts w:ascii="Times New Roman" w:hAnsi="Times New Roman" w:cs="Times New Roman"/>
                <w:b/>
                <w:bCs/>
                <w:sz w:val="18"/>
                <w:szCs w:val="18"/>
              </w:rPr>
              <w:t>(DCR)</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194/399 (48.6%)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165/399 (41.4%)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359/798 (45.0%)</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0.0391</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w:t>
            </w:r>
            <w:r>
              <w:rPr>
                <w:rFonts w:ascii="Times New Roman" w:hAnsi="Times New Roman" w:cs="Times New Roman"/>
                <w:i/>
                <w:iCs/>
                <w:sz w:val="16"/>
                <w:szCs w:val="16"/>
              </w:rPr>
              <w:t>1</w:t>
            </w:r>
            <w:r>
              <w:rPr>
                <w:rFonts w:ascii="Times New Roman" w:hAnsi="Times New Roman" w:eastAsia="宋体" w:cs="Times New Roman"/>
                <w:i/>
                <w:iCs/>
                <w:sz w:val="16"/>
                <w:szCs w:val="16"/>
              </w:rPr>
              <w:t>）如果同一患者有多次疗效评价结果，取最差那次疗效评价结果进行描述；</w:t>
            </w:r>
            <w:r>
              <w:rPr>
                <w:rFonts w:ascii="Times New Roman" w:hAnsi="Times New Roman" w:cs="Times New Roman"/>
                <w:i/>
                <w:iCs/>
                <w:sz w:val="16"/>
                <w:szCs w:val="16"/>
              </w:rPr>
              <w:t>2</w:t>
            </w:r>
            <w:r>
              <w:rPr>
                <w:rFonts w:ascii="Times New Roman" w:hAnsi="Times New Roman" w:eastAsia="宋体" w:cs="Times New Roman"/>
                <w:i/>
                <w:iCs/>
                <w:sz w:val="16"/>
                <w:szCs w:val="16"/>
              </w:rPr>
              <w:t>）带</w:t>
            </w:r>
            <w:r>
              <w:rPr>
                <w:rFonts w:ascii="Times New Roman" w:hAnsi="Times New Roman" w:cs="Times New Roman"/>
                <w:i/>
                <w:iCs/>
                <w:sz w:val="16"/>
                <w:szCs w:val="16"/>
              </w:rPr>
              <w:t>*</w:t>
            </w:r>
            <w:r>
              <w:rPr>
                <w:rFonts w:ascii="Times New Roman" w:hAnsi="Times New Roman" w:eastAsia="宋体" w:cs="Times New Roman"/>
                <w:i/>
                <w:iCs/>
                <w:sz w:val="16"/>
                <w:szCs w:val="16"/>
              </w:rPr>
              <w:t>号</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spacing w:before="120" w:beforeLines="50" w:after="120" w:afterLines="50" w:line="360" w:lineRule="auto"/>
        <w:ind w:firstLine="482" w:firstLineChars="200"/>
        <w:rPr>
          <w:rFonts w:ascii="Times New Roman" w:hAnsi="Times New Roman" w:eastAsia="宋体" w:cs="Times New Roman"/>
          <w:b/>
          <w:i/>
          <w:sz w:val="24"/>
          <w:highlight w:val="yellow"/>
        </w:rPr>
      </w:pPr>
      <w:r>
        <w:rPr>
          <w:rFonts w:ascii="Times New Roman" w:hAnsi="Times New Roman" w:eastAsia="宋体" w:cs="Times New Roman"/>
          <w:b/>
          <w:i/>
          <w:sz w:val="24"/>
        </w:rPr>
        <w:t>由上表可知，对于最差疗效评价结果，参芪扶正组患者ORR比对照组高4.7%（15.5% vs 10.8%），且差异有统计学意义（P=0.0466）；参芪扶</w:t>
      </w:r>
      <w:r>
        <w:rPr>
          <w:rFonts w:ascii="Times New Roman" w:hAnsi="Times New Roman" w:eastAsia="宋体" w:cs="Times New Roman"/>
          <w:b/>
          <w:i/>
          <w:sz w:val="24"/>
          <w:highlight w:val="yellow"/>
        </w:rPr>
        <w:t>正组患者DCR比对照组高7.2%（48.6% vs 41.4%），且差异有统计学意义（P=0.0391）。</w:t>
      </w:r>
    </w:p>
    <w:p>
      <w:pPr>
        <w:adjustRightInd w:val="0"/>
        <w:jc w:val="center"/>
        <w:rPr>
          <w:rFonts w:ascii="Times New Roman" w:hAnsi="Times New Roman" w:cs="Times New Roman"/>
          <w:b/>
          <w:bCs/>
          <w:sz w:val="22"/>
          <w:szCs w:val="22"/>
        </w:rPr>
      </w:pPr>
      <w:r>
        <w:rPr>
          <w:rFonts w:ascii="Times New Roman" w:hAnsi="Times New Roman" w:cs="Times New Roman"/>
          <w:b/>
          <w:bCs/>
          <w:sz w:val="22"/>
          <w:szCs w:val="22"/>
          <w:shd w:val="clear" w:color="auto" w:fill="FFFFFF"/>
        </w:rPr>
        <w:t>表</w:t>
      </w:r>
      <w:r>
        <w:rPr>
          <w:rFonts w:hint="eastAsia" w:ascii="Times New Roman" w:hAnsi="Times New Roman" w:cs="Times New Roman" w:eastAsiaTheme="minorEastAsia"/>
          <w:b/>
          <w:bCs/>
          <w:sz w:val="22"/>
          <w:szCs w:val="22"/>
          <w:shd w:val="clear" w:color="auto" w:fill="FFFFFF"/>
        </w:rPr>
        <w:t>3.</w:t>
      </w:r>
      <w:r>
        <w:rPr>
          <w:rFonts w:ascii="Times New Roman" w:hAnsi="Times New Roman" w:cs="Times New Roman"/>
          <w:b/>
          <w:bCs/>
          <w:sz w:val="22"/>
          <w:szCs w:val="22"/>
          <w:shd w:val="clear" w:color="auto" w:fill="FFFFFF"/>
        </w:rPr>
        <w:t>1.</w:t>
      </w:r>
      <w:r>
        <w:rPr>
          <w:rFonts w:hint="eastAsia" w:ascii="Times New Roman" w:hAnsi="Times New Roman" w:cs="Times New Roman" w:eastAsiaTheme="minorEastAsia"/>
          <w:b/>
          <w:bCs/>
          <w:sz w:val="22"/>
          <w:szCs w:val="22"/>
          <w:shd w:val="clear" w:color="auto" w:fill="FFFFFF"/>
        </w:rPr>
        <w:t>2.6</w:t>
      </w:r>
      <w:r>
        <w:rPr>
          <w:rFonts w:ascii="Times New Roman" w:hAnsi="Times New Roman" w:cs="Times New Roman"/>
          <w:b/>
          <w:bCs/>
          <w:sz w:val="22"/>
          <w:szCs w:val="22"/>
          <w:shd w:val="clear" w:color="auto" w:fill="FFFFFF"/>
        </w:rPr>
        <w:t xml:space="preserve"> 最近评价结果</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疗效评价</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(N=798)</w:t>
            </w:r>
          </w:p>
        </w:tc>
        <w:tc>
          <w:tcPr>
            <w:tcW w:w="88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疗效评价结果</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0.0467</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798(0)</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CR</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(0.5%)</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PR</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94 (23.6%)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68 (17.0%)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162 (20.3%)</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SD</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149 (37.3%)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145 (36.3%)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294 (36.8%)</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PD</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155 (38.8%)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183 (45.9%)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338 (42.4%)</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客观缓解率</w:t>
            </w:r>
            <w:r>
              <w:rPr>
                <w:rFonts w:ascii="Times New Roman" w:hAnsi="Times New Roman" w:cs="Times New Roman"/>
                <w:b/>
                <w:bCs/>
                <w:sz w:val="18"/>
                <w:szCs w:val="18"/>
              </w:rPr>
              <w:t>(ORR)</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95/399 (23.8%)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71/399 (17.8%)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166/798 (20.8%)</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0.0363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疾病控制率</w:t>
            </w:r>
            <w:r>
              <w:rPr>
                <w:rFonts w:ascii="Times New Roman" w:hAnsi="Times New Roman" w:cs="Times New Roman"/>
                <w:b/>
                <w:bCs/>
                <w:sz w:val="18"/>
                <w:szCs w:val="18"/>
              </w:rPr>
              <w:t>(DCR)</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244/399 (61.2%)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216/399 (54.1%)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460/798 (57.6%)</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0.0449</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w:t>
            </w:r>
            <w:r>
              <w:rPr>
                <w:rFonts w:ascii="Times New Roman" w:hAnsi="Times New Roman" w:cs="Times New Roman"/>
                <w:i/>
                <w:iCs/>
                <w:sz w:val="16"/>
                <w:szCs w:val="16"/>
              </w:rPr>
              <w:t>1</w:t>
            </w:r>
            <w:r>
              <w:rPr>
                <w:rFonts w:ascii="Times New Roman" w:hAnsi="Times New Roman" w:eastAsia="宋体" w:cs="Times New Roman"/>
                <w:i/>
                <w:iCs/>
                <w:sz w:val="16"/>
                <w:szCs w:val="16"/>
              </w:rPr>
              <w:t>）如果同一患者有多次疗效评价结果，取离末次基线化疗最近那次疗效评价结果进行描述；</w:t>
            </w:r>
            <w:r>
              <w:rPr>
                <w:rFonts w:ascii="Times New Roman" w:hAnsi="Times New Roman" w:cs="Times New Roman"/>
                <w:i/>
                <w:iCs/>
                <w:sz w:val="16"/>
                <w:szCs w:val="16"/>
              </w:rPr>
              <w:t>2</w:t>
            </w:r>
            <w:r>
              <w:rPr>
                <w:rFonts w:ascii="Times New Roman" w:hAnsi="Times New Roman" w:eastAsia="宋体" w:cs="Times New Roman"/>
                <w:i/>
                <w:iCs/>
                <w:sz w:val="16"/>
                <w:szCs w:val="16"/>
              </w:rPr>
              <w:t>）带</w:t>
            </w:r>
            <w:r>
              <w:rPr>
                <w:rFonts w:ascii="Times New Roman" w:hAnsi="Times New Roman" w:cs="Times New Roman"/>
                <w:i/>
                <w:iCs/>
                <w:sz w:val="16"/>
                <w:szCs w:val="16"/>
              </w:rPr>
              <w:t>*</w:t>
            </w:r>
            <w:r>
              <w:rPr>
                <w:rFonts w:ascii="Times New Roman" w:hAnsi="Times New Roman" w:eastAsia="宋体" w:cs="Times New Roman"/>
                <w:i/>
                <w:iCs/>
                <w:sz w:val="16"/>
                <w:szCs w:val="16"/>
              </w:rPr>
              <w:t>号</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spacing w:before="120" w:beforeLines="50" w:line="360" w:lineRule="auto"/>
        <w:ind w:firstLine="482" w:firstLineChars="200"/>
        <w:rPr>
          <w:rFonts w:ascii="Times New Roman" w:hAnsi="Times New Roman" w:eastAsia="宋体" w:cs="Times New Roman"/>
          <w:b/>
          <w:i/>
          <w:sz w:val="24"/>
          <w:highlight w:val="yellow"/>
        </w:rPr>
      </w:pPr>
      <w:r>
        <w:rPr>
          <w:rFonts w:ascii="Times New Roman" w:hAnsi="Times New Roman" w:eastAsia="宋体" w:cs="Times New Roman"/>
          <w:b/>
          <w:i/>
          <w:sz w:val="24"/>
        </w:rPr>
        <w:t>由上表可知，对于最近疗效评价结果，参芪扶正组患者ORR比对照组高6.0%（23.8% vs 17.8%），且差异有统计学意义（P=0.0363）；参</w:t>
      </w:r>
      <w:r>
        <w:rPr>
          <w:rFonts w:ascii="Times New Roman" w:hAnsi="Times New Roman" w:eastAsia="宋体" w:cs="Times New Roman"/>
          <w:b/>
          <w:i/>
          <w:sz w:val="24"/>
          <w:highlight w:val="yellow"/>
        </w:rPr>
        <w:t>芪扶正组患者DCR比对照组高7.1%（61.2% vs 54.1%），且差异有统计学意义（P=0.0449）。</w:t>
      </w:r>
    </w:p>
    <w:p>
      <w:pPr>
        <w:pStyle w:val="4"/>
        <w:rPr>
          <w:rFonts w:ascii="Times New Roman" w:hAnsi="Times New Roman" w:eastAsia="宋体" w:cs="Times New Roman"/>
          <w:sz w:val="24"/>
          <w:szCs w:val="24"/>
        </w:rPr>
      </w:pPr>
      <w:bookmarkStart w:id="15" w:name="_Toc33465506"/>
      <w:r>
        <w:rPr>
          <w:rFonts w:hint="eastAsia" w:ascii="Times New Roman" w:hAnsi="Times New Roman" w:eastAsia="宋体" w:cs="Times New Roman"/>
          <w:sz w:val="24"/>
          <w:szCs w:val="24"/>
        </w:rPr>
        <w:t>多因素回归调整后结果</w:t>
      </w:r>
      <w:bookmarkEnd w:id="15"/>
    </w:p>
    <w:p>
      <w:pPr>
        <w:spacing w:line="360" w:lineRule="auto"/>
        <w:ind w:firstLine="480" w:firstLineChars="200"/>
        <w:rPr>
          <w:rFonts w:ascii="Times New Roman" w:hAnsi="Times New Roman" w:eastAsia="宋体" w:cs="Times New Roman"/>
          <w:color w:val="auto"/>
          <w:sz w:val="24"/>
          <w:szCs w:val="20"/>
        </w:rPr>
      </w:pPr>
      <w:r>
        <w:rPr>
          <w:rFonts w:ascii="Times New Roman" w:hAnsi="Times New Roman" w:eastAsia="宋体" w:cs="Times New Roman"/>
          <w:kern w:val="0"/>
          <w:sz w:val="24"/>
          <w:szCs w:val="24"/>
        </w:rPr>
        <w:t>本部分内容对两组患者采用多因素回归调整的方法来控制混杂因素对分析结果的影响。</w:t>
      </w:r>
      <w:r>
        <w:rPr>
          <w:rFonts w:ascii="Times New Roman" w:hAnsi="Times New Roman" w:eastAsia="宋体" w:cs="Times New Roman"/>
          <w:kern w:val="0"/>
          <w:sz w:val="24"/>
          <w:szCs w:val="24"/>
        </w:rPr>
        <w:t>将采用多因素</w:t>
      </w:r>
      <w:r>
        <w:rPr>
          <w:rFonts w:ascii="Times New Roman" w:hAnsi="Times New Roman" w:cs="Times New Roman"/>
          <w:kern w:val="0"/>
          <w:sz w:val="24"/>
          <w:szCs w:val="24"/>
        </w:rPr>
        <w:t>logistic</w:t>
      </w:r>
      <w:r>
        <w:rPr>
          <w:rFonts w:ascii="Times New Roman" w:hAnsi="Times New Roman" w:eastAsia="宋体" w:cs="Times New Roman"/>
          <w:kern w:val="0"/>
          <w:sz w:val="24"/>
          <w:szCs w:val="24"/>
        </w:rPr>
        <w:t>回归模型对</w:t>
      </w:r>
      <w:r>
        <w:rPr>
          <w:rFonts w:ascii="Times New Roman" w:hAnsi="Times New Roman" w:cs="Times New Roman"/>
          <w:kern w:val="0"/>
          <w:sz w:val="24"/>
          <w:szCs w:val="24"/>
        </w:rPr>
        <w:t>ORR/DCR</w:t>
      </w:r>
      <w:r>
        <w:rPr>
          <w:rFonts w:ascii="Times New Roman" w:hAnsi="Times New Roman" w:eastAsia="宋体" w:cs="Times New Roman"/>
          <w:kern w:val="0"/>
          <w:sz w:val="24"/>
          <w:szCs w:val="24"/>
        </w:rPr>
        <w:t>进行估计（调整的因素包括：性别、年龄、疾病分期、基线化疗方案、基线化疗周期数、病理类型、有无肝转移、有无根治术、是否有</w:t>
      </w:r>
      <w:r>
        <w:rPr>
          <w:rFonts w:hint="eastAsia" w:ascii="Times New Roman" w:hAnsi="Times New Roman" w:eastAsia="宋体" w:cs="Times New Roman"/>
          <w:kern w:val="0"/>
          <w:sz w:val="24"/>
          <w:szCs w:val="24"/>
        </w:rPr>
        <w:t>后续</w:t>
      </w:r>
      <w:r>
        <w:rPr>
          <w:rFonts w:ascii="Times New Roman" w:hAnsi="Times New Roman" w:eastAsia="宋体" w:cs="Times New Roman"/>
          <w:kern w:val="0"/>
          <w:sz w:val="24"/>
          <w:szCs w:val="24"/>
        </w:rPr>
        <w:t>靶向治疗、医院类型），其分析结果如下，详见下表3.1.3.1~3.1.3.3。</w:t>
      </w:r>
      <w:r>
        <w:rPr>
          <w:rFonts w:ascii="Times New Roman" w:hAnsi="Times New Roman" w:eastAsia="宋体" w:cs="Times New Roman"/>
          <w:color w:val="auto"/>
          <w:sz w:val="24"/>
          <w:szCs w:val="20"/>
        </w:rPr>
        <w:t xml:space="preserve"> </w:t>
      </w:r>
    </w:p>
    <w:p>
      <w:pPr>
        <w:adjustRightInd w:val="0"/>
        <w:jc w:val="center"/>
        <w:rPr>
          <w:rFonts w:ascii="Times New Roman" w:hAnsi="Times New Roman" w:cs="Times New Roman"/>
          <w:b/>
          <w:bCs/>
          <w:sz w:val="22"/>
          <w:szCs w:val="22"/>
        </w:rPr>
      </w:pPr>
      <w:r>
        <w:rPr>
          <w:rFonts w:hint="eastAsia" w:ascii="宋体" w:hAnsi="宋体" w:eastAsia="宋体" w:cs="宋体"/>
          <w:b/>
          <w:bCs/>
          <w:sz w:val="22"/>
          <w:szCs w:val="22"/>
          <w:shd w:val="clear" w:color="auto" w:fill="FFFFFF"/>
        </w:rPr>
        <w:t>表</w:t>
      </w:r>
      <w:r>
        <w:rPr>
          <w:rFonts w:ascii="Times New Roman" w:hAnsi="Times New Roman" w:cs="Times New Roman" w:eastAsiaTheme="minorEastAsia"/>
          <w:b/>
          <w:bCs/>
          <w:sz w:val="22"/>
          <w:szCs w:val="22"/>
          <w:shd w:val="clear" w:color="auto" w:fill="FFFFFF"/>
        </w:rPr>
        <w:t>3.1.3</w:t>
      </w:r>
      <w:r>
        <w:rPr>
          <w:rFonts w:ascii="Times New Roman" w:hAnsi="Times New Roman" w:cs="Times New Roman"/>
          <w:b/>
          <w:bCs/>
          <w:sz w:val="22"/>
          <w:szCs w:val="22"/>
          <w:shd w:val="clear" w:color="auto" w:fill="FFFFFF"/>
        </w:rPr>
        <w:t xml:space="preserve">.1 </w:t>
      </w:r>
      <w:r>
        <w:rPr>
          <w:rFonts w:hint="eastAsia" w:ascii="宋体" w:hAnsi="宋体" w:eastAsia="宋体" w:cs="宋体"/>
          <w:b/>
          <w:bCs/>
          <w:sz w:val="22"/>
          <w:szCs w:val="22"/>
          <w:shd w:val="clear" w:color="auto" w:fill="FFFFFF"/>
        </w:rPr>
        <w:t>最优评价结果</w:t>
      </w:r>
    </w:p>
    <w:tbl>
      <w:tblPr>
        <w:tblStyle w:val="22"/>
        <w:tblW w:w="5000" w:type="pct"/>
        <w:jc w:val="center"/>
        <w:tblLayout w:type="autofit"/>
        <w:tblCellMar>
          <w:top w:w="0" w:type="dxa"/>
          <w:left w:w="0" w:type="dxa"/>
          <w:bottom w:w="0" w:type="dxa"/>
          <w:right w:w="0" w:type="dxa"/>
        </w:tblCellMar>
      </w:tblPr>
      <w:tblGrid>
        <w:gridCol w:w="3271"/>
        <w:gridCol w:w="2628"/>
        <w:gridCol w:w="2628"/>
        <w:gridCol w:w="1978"/>
      </w:tblGrid>
      <w:tr>
        <w:tblPrEx>
          <w:tblCellMar>
            <w:top w:w="0" w:type="dxa"/>
            <w:left w:w="0" w:type="dxa"/>
            <w:bottom w:w="0" w:type="dxa"/>
            <w:right w:w="0" w:type="dxa"/>
          </w:tblCellMar>
        </w:tblPrEx>
        <w:trPr>
          <w:cantSplit/>
          <w:tblHeader/>
          <w:jc w:val="center"/>
        </w:trPr>
        <w:tc>
          <w:tcPr>
            <w:tcW w:w="1557"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疗效评价</w:t>
            </w:r>
          </w:p>
        </w:tc>
        <w:tc>
          <w:tcPr>
            <w:tcW w:w="1251"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t>N=(399)</w:t>
            </w:r>
          </w:p>
        </w:tc>
        <w:tc>
          <w:tcPr>
            <w:tcW w:w="1251"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t>N=(729)</w:t>
            </w:r>
          </w:p>
        </w:tc>
        <w:tc>
          <w:tcPr>
            <w:tcW w:w="941"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55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客观缓解率</w:t>
            </w:r>
            <w:r>
              <w:rPr>
                <w:rFonts w:ascii="Times New Roman" w:hAnsi="Times New Roman" w:cs="Times New Roman"/>
                <w:b/>
                <w:bCs/>
                <w:sz w:val="18"/>
                <w:szCs w:val="18"/>
              </w:rPr>
              <w:t>(ORR)</w:t>
            </w:r>
          </w:p>
        </w:tc>
        <w:tc>
          <w:tcPr>
            <w:tcW w:w="1251"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22.4%(14.4%,33.0%)</w:t>
            </w:r>
          </w:p>
        </w:tc>
        <w:tc>
          <w:tcPr>
            <w:tcW w:w="1251"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19.9%(12.8%,29.5%)</w:t>
            </w:r>
          </w:p>
        </w:tc>
        <w:tc>
          <w:tcPr>
            <w:tcW w:w="941"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0.3089</w:t>
            </w:r>
          </w:p>
        </w:tc>
      </w:tr>
      <w:tr>
        <w:tblPrEx>
          <w:tblCellMar>
            <w:top w:w="0" w:type="dxa"/>
            <w:left w:w="0" w:type="dxa"/>
            <w:bottom w:w="0" w:type="dxa"/>
            <w:right w:w="0" w:type="dxa"/>
          </w:tblCellMar>
        </w:tblPrEx>
        <w:trPr>
          <w:cantSplit/>
          <w:jc w:val="center"/>
        </w:trPr>
        <w:tc>
          <w:tcPr>
            <w:tcW w:w="155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疾病控制率</w:t>
            </w:r>
            <w:r>
              <w:rPr>
                <w:rFonts w:ascii="Times New Roman" w:hAnsi="Times New Roman" w:cs="Times New Roman"/>
                <w:b/>
                <w:bCs/>
                <w:sz w:val="18"/>
                <w:szCs w:val="18"/>
              </w:rPr>
              <w:t>(DCR)</w:t>
            </w:r>
          </w:p>
        </w:tc>
        <w:tc>
          <w:tcPr>
            <w:tcW w:w="1251"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63.0%(52.2%,72.7%)</w:t>
            </w:r>
          </w:p>
        </w:tc>
        <w:tc>
          <w:tcPr>
            <w:tcW w:w="1251"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56.5%(45.9%,66.6%)</w:t>
            </w:r>
          </w:p>
        </w:tc>
        <w:tc>
          <w:tcPr>
            <w:tcW w:w="941"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0.0499</w:t>
            </w:r>
          </w:p>
        </w:tc>
      </w:tr>
      <w:tr>
        <w:tblPrEx>
          <w:tblCellMar>
            <w:top w:w="0" w:type="dxa"/>
            <w:left w:w="0" w:type="dxa"/>
            <w:bottom w:w="0" w:type="dxa"/>
            <w:right w:w="0" w:type="dxa"/>
          </w:tblCellMar>
        </w:tblPrEx>
        <w:trPr>
          <w:cantSplit/>
          <w:jc w:val="center"/>
        </w:trPr>
        <w:tc>
          <w:tcPr>
            <w:tcW w:w="5000" w:type="pct"/>
            <w:gridSpan w:val="4"/>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注：调整的因素有性别、年龄、疾病分期、基线化疗方案、基线化疗周期数、病理类型、有无肝转移、有无根治术、是否有靶向治疗、医院类型。</w:t>
            </w:r>
          </w:p>
        </w:tc>
      </w:tr>
    </w:tbl>
    <w:p>
      <w:pPr>
        <w:spacing w:before="120" w:beforeLines="50" w:after="120" w:afterLines="50" w:line="360" w:lineRule="auto"/>
        <w:ind w:firstLine="482" w:firstLineChars="200"/>
        <w:rPr>
          <w:rFonts w:ascii="Times New Roman" w:hAnsi="Times New Roman" w:eastAsia="宋体" w:cs="Times New Roman"/>
          <w:b/>
          <w:i/>
          <w:sz w:val="24"/>
          <w:highlight w:val="yellow"/>
        </w:rPr>
      </w:pPr>
      <w:r>
        <w:rPr>
          <w:rFonts w:ascii="Times New Roman" w:hAnsi="Times New Roman" w:eastAsia="宋体" w:cs="Times New Roman"/>
          <w:b/>
          <w:i/>
          <w:sz w:val="24"/>
        </w:rPr>
        <w:t>由上表可知，经多因素logistic回归模型调整后，对于最优疗效评价结果，参芪扶正组患者ORR比对照组高约2.5%（22.4% vs 19.9%），但差异</w:t>
      </w:r>
      <w:r>
        <w:rPr>
          <w:rFonts w:ascii="Times New Roman" w:hAnsi="Times New Roman" w:eastAsia="宋体" w:cs="Times New Roman"/>
          <w:b/>
          <w:i/>
          <w:sz w:val="24"/>
          <w:highlight w:val="yellow"/>
        </w:rPr>
        <w:t>无统计学意义</w:t>
      </w:r>
      <w:r>
        <w:rPr>
          <w:rFonts w:ascii="Times New Roman" w:hAnsi="Times New Roman" w:eastAsia="宋体" w:cs="Times New Roman"/>
          <w:b/>
          <w:i/>
          <w:sz w:val="24"/>
        </w:rPr>
        <w:t>（P=0.3089）；</w:t>
      </w:r>
      <w:r>
        <w:rPr>
          <w:rFonts w:ascii="Times New Roman" w:hAnsi="Times New Roman" w:eastAsia="宋体" w:cs="Times New Roman"/>
          <w:b/>
          <w:i/>
          <w:sz w:val="24"/>
          <w:highlight w:val="yellow"/>
        </w:rPr>
        <w:t>参芪扶正组患者DCR比对照组高约6.5%（63.0% vs 56.5%），差异有统计学意义（P=0.0499）。</w:t>
      </w:r>
    </w:p>
    <w:p>
      <w:pPr>
        <w:adjustRightInd w:val="0"/>
        <w:jc w:val="center"/>
        <w:rPr>
          <w:rFonts w:ascii="Times New Roman" w:hAnsi="Times New Roman" w:cs="Times New Roman"/>
          <w:b/>
          <w:bCs/>
          <w:sz w:val="22"/>
          <w:szCs w:val="22"/>
        </w:rPr>
      </w:pPr>
      <w:r>
        <w:rPr>
          <w:rFonts w:hint="eastAsia" w:ascii="宋体" w:hAnsi="宋体" w:eastAsia="宋体" w:cs="宋体"/>
          <w:b/>
          <w:bCs/>
          <w:sz w:val="22"/>
          <w:szCs w:val="22"/>
          <w:shd w:val="clear" w:color="auto" w:fill="FFFFFF"/>
        </w:rPr>
        <w:t>表</w:t>
      </w:r>
      <w:r>
        <w:rPr>
          <w:rFonts w:ascii="Times New Roman" w:hAnsi="Times New Roman" w:cs="Times New Roman" w:eastAsiaTheme="minorEastAsia"/>
          <w:b/>
          <w:bCs/>
          <w:sz w:val="22"/>
          <w:szCs w:val="22"/>
          <w:shd w:val="clear" w:color="auto" w:fill="FFFFFF"/>
        </w:rPr>
        <w:t>3.1.3</w:t>
      </w:r>
      <w:r>
        <w:rPr>
          <w:rFonts w:ascii="Times New Roman" w:hAnsi="Times New Roman" w:cs="Times New Roman"/>
          <w:b/>
          <w:bCs/>
          <w:sz w:val="22"/>
          <w:szCs w:val="22"/>
          <w:shd w:val="clear" w:color="auto" w:fill="FFFFFF"/>
        </w:rPr>
        <w:t xml:space="preserve">.2 </w:t>
      </w:r>
      <w:r>
        <w:rPr>
          <w:rFonts w:hint="eastAsia" w:ascii="宋体" w:hAnsi="宋体" w:eastAsia="宋体" w:cs="宋体"/>
          <w:b/>
          <w:bCs/>
          <w:sz w:val="22"/>
          <w:szCs w:val="22"/>
          <w:shd w:val="clear" w:color="auto" w:fill="FFFFFF"/>
        </w:rPr>
        <w:t>最差评价结果</w:t>
      </w:r>
    </w:p>
    <w:tbl>
      <w:tblPr>
        <w:tblStyle w:val="22"/>
        <w:tblW w:w="5000" w:type="pct"/>
        <w:jc w:val="center"/>
        <w:tblLayout w:type="autofit"/>
        <w:tblCellMar>
          <w:top w:w="0" w:type="dxa"/>
          <w:left w:w="0" w:type="dxa"/>
          <w:bottom w:w="0" w:type="dxa"/>
          <w:right w:w="0" w:type="dxa"/>
        </w:tblCellMar>
      </w:tblPr>
      <w:tblGrid>
        <w:gridCol w:w="3271"/>
        <w:gridCol w:w="2628"/>
        <w:gridCol w:w="2628"/>
        <w:gridCol w:w="1978"/>
      </w:tblGrid>
      <w:tr>
        <w:trPr>
          <w:cantSplit/>
          <w:tblHeader/>
          <w:jc w:val="center"/>
        </w:trPr>
        <w:tc>
          <w:tcPr>
            <w:tcW w:w="1557"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疗效评价</w:t>
            </w:r>
          </w:p>
        </w:tc>
        <w:tc>
          <w:tcPr>
            <w:tcW w:w="1251"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t>N=(399)</w:t>
            </w:r>
          </w:p>
        </w:tc>
        <w:tc>
          <w:tcPr>
            <w:tcW w:w="1251"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t>N=(729)</w:t>
            </w:r>
          </w:p>
        </w:tc>
        <w:tc>
          <w:tcPr>
            <w:tcW w:w="941"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55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客观缓解率</w:t>
            </w:r>
            <w:r>
              <w:rPr>
                <w:rFonts w:ascii="Times New Roman" w:hAnsi="Times New Roman" w:cs="Times New Roman"/>
                <w:b/>
                <w:bCs/>
                <w:sz w:val="18"/>
                <w:szCs w:val="18"/>
              </w:rPr>
              <w:t>(ORR)</w:t>
            </w:r>
          </w:p>
        </w:tc>
        <w:tc>
          <w:tcPr>
            <w:tcW w:w="1251"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9.2%(4.7%,17.1%)</w:t>
            </w:r>
          </w:p>
        </w:tc>
        <w:tc>
          <w:tcPr>
            <w:tcW w:w="1251"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6.6%(3.3%,12.5%)</w:t>
            </w:r>
          </w:p>
        </w:tc>
        <w:tc>
          <w:tcPr>
            <w:tcW w:w="941"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0.0489</w:t>
            </w:r>
          </w:p>
        </w:tc>
      </w:tr>
      <w:tr>
        <w:tblPrEx>
          <w:tblCellMar>
            <w:top w:w="0" w:type="dxa"/>
            <w:left w:w="0" w:type="dxa"/>
            <w:bottom w:w="0" w:type="dxa"/>
            <w:right w:w="0" w:type="dxa"/>
          </w:tblCellMar>
        </w:tblPrEx>
        <w:trPr>
          <w:cantSplit/>
          <w:jc w:val="center"/>
        </w:trPr>
        <w:tc>
          <w:tcPr>
            <w:tcW w:w="155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疾病控制率</w:t>
            </w:r>
            <w:r>
              <w:rPr>
                <w:rFonts w:ascii="Times New Roman" w:hAnsi="Times New Roman" w:cs="Times New Roman"/>
                <w:b/>
                <w:bCs/>
                <w:sz w:val="18"/>
                <w:szCs w:val="18"/>
              </w:rPr>
              <w:t>(DCR)</w:t>
            </w:r>
          </w:p>
        </w:tc>
        <w:tc>
          <w:tcPr>
            <w:tcW w:w="1251"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46.4%(36.3%,56.9%)</w:t>
            </w:r>
          </w:p>
        </w:tc>
        <w:tc>
          <w:tcPr>
            <w:tcW w:w="1251"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40.8%(31.5%,50.8%)</w:t>
            </w:r>
          </w:p>
        </w:tc>
        <w:tc>
          <w:tcPr>
            <w:tcW w:w="941"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0.0789</w:t>
            </w:r>
          </w:p>
        </w:tc>
      </w:tr>
      <w:tr>
        <w:tblPrEx>
          <w:tblCellMar>
            <w:top w:w="0" w:type="dxa"/>
            <w:left w:w="0" w:type="dxa"/>
            <w:bottom w:w="0" w:type="dxa"/>
            <w:right w:w="0" w:type="dxa"/>
          </w:tblCellMar>
        </w:tblPrEx>
        <w:trPr>
          <w:cantSplit/>
          <w:jc w:val="center"/>
        </w:trPr>
        <w:tc>
          <w:tcPr>
            <w:tcW w:w="5000" w:type="pct"/>
            <w:gridSpan w:val="4"/>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注：调整的因素有性别、年龄、疾病分期、基线化疗方案、基线化疗周期数、病理类型、有无肝转移、有无根治术、是否有靶向治疗、医院类型。</w:t>
            </w:r>
          </w:p>
        </w:tc>
      </w:tr>
    </w:tbl>
    <w:p>
      <w:pPr>
        <w:spacing w:before="120" w:beforeLines="50" w:after="120" w:afterLines="50" w:line="360" w:lineRule="auto"/>
        <w:ind w:firstLine="482" w:firstLineChars="200"/>
        <w:rPr>
          <w:rFonts w:ascii="Times New Roman" w:hAnsi="Times New Roman" w:eastAsia="宋体" w:cs="Times New Roman"/>
          <w:b/>
          <w:i/>
          <w:sz w:val="24"/>
          <w:highlight w:val="yellow"/>
        </w:rPr>
      </w:pPr>
      <w:r>
        <w:rPr>
          <w:rFonts w:ascii="Times New Roman" w:hAnsi="Times New Roman" w:eastAsia="宋体" w:cs="Times New Roman"/>
          <w:b/>
          <w:i/>
          <w:sz w:val="24"/>
        </w:rPr>
        <w:t>由上表可知，经多因素logistic回归模型调整后，对于最差疗效评价结果，参芪扶正组患者ORR比对照组高约2.6%（9.2% vs 6.6%），且差</w:t>
      </w:r>
      <w:r>
        <w:rPr>
          <w:rFonts w:ascii="Times New Roman" w:hAnsi="Times New Roman" w:eastAsia="宋体" w:cs="Times New Roman"/>
          <w:b/>
          <w:i/>
          <w:sz w:val="24"/>
          <w:highlight w:val="yellow"/>
        </w:rPr>
        <w:t>异有统计学意义（</w:t>
      </w:r>
      <w:r>
        <w:rPr>
          <w:rFonts w:ascii="Times New Roman" w:hAnsi="Times New Roman" w:eastAsia="宋体" w:cs="Times New Roman"/>
          <w:b/>
          <w:i/>
          <w:sz w:val="24"/>
        </w:rPr>
        <w:t>P=0.0489）；</w:t>
      </w:r>
      <w:r>
        <w:rPr>
          <w:rFonts w:ascii="Times New Roman" w:hAnsi="Times New Roman" w:eastAsia="宋体" w:cs="Times New Roman"/>
          <w:b/>
          <w:i/>
          <w:sz w:val="24"/>
          <w:highlight w:val="yellow"/>
        </w:rPr>
        <w:t>参芪扶正组患者DCR比对照组高约5.6%（46.4% vs 40.8%），但差异无统计学意义（P=0.0789）。</w:t>
      </w:r>
    </w:p>
    <w:p>
      <w:pPr>
        <w:adjustRightInd w:val="0"/>
        <w:jc w:val="center"/>
        <w:rPr>
          <w:rFonts w:ascii="Times New Roman" w:hAnsi="Times New Roman" w:cs="Times New Roman"/>
          <w:b/>
          <w:bCs/>
          <w:sz w:val="22"/>
          <w:szCs w:val="22"/>
        </w:rPr>
      </w:pPr>
      <w:r>
        <w:rPr>
          <w:rFonts w:hint="eastAsia" w:ascii="宋体" w:hAnsi="宋体" w:eastAsia="宋体" w:cs="宋体"/>
          <w:b/>
          <w:bCs/>
          <w:sz w:val="22"/>
          <w:szCs w:val="22"/>
          <w:shd w:val="clear" w:color="auto" w:fill="FFFFFF"/>
        </w:rPr>
        <w:t>表</w:t>
      </w:r>
      <w:r>
        <w:rPr>
          <w:rFonts w:ascii="Times New Roman" w:hAnsi="Times New Roman" w:cs="Times New Roman" w:eastAsiaTheme="minorEastAsia"/>
          <w:b/>
          <w:bCs/>
          <w:sz w:val="22"/>
          <w:szCs w:val="22"/>
          <w:shd w:val="clear" w:color="auto" w:fill="FFFFFF"/>
        </w:rPr>
        <w:t>3.1.3</w:t>
      </w:r>
      <w:r>
        <w:rPr>
          <w:rFonts w:ascii="Times New Roman" w:hAnsi="Times New Roman" w:cs="Times New Roman"/>
          <w:b/>
          <w:bCs/>
          <w:sz w:val="22"/>
          <w:szCs w:val="22"/>
          <w:shd w:val="clear" w:color="auto" w:fill="FFFFFF"/>
        </w:rPr>
        <w:t xml:space="preserve">.3 </w:t>
      </w:r>
      <w:r>
        <w:rPr>
          <w:rFonts w:hint="eastAsia" w:ascii="宋体" w:hAnsi="宋体" w:eastAsia="宋体" w:cs="宋体"/>
          <w:b/>
          <w:bCs/>
          <w:sz w:val="22"/>
          <w:szCs w:val="22"/>
          <w:shd w:val="clear" w:color="auto" w:fill="FFFFFF"/>
        </w:rPr>
        <w:t>最近评价结果</w:t>
      </w:r>
    </w:p>
    <w:tbl>
      <w:tblPr>
        <w:tblStyle w:val="22"/>
        <w:tblW w:w="5000" w:type="pct"/>
        <w:jc w:val="center"/>
        <w:tblLayout w:type="autofit"/>
        <w:tblCellMar>
          <w:top w:w="0" w:type="dxa"/>
          <w:left w:w="0" w:type="dxa"/>
          <w:bottom w:w="0" w:type="dxa"/>
          <w:right w:w="0" w:type="dxa"/>
        </w:tblCellMar>
      </w:tblPr>
      <w:tblGrid>
        <w:gridCol w:w="3271"/>
        <w:gridCol w:w="2628"/>
        <w:gridCol w:w="2628"/>
        <w:gridCol w:w="1978"/>
      </w:tblGrid>
      <w:tr>
        <w:tblPrEx>
          <w:tblCellMar>
            <w:top w:w="0" w:type="dxa"/>
            <w:left w:w="0" w:type="dxa"/>
            <w:bottom w:w="0" w:type="dxa"/>
            <w:right w:w="0" w:type="dxa"/>
          </w:tblCellMar>
        </w:tblPrEx>
        <w:trPr>
          <w:cantSplit/>
          <w:tblHeader/>
          <w:jc w:val="center"/>
        </w:trPr>
        <w:tc>
          <w:tcPr>
            <w:tcW w:w="1557"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疗效评价</w:t>
            </w:r>
          </w:p>
        </w:tc>
        <w:tc>
          <w:tcPr>
            <w:tcW w:w="1251"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t>N=(399)</w:t>
            </w:r>
          </w:p>
        </w:tc>
        <w:tc>
          <w:tcPr>
            <w:tcW w:w="1251"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t>N=(729)</w:t>
            </w:r>
          </w:p>
        </w:tc>
        <w:tc>
          <w:tcPr>
            <w:tcW w:w="941"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55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客观缓解率</w:t>
            </w:r>
            <w:r>
              <w:rPr>
                <w:rFonts w:ascii="Times New Roman" w:hAnsi="Times New Roman" w:cs="Times New Roman"/>
                <w:b/>
                <w:bCs/>
                <w:sz w:val="18"/>
                <w:szCs w:val="18"/>
              </w:rPr>
              <w:t>(ORR)</w:t>
            </w:r>
          </w:p>
        </w:tc>
        <w:tc>
          <w:tcPr>
            <w:tcW w:w="1251"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17.6%(10.8%,27.4%)</w:t>
            </w:r>
          </w:p>
        </w:tc>
        <w:tc>
          <w:tcPr>
            <w:tcW w:w="1251"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13.2%(8.0%,21.0%)</w:t>
            </w:r>
          </w:p>
        </w:tc>
        <w:tc>
          <w:tcPr>
            <w:tcW w:w="941"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0.0328</w:t>
            </w:r>
          </w:p>
        </w:tc>
      </w:tr>
      <w:tr>
        <w:tblPrEx>
          <w:tblCellMar>
            <w:top w:w="0" w:type="dxa"/>
            <w:left w:w="0" w:type="dxa"/>
            <w:bottom w:w="0" w:type="dxa"/>
            <w:right w:w="0" w:type="dxa"/>
          </w:tblCellMar>
        </w:tblPrEx>
        <w:trPr>
          <w:cantSplit/>
          <w:jc w:val="center"/>
        </w:trPr>
        <w:tc>
          <w:tcPr>
            <w:tcW w:w="155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疾病控制率</w:t>
            </w:r>
            <w:r>
              <w:rPr>
                <w:rFonts w:ascii="Times New Roman" w:hAnsi="Times New Roman" w:cs="Times New Roman"/>
                <w:b/>
                <w:bCs/>
                <w:sz w:val="18"/>
                <w:szCs w:val="18"/>
              </w:rPr>
              <w:t>(DCR)</w:t>
            </w:r>
          </w:p>
        </w:tc>
        <w:tc>
          <w:tcPr>
            <w:tcW w:w="1251"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56.1%(45.4%,66.2%)</w:t>
            </w:r>
          </w:p>
        </w:tc>
        <w:tc>
          <w:tcPr>
            <w:tcW w:w="1251"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49.5%(39.4%,59.6%)</w:t>
            </w:r>
          </w:p>
        </w:tc>
        <w:tc>
          <w:tcPr>
            <w:tcW w:w="941"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0.0483</w:t>
            </w:r>
          </w:p>
        </w:tc>
      </w:tr>
      <w:tr>
        <w:tblPrEx>
          <w:tblCellMar>
            <w:top w:w="0" w:type="dxa"/>
            <w:left w:w="0" w:type="dxa"/>
            <w:bottom w:w="0" w:type="dxa"/>
            <w:right w:w="0" w:type="dxa"/>
          </w:tblCellMar>
        </w:tblPrEx>
        <w:trPr>
          <w:cantSplit/>
          <w:jc w:val="center"/>
        </w:trPr>
        <w:tc>
          <w:tcPr>
            <w:tcW w:w="5000" w:type="pct"/>
            <w:gridSpan w:val="4"/>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注：调整的因素有性别、年龄、疾病分期、基线化疗方案、基线化疗周期数、病理类型、有无肝转移、有无根治术、是否有靶向治疗、医院类型。</w:t>
            </w:r>
          </w:p>
        </w:tc>
      </w:tr>
    </w:tbl>
    <w:p>
      <w:pPr>
        <w:spacing w:before="120" w:beforeLines="50" w:line="360" w:lineRule="auto"/>
        <w:ind w:firstLine="482" w:firstLineChars="200"/>
        <w:rPr>
          <w:rFonts w:ascii="Times New Roman" w:hAnsi="Times New Roman" w:eastAsia="宋体" w:cs="Times New Roman"/>
          <w:color w:val="auto"/>
          <w:sz w:val="24"/>
          <w:szCs w:val="20"/>
          <w:highlight w:val="yellow"/>
        </w:rPr>
      </w:pPr>
      <w:r>
        <w:rPr>
          <w:rFonts w:ascii="Times New Roman" w:hAnsi="Times New Roman" w:eastAsia="宋体" w:cs="Times New Roman"/>
          <w:b/>
          <w:i/>
          <w:sz w:val="24"/>
        </w:rPr>
        <w:t>由上表可知，经多因素logistic回归模型调整后，对于最近疗效评价结果，参芪扶正组患者ORR比对照组高约4.4%（17.6% vs 13.2%），且差</w:t>
      </w:r>
      <w:r>
        <w:rPr>
          <w:rFonts w:ascii="Times New Roman" w:hAnsi="Times New Roman" w:eastAsia="宋体" w:cs="Times New Roman"/>
          <w:b/>
          <w:i/>
          <w:sz w:val="24"/>
          <w:highlight w:val="yellow"/>
        </w:rPr>
        <w:t>异有统计学意义（P=</w:t>
      </w:r>
      <w:r>
        <w:rPr>
          <w:rFonts w:ascii="Times New Roman" w:hAnsi="Times New Roman" w:eastAsia="宋体" w:cs="Times New Roman"/>
          <w:b/>
          <w:i/>
          <w:sz w:val="24"/>
        </w:rPr>
        <w:t>0.0328）；参</w:t>
      </w:r>
      <w:r>
        <w:rPr>
          <w:rFonts w:ascii="Times New Roman" w:hAnsi="Times New Roman" w:eastAsia="宋体" w:cs="Times New Roman"/>
          <w:b/>
          <w:i/>
          <w:sz w:val="24"/>
          <w:highlight w:val="yellow"/>
        </w:rPr>
        <w:t>芪扶正组患者DCR比对照组高约6.6%（56.1% vs 49.5%），且差异有统计学意义（P=0.0483）。</w:t>
      </w:r>
    </w:p>
    <w:p>
      <w:pPr>
        <w:pStyle w:val="3"/>
        <w:rPr>
          <w:rFonts w:ascii="Times New Roman" w:hAnsi="Times New Roman" w:eastAsia="宋体" w:cs="Times New Roman"/>
          <w:sz w:val="28"/>
        </w:rPr>
      </w:pPr>
      <w:bookmarkStart w:id="16" w:name="_Toc33465507"/>
      <w:r>
        <w:rPr>
          <w:rFonts w:ascii="Times New Roman" w:hAnsi="Times New Roman" w:eastAsia="宋体" w:cs="Times New Roman"/>
          <w:sz w:val="28"/>
        </w:rPr>
        <w:t>无进展生存</w:t>
      </w:r>
      <w:bookmarkEnd w:id="16"/>
    </w:p>
    <w:p>
      <w:pPr>
        <w:pStyle w:val="4"/>
        <w:rPr>
          <w:rFonts w:ascii="Times New Roman" w:hAnsi="Times New Roman" w:eastAsia="宋体" w:cs="Times New Roman"/>
          <w:sz w:val="24"/>
          <w:szCs w:val="24"/>
        </w:rPr>
      </w:pPr>
      <w:bookmarkStart w:id="17" w:name="_Toc33465508"/>
      <w:r>
        <w:rPr>
          <w:rFonts w:hint="eastAsia" w:ascii="Times New Roman" w:hAnsi="Times New Roman" w:eastAsia="宋体" w:cs="Times New Roman"/>
          <w:sz w:val="24"/>
          <w:szCs w:val="24"/>
        </w:rPr>
        <w:t>原始结果</w:t>
      </w:r>
      <w:bookmarkEnd w:id="17"/>
    </w:p>
    <w:p>
      <w:pPr>
        <w:adjustRightInd w:val="0"/>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该部分为两组患者无进展生存（PFS）分析的结果，详见下表</w:t>
      </w:r>
      <w:r>
        <w:rPr>
          <w:rFonts w:hint="eastAsia" w:ascii="Times New Roman" w:hAnsi="Times New Roman" w:eastAsia="宋体" w:cs="Times New Roman"/>
          <w:sz w:val="24"/>
        </w:rPr>
        <w:t>3</w:t>
      </w:r>
      <w:r>
        <w:rPr>
          <w:rFonts w:ascii="Times New Roman" w:hAnsi="Times New Roman" w:eastAsia="宋体" w:cs="Times New Roman"/>
          <w:sz w:val="24"/>
        </w:rPr>
        <w:t>.</w:t>
      </w:r>
      <w:r>
        <w:rPr>
          <w:rFonts w:hint="eastAsia" w:ascii="Times New Roman" w:hAnsi="Times New Roman" w:eastAsia="宋体" w:cs="Times New Roman"/>
          <w:sz w:val="24"/>
        </w:rPr>
        <w:t>2.1</w:t>
      </w:r>
      <w:r>
        <w:rPr>
          <w:rFonts w:ascii="Times New Roman" w:hAnsi="Times New Roman" w:eastAsia="宋体" w:cs="Times New Roman"/>
          <w:sz w:val="24"/>
        </w:rPr>
        <w:t>.1~</w:t>
      </w:r>
      <w:r>
        <w:rPr>
          <w:rFonts w:hint="eastAsia" w:ascii="Times New Roman" w:hAnsi="Times New Roman" w:eastAsia="宋体" w:cs="Times New Roman"/>
          <w:sz w:val="24"/>
        </w:rPr>
        <w:t>3</w:t>
      </w:r>
      <w:r>
        <w:rPr>
          <w:rFonts w:ascii="Times New Roman" w:hAnsi="Times New Roman" w:eastAsia="宋体" w:cs="Times New Roman"/>
          <w:sz w:val="24"/>
        </w:rPr>
        <w:t>.</w:t>
      </w:r>
      <w:r>
        <w:rPr>
          <w:rFonts w:hint="eastAsia" w:ascii="Times New Roman" w:hAnsi="Times New Roman" w:eastAsia="宋体" w:cs="Times New Roman"/>
          <w:sz w:val="24"/>
        </w:rPr>
        <w:t>2.1</w:t>
      </w:r>
      <w:r>
        <w:rPr>
          <w:rFonts w:ascii="Times New Roman" w:hAnsi="Times New Roman" w:eastAsia="宋体" w:cs="Times New Roman"/>
          <w:sz w:val="24"/>
        </w:rPr>
        <w:t>.</w:t>
      </w:r>
      <w:r>
        <w:rPr>
          <w:rFonts w:hint="eastAsia" w:ascii="Times New Roman" w:hAnsi="Times New Roman" w:eastAsia="宋体" w:cs="Times New Roman"/>
          <w:sz w:val="24"/>
        </w:rPr>
        <w:t>2，</w:t>
      </w:r>
      <w:r>
        <w:rPr>
          <w:rFonts w:ascii="Times New Roman" w:hAnsi="Times New Roman" w:eastAsia="宋体" w:cs="Times New Roman"/>
          <w:sz w:val="24"/>
        </w:rPr>
        <w:t>及无进展生存曲线图</w:t>
      </w:r>
      <w:r>
        <w:rPr>
          <w:rFonts w:hint="eastAsia" w:ascii="Times New Roman" w:hAnsi="Times New Roman" w:eastAsia="宋体" w:cs="Times New Roman"/>
          <w:sz w:val="24"/>
        </w:rPr>
        <w:t>3</w:t>
      </w:r>
      <w:r>
        <w:rPr>
          <w:rFonts w:ascii="Times New Roman" w:hAnsi="Times New Roman" w:eastAsia="宋体" w:cs="Times New Roman"/>
          <w:sz w:val="24"/>
        </w:rPr>
        <w:t>.</w:t>
      </w:r>
      <w:r>
        <w:rPr>
          <w:rFonts w:hint="eastAsia" w:ascii="Times New Roman" w:hAnsi="Times New Roman" w:eastAsia="宋体" w:cs="Times New Roman"/>
          <w:sz w:val="24"/>
        </w:rPr>
        <w:t>2.</w:t>
      </w:r>
      <w:r>
        <w:rPr>
          <w:rFonts w:ascii="Times New Roman" w:hAnsi="Times New Roman" w:eastAsia="宋体" w:cs="Times New Roman"/>
          <w:sz w:val="24"/>
        </w:rPr>
        <w:t>1。</w:t>
      </w:r>
    </w:p>
    <w:p>
      <w:pPr>
        <w:adjustRightInd w:val="0"/>
        <w:spacing w:before="10" w:after="10"/>
        <w:jc w:val="center"/>
        <w:rPr>
          <w:rFonts w:ascii="Times New Roman" w:hAnsi="Times New Roman" w:eastAsia="宋体" w:cs="Times New Roman"/>
          <w:b/>
          <w:bCs/>
          <w:sz w:val="24"/>
          <w:szCs w:val="24"/>
        </w:rPr>
      </w:pPr>
      <w:r>
        <w:rPr>
          <w:rFonts w:ascii="Times New Roman" w:hAnsi="Times New Roman" w:eastAsia="宋体" w:cs="Times New Roman"/>
          <w:b/>
          <w:bCs/>
          <w:sz w:val="22"/>
          <w:szCs w:val="22"/>
        </w:rPr>
        <w:t>表</w:t>
      </w:r>
      <w:r>
        <w:rPr>
          <w:rFonts w:hint="eastAsia" w:ascii="Times New Roman" w:hAnsi="Times New Roman" w:eastAsia="宋体" w:cs="Times New Roman"/>
          <w:b/>
          <w:bCs/>
          <w:sz w:val="22"/>
          <w:szCs w:val="22"/>
        </w:rPr>
        <w:t>3</w:t>
      </w:r>
      <w:r>
        <w:rPr>
          <w:rFonts w:ascii="Times New Roman" w:hAnsi="Times New Roman" w:eastAsia="宋体" w:cs="Times New Roman"/>
          <w:b/>
          <w:bCs/>
          <w:sz w:val="22"/>
          <w:szCs w:val="22"/>
        </w:rPr>
        <w:t>.</w:t>
      </w:r>
      <w:r>
        <w:rPr>
          <w:rFonts w:hint="eastAsia" w:ascii="Times New Roman" w:hAnsi="Times New Roman" w:eastAsia="宋体" w:cs="Times New Roman"/>
          <w:b/>
          <w:bCs/>
          <w:sz w:val="22"/>
          <w:szCs w:val="22"/>
        </w:rPr>
        <w:t>2.</w:t>
      </w:r>
      <w:r>
        <w:rPr>
          <w:rFonts w:ascii="Times New Roman" w:hAnsi="Times New Roman" w:eastAsia="宋体" w:cs="Times New Roman"/>
          <w:b/>
          <w:bCs/>
          <w:sz w:val="22"/>
          <w:szCs w:val="22"/>
        </w:rPr>
        <w:t>1.1 两组患者无进展生存情况</w:t>
      </w:r>
    </w:p>
    <w:tbl>
      <w:tblPr>
        <w:tblStyle w:val="22"/>
        <w:tblW w:w="5000" w:type="pct"/>
        <w:jc w:val="center"/>
        <w:tblLayout w:type="autofit"/>
        <w:tblCellMar>
          <w:top w:w="0" w:type="dxa"/>
          <w:left w:w="0" w:type="dxa"/>
          <w:bottom w:w="0" w:type="dxa"/>
          <w:right w:w="0" w:type="dxa"/>
        </w:tblCellMar>
      </w:tblPr>
      <w:tblGrid>
        <w:gridCol w:w="3082"/>
        <w:gridCol w:w="2475"/>
        <w:gridCol w:w="2475"/>
        <w:gridCol w:w="2473"/>
      </w:tblGrid>
      <w:tr>
        <w:tblPrEx>
          <w:tblCellMar>
            <w:top w:w="0" w:type="dxa"/>
            <w:left w:w="0" w:type="dxa"/>
            <w:bottom w:w="0" w:type="dxa"/>
            <w:right w:w="0" w:type="dxa"/>
          </w:tblCellMar>
        </w:tblPrEx>
        <w:trPr>
          <w:cantSplit/>
          <w:tblHeader/>
          <w:jc w:val="center"/>
        </w:trPr>
        <w:tc>
          <w:tcPr>
            <w:tcW w:w="1467" w:type="pct"/>
            <w:tcBorders>
              <w:top w:val="single" w:color="000000" w:sz="6" w:space="0"/>
              <w:left w:val="nil"/>
              <w:bottom w:val="nil"/>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p>
        </w:tc>
        <w:tc>
          <w:tcPr>
            <w:tcW w:w="2356" w:type="pct"/>
            <w:gridSpan w:val="2"/>
            <w:tcBorders>
              <w:top w:val="single" w:color="000000" w:sz="6" w:space="0"/>
              <w:left w:val="nil"/>
              <w:bottom w:val="nil"/>
              <w:right w:val="nil"/>
            </w:tcBorders>
            <w:shd w:val="clear" w:color="auto" w:fill="FFFFFF"/>
            <w:tcMar>
              <w:top w:w="0" w:type="dxa"/>
              <w:left w:w="20" w:type="dxa"/>
              <w:bottom w:w="0" w:type="dxa"/>
              <w:right w:w="20" w:type="dxa"/>
            </w:tcMar>
            <w:vAlign w:val="bottom"/>
          </w:tcPr>
          <w:p>
            <w:pPr>
              <w:pBdr>
                <w:bottom w:val="single" w:color="auto" w:sz="6" w:space="0"/>
              </w:pBd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治疗分组</w:t>
            </w:r>
          </w:p>
        </w:tc>
        <w:tc>
          <w:tcPr>
            <w:tcW w:w="1177" w:type="pct"/>
            <w:tcBorders>
              <w:top w:val="single" w:color="000000" w:sz="6" w:space="0"/>
              <w:left w:val="nil"/>
              <w:bottom w:val="nil"/>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p>
        </w:tc>
      </w:tr>
      <w:tr>
        <w:tblPrEx>
          <w:tblCellMar>
            <w:top w:w="0" w:type="dxa"/>
            <w:left w:w="0" w:type="dxa"/>
            <w:bottom w:w="0" w:type="dxa"/>
            <w:right w:w="0" w:type="dxa"/>
          </w:tblCellMar>
        </w:tblPrEx>
        <w:trPr>
          <w:cantSplit/>
          <w:tblHeader/>
          <w:jc w:val="center"/>
        </w:trPr>
        <w:tc>
          <w:tcPr>
            <w:tcW w:w="1467" w:type="pct"/>
            <w:tcBorders>
              <w:top w:val="nil"/>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rPr>
                <w:rFonts w:ascii="Times New Roman" w:hAnsi="Times New Roman" w:cs="Times New Roman" w:eastAsiaTheme="minorEastAsia"/>
                <w:b/>
                <w:bCs/>
              </w:rPr>
            </w:pPr>
            <w:r>
              <w:rPr>
                <w:rFonts w:ascii="Times New Roman" w:hAnsi="Times New Roman" w:eastAsia="宋体" w:cs="Times New Roman"/>
                <w:b/>
                <w:bCs/>
              </w:rPr>
              <w:t>患者状态</w:t>
            </w:r>
          </w:p>
        </w:tc>
        <w:tc>
          <w:tcPr>
            <w:tcW w:w="1178" w:type="pct"/>
            <w:tcBorders>
              <w:top w:val="nil"/>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1178" w:type="pct"/>
            <w:tcBorders>
              <w:top w:val="nil"/>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N=(729)</w:t>
            </w:r>
          </w:p>
        </w:tc>
        <w:tc>
          <w:tcPr>
            <w:tcW w:w="1177" w:type="pct"/>
            <w:tcBorders>
              <w:top w:val="nil"/>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467" w:type="pct"/>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b/>
                <w:bCs/>
                <w:sz w:val="18"/>
                <w:szCs w:val="18"/>
              </w:rPr>
            </w:pPr>
            <w:r>
              <w:rPr>
                <w:rFonts w:ascii="Times New Roman" w:hAnsi="Times New Roman" w:eastAsia="宋体" w:cs="Times New Roman"/>
                <w:b/>
                <w:bCs/>
                <w:sz w:val="18"/>
                <w:szCs w:val="18"/>
              </w:rPr>
              <w:t>疾病进展</w:t>
            </w:r>
          </w:p>
        </w:tc>
        <w:tc>
          <w:tcPr>
            <w:tcW w:w="1178"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p>
        </w:tc>
        <w:tc>
          <w:tcPr>
            <w:tcW w:w="1178"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p>
        </w:tc>
        <w:tc>
          <w:tcPr>
            <w:tcW w:w="1177"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0.5480</w:t>
            </w:r>
          </w:p>
        </w:tc>
      </w:tr>
      <w:tr>
        <w:tblPrEx>
          <w:tblCellMar>
            <w:top w:w="0" w:type="dxa"/>
            <w:left w:w="0" w:type="dxa"/>
            <w:bottom w:w="0" w:type="dxa"/>
            <w:right w:w="0" w:type="dxa"/>
          </w:tblCellMar>
        </w:tblPrEx>
        <w:trPr>
          <w:cantSplit/>
          <w:jc w:val="center"/>
        </w:trPr>
        <w:tc>
          <w:tcPr>
            <w:tcW w:w="1467" w:type="pct"/>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178"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399(0)</w:t>
            </w:r>
          </w:p>
        </w:tc>
        <w:tc>
          <w:tcPr>
            <w:tcW w:w="1178"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729(0)</w:t>
            </w:r>
          </w:p>
        </w:tc>
        <w:tc>
          <w:tcPr>
            <w:tcW w:w="1177"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p>
        </w:tc>
      </w:tr>
      <w:tr>
        <w:tblPrEx>
          <w:tblCellMar>
            <w:top w:w="0" w:type="dxa"/>
            <w:left w:w="0" w:type="dxa"/>
            <w:bottom w:w="0" w:type="dxa"/>
            <w:right w:w="0" w:type="dxa"/>
          </w:tblCellMar>
        </w:tblPrEx>
        <w:trPr>
          <w:cantSplit/>
          <w:jc w:val="center"/>
        </w:trPr>
        <w:tc>
          <w:tcPr>
            <w:tcW w:w="1467" w:type="pct"/>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无进展</w:t>
            </w:r>
          </w:p>
        </w:tc>
        <w:tc>
          <w:tcPr>
            <w:tcW w:w="1178"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91 (22.8%)</w:t>
            </w:r>
          </w:p>
        </w:tc>
        <w:tc>
          <w:tcPr>
            <w:tcW w:w="1178"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155 (21.3%)</w:t>
            </w:r>
          </w:p>
        </w:tc>
        <w:tc>
          <w:tcPr>
            <w:tcW w:w="1177"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p>
        </w:tc>
      </w:tr>
      <w:tr>
        <w:tblPrEx>
          <w:tblCellMar>
            <w:top w:w="0" w:type="dxa"/>
            <w:left w:w="0" w:type="dxa"/>
            <w:bottom w:w="0" w:type="dxa"/>
            <w:right w:w="0" w:type="dxa"/>
          </w:tblCellMar>
        </w:tblPrEx>
        <w:trPr>
          <w:cantSplit/>
          <w:jc w:val="center"/>
        </w:trPr>
        <w:tc>
          <w:tcPr>
            <w:tcW w:w="1467" w:type="pct"/>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有进展</w:t>
            </w:r>
          </w:p>
        </w:tc>
        <w:tc>
          <w:tcPr>
            <w:tcW w:w="1178"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308 (77.2%)</w:t>
            </w:r>
          </w:p>
        </w:tc>
        <w:tc>
          <w:tcPr>
            <w:tcW w:w="1178"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574 (78.7%)</w:t>
            </w:r>
          </w:p>
        </w:tc>
        <w:tc>
          <w:tcPr>
            <w:tcW w:w="1177"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p>
        </w:tc>
      </w:tr>
      <w:tr>
        <w:tblPrEx>
          <w:tblCellMar>
            <w:top w:w="0" w:type="dxa"/>
            <w:left w:w="0" w:type="dxa"/>
            <w:bottom w:w="0" w:type="dxa"/>
            <w:right w:w="0" w:type="dxa"/>
          </w:tblCellMar>
        </w:tblPrEx>
        <w:trPr>
          <w:cantSplit/>
          <w:jc w:val="center"/>
        </w:trPr>
        <w:tc>
          <w:tcPr>
            <w:tcW w:w="5000" w:type="pct"/>
            <w:gridSpan w:val="4"/>
            <w:tcBorders>
              <w:top w:val="nil"/>
              <w:left w:val="nil"/>
              <w:bottom w:val="double" w:color="000000" w:sz="6" w:space="0"/>
              <w:right w:val="nil"/>
            </w:tcBorders>
            <w:shd w:val="clear" w:color="auto" w:fill="FFFFFF"/>
            <w:tcMar>
              <w:top w:w="0" w:type="dxa"/>
              <w:left w:w="20" w:type="dxa"/>
              <w:bottom w:w="0" w:type="dxa"/>
              <w:right w:w="20" w:type="dxa"/>
            </w:tcMar>
          </w:tcPr>
          <w:p>
            <w:pPr>
              <w:pBdr>
                <w:top w:val="single" w:color="auto" w:sz="6" w:space="0"/>
              </w:pBdr>
              <w:autoSpaceDE w:val="0"/>
              <w:autoSpaceDN w:val="0"/>
              <w:adjustRightInd w:val="0"/>
              <w:spacing w:before="20" w:after="20"/>
              <w:rPr>
                <w:rFonts w:ascii="Times New Roman" w:hAnsi="Times New Roman" w:cs="Times New Roman" w:eastAsiaTheme="minorEastAsia"/>
                <w:i/>
                <w:iCs/>
                <w:sz w:val="16"/>
                <w:szCs w:val="16"/>
              </w:rPr>
            </w:pPr>
            <w:r>
              <w:rPr>
                <w:rFonts w:ascii="Times New Roman" w:hAnsi="Times New Roman" w:eastAsia="宋体" w:cs="Times New Roman"/>
                <w:i/>
                <w:iCs/>
                <w:sz w:val="16"/>
                <w:szCs w:val="16"/>
              </w:rPr>
              <w:t>注：表中百分比计算均基于非缺失数据；</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spacing w:before="120" w:beforeLines="50" w:after="120" w:afterLines="50" w:line="360" w:lineRule="auto"/>
        <w:ind w:firstLine="480" w:firstLineChars="200"/>
        <w:rPr>
          <w:rFonts w:ascii="Times New Roman" w:hAnsi="Times New Roman" w:eastAsia="宋体" w:cs="Times New Roman"/>
          <w:color w:val="auto"/>
          <w:sz w:val="24"/>
          <w:szCs w:val="20"/>
        </w:rPr>
      </w:pPr>
      <w:r>
        <w:rPr>
          <w:rFonts w:ascii="Times New Roman" w:hAnsi="Times New Roman" w:eastAsia="宋体" w:cs="Times New Roman"/>
          <w:sz w:val="24"/>
        </w:rPr>
        <w:t>由上表可知，</w:t>
      </w:r>
      <w:r>
        <w:rPr>
          <w:rFonts w:hint="eastAsia" w:ascii="Times New Roman" w:hAnsi="Times New Roman" w:eastAsia="宋体" w:cs="Times New Roman"/>
          <w:sz w:val="24"/>
        </w:rPr>
        <w:t>两组患者删失率分别为22.8%、21.3%</w:t>
      </w:r>
      <w:r>
        <w:rPr>
          <w:rFonts w:ascii="Times New Roman" w:hAnsi="Times New Roman" w:eastAsia="宋体" w:cs="Times New Roman"/>
          <w:sz w:val="24"/>
        </w:rPr>
        <w:t>，</w:t>
      </w:r>
      <w:r>
        <w:rPr>
          <w:rFonts w:hint="eastAsia" w:ascii="Times New Roman" w:hAnsi="Times New Roman" w:eastAsia="宋体" w:cs="Times New Roman"/>
          <w:sz w:val="24"/>
        </w:rPr>
        <w:t>两组基本一致</w:t>
      </w:r>
      <w:r>
        <w:rPr>
          <w:rFonts w:ascii="Times New Roman" w:hAnsi="Times New Roman" w:eastAsia="宋体" w:cs="Times New Roman"/>
          <w:sz w:val="24"/>
        </w:rPr>
        <w:t>。</w:t>
      </w: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表3.2.1.2 两组患者中位无进展生存期LogRank检验</w:t>
      </w:r>
    </w:p>
    <w:tbl>
      <w:tblPr>
        <w:tblStyle w:val="22"/>
        <w:tblW w:w="0" w:type="auto"/>
        <w:jc w:val="center"/>
        <w:tblLayout w:type="autofit"/>
        <w:tblCellMar>
          <w:top w:w="0" w:type="dxa"/>
          <w:left w:w="0" w:type="dxa"/>
          <w:bottom w:w="0" w:type="dxa"/>
          <w:right w:w="0" w:type="dxa"/>
        </w:tblCellMar>
      </w:tblPr>
      <w:tblGrid>
        <w:gridCol w:w="1100"/>
        <w:gridCol w:w="1146"/>
        <w:gridCol w:w="989"/>
        <w:gridCol w:w="1146"/>
        <w:gridCol w:w="989"/>
        <w:gridCol w:w="989"/>
        <w:gridCol w:w="2360"/>
        <w:gridCol w:w="1095"/>
        <w:gridCol w:w="618"/>
      </w:tblGrid>
      <w:tr>
        <w:trPr>
          <w:cantSplit/>
          <w:tblHeader/>
          <w:jc w:val="center"/>
        </w:trPr>
        <w:tc>
          <w:tcPr>
            <w:tcW w:w="1100"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rPr>
                <w:rFonts w:ascii="Times New Roman" w:hAnsi="Times New Roman" w:cs="Times New Roman" w:eastAsiaTheme="minorEastAsia"/>
                <w:b/>
                <w:bCs/>
              </w:rPr>
            </w:pPr>
            <w:r>
              <w:rPr>
                <w:rFonts w:ascii="Times New Roman" w:hAnsi="Times New Roman" w:eastAsia="宋体" w:cs="Times New Roman"/>
                <w:b/>
                <w:bCs/>
              </w:rPr>
              <w:t>治疗分组</w:t>
            </w:r>
          </w:p>
        </w:tc>
        <w:tc>
          <w:tcPr>
            <w:tcW w:w="0" w:type="auto"/>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0.5</w:t>
            </w:r>
            <w:r>
              <w:rPr>
                <w:rFonts w:ascii="Times New Roman" w:hAnsi="Times New Roman" w:eastAsia="宋体" w:cs="Times New Roman"/>
                <w:b/>
                <w:bCs/>
              </w:rPr>
              <w:t>年无进展</w:t>
            </w:r>
            <w:r>
              <w:rPr>
                <w:rFonts w:ascii="Times New Roman" w:hAnsi="Times New Roman" w:cs="Times New Roman"/>
                <w:b/>
                <w:bCs/>
              </w:rPr>
              <w:br w:type="textWrapping"/>
            </w:r>
            <w:r>
              <w:rPr>
                <w:rFonts w:ascii="Times New Roman" w:hAnsi="Times New Roman" w:eastAsia="宋体" w:cs="Times New Roman"/>
                <w:b/>
                <w:bCs/>
              </w:rPr>
              <w:t>生存率</w:t>
            </w:r>
          </w:p>
        </w:tc>
        <w:tc>
          <w:tcPr>
            <w:tcW w:w="0" w:type="auto"/>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1</w:t>
            </w:r>
            <w:r>
              <w:rPr>
                <w:rFonts w:ascii="Times New Roman" w:hAnsi="Times New Roman" w:eastAsia="宋体" w:cs="Times New Roman"/>
                <w:b/>
                <w:bCs/>
              </w:rPr>
              <w:t>年无进展</w:t>
            </w:r>
            <w:r>
              <w:rPr>
                <w:rFonts w:ascii="Times New Roman" w:hAnsi="Times New Roman" w:cs="Times New Roman"/>
                <w:b/>
                <w:bCs/>
              </w:rPr>
              <w:br w:type="textWrapping"/>
            </w:r>
            <w:r>
              <w:rPr>
                <w:rFonts w:ascii="Times New Roman" w:hAnsi="Times New Roman" w:eastAsia="宋体" w:cs="Times New Roman"/>
                <w:b/>
                <w:bCs/>
              </w:rPr>
              <w:t>生存率</w:t>
            </w:r>
          </w:p>
        </w:tc>
        <w:tc>
          <w:tcPr>
            <w:tcW w:w="0" w:type="auto"/>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1.5</w:t>
            </w:r>
            <w:r>
              <w:rPr>
                <w:rFonts w:ascii="Times New Roman" w:hAnsi="Times New Roman" w:eastAsia="宋体" w:cs="Times New Roman"/>
                <w:b/>
                <w:bCs/>
              </w:rPr>
              <w:t>年无进展</w:t>
            </w:r>
            <w:r>
              <w:rPr>
                <w:rFonts w:ascii="Times New Roman" w:hAnsi="Times New Roman" w:cs="Times New Roman"/>
                <w:b/>
                <w:bCs/>
              </w:rPr>
              <w:br w:type="textWrapping"/>
            </w:r>
            <w:r>
              <w:rPr>
                <w:rFonts w:ascii="Times New Roman" w:hAnsi="Times New Roman" w:eastAsia="宋体" w:cs="Times New Roman"/>
                <w:b/>
                <w:bCs/>
              </w:rPr>
              <w:t>生存率</w:t>
            </w:r>
          </w:p>
        </w:tc>
        <w:tc>
          <w:tcPr>
            <w:tcW w:w="0" w:type="auto"/>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2</w:t>
            </w:r>
            <w:r>
              <w:rPr>
                <w:rFonts w:ascii="Times New Roman" w:hAnsi="Times New Roman" w:eastAsia="宋体" w:cs="Times New Roman"/>
                <w:b/>
                <w:bCs/>
              </w:rPr>
              <w:t>年无进展</w:t>
            </w:r>
            <w:r>
              <w:rPr>
                <w:rFonts w:ascii="Times New Roman" w:hAnsi="Times New Roman" w:cs="Times New Roman"/>
                <w:b/>
                <w:bCs/>
              </w:rPr>
              <w:br w:type="textWrapping"/>
            </w:r>
            <w:r>
              <w:rPr>
                <w:rFonts w:ascii="Times New Roman" w:hAnsi="Times New Roman" w:eastAsia="宋体" w:cs="Times New Roman"/>
                <w:b/>
                <w:bCs/>
              </w:rPr>
              <w:t>生存率</w:t>
            </w:r>
          </w:p>
        </w:tc>
        <w:tc>
          <w:tcPr>
            <w:tcW w:w="0" w:type="auto"/>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3</w:t>
            </w:r>
            <w:r>
              <w:rPr>
                <w:rFonts w:ascii="Times New Roman" w:hAnsi="Times New Roman" w:eastAsia="宋体" w:cs="Times New Roman"/>
                <w:b/>
                <w:bCs/>
              </w:rPr>
              <w:t>年无进展</w:t>
            </w:r>
            <w:r>
              <w:rPr>
                <w:rFonts w:ascii="Times New Roman" w:hAnsi="Times New Roman" w:cs="Times New Roman"/>
                <w:b/>
                <w:bCs/>
              </w:rPr>
              <w:br w:type="textWrapping"/>
            </w:r>
            <w:r>
              <w:rPr>
                <w:rFonts w:ascii="Times New Roman" w:hAnsi="Times New Roman" w:eastAsia="宋体" w:cs="Times New Roman"/>
                <w:b/>
                <w:bCs/>
              </w:rPr>
              <w:t>生存率</w:t>
            </w:r>
          </w:p>
        </w:tc>
        <w:tc>
          <w:tcPr>
            <w:tcW w:w="0" w:type="auto"/>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中位无进展生存期（月）</w:t>
            </w:r>
            <w:r>
              <w:rPr>
                <w:rFonts w:ascii="Times New Roman" w:hAnsi="Times New Roman" w:cs="Times New Roman"/>
                <w:b/>
                <w:bCs/>
              </w:rPr>
              <w:br w:type="textWrapping"/>
            </w:r>
            <w:r>
              <w:rPr>
                <w:rFonts w:ascii="Times New Roman" w:hAnsi="Times New Roman" w:eastAsia="宋体" w:cs="Times New Roman"/>
                <w:b/>
                <w:bCs/>
              </w:rPr>
              <w:t>（</w:t>
            </w:r>
            <w:r>
              <w:rPr>
                <w:rFonts w:ascii="Times New Roman" w:hAnsi="Times New Roman" w:cs="Times New Roman"/>
                <w:b/>
                <w:bCs/>
              </w:rPr>
              <w:t>95%</w:t>
            </w:r>
            <w:r>
              <w:rPr>
                <w:rFonts w:ascii="Times New Roman" w:hAnsi="Times New Roman" w:eastAsia="宋体" w:cs="Times New Roman"/>
                <w:b/>
                <w:bCs/>
              </w:rPr>
              <w:t>置信区间）</w:t>
            </w:r>
          </w:p>
        </w:tc>
        <w:tc>
          <w:tcPr>
            <w:tcW w:w="0" w:type="auto"/>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对数秩卡方</w:t>
            </w:r>
            <w:r>
              <w:rPr>
                <w:rFonts w:ascii="Times New Roman" w:hAnsi="Times New Roman" w:cs="Times New Roman"/>
                <w:b/>
                <w:bCs/>
              </w:rPr>
              <w:br w:type="textWrapping"/>
            </w:r>
            <w:r>
              <w:rPr>
                <w:rFonts w:ascii="Times New Roman" w:hAnsi="Times New Roman" w:eastAsia="宋体" w:cs="Times New Roman"/>
                <w:b/>
                <w:bCs/>
              </w:rPr>
              <w:t>统计量</w:t>
            </w:r>
          </w:p>
        </w:tc>
        <w:tc>
          <w:tcPr>
            <w:tcW w:w="618"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100"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b/>
                <w:bCs/>
                <w:sz w:val="18"/>
                <w:szCs w:val="18"/>
              </w:rPr>
            </w:pPr>
            <w:r>
              <w:rPr>
                <w:rFonts w:ascii="Times New Roman" w:hAnsi="Times New Roman" w:eastAsia="宋体" w:cs="Times New Roman"/>
                <w:b/>
                <w:bCs/>
                <w:sz w:val="18"/>
                <w:szCs w:val="18"/>
              </w:rPr>
              <w:t>对照组</w:t>
            </w:r>
            <w:r>
              <w:rPr>
                <w:rFonts w:ascii="Times New Roman" w:hAnsi="Times New Roman" w:cs="Times New Roman"/>
                <w:b/>
                <w:bCs/>
                <w:sz w:val="18"/>
                <w:szCs w:val="18"/>
              </w:rPr>
              <w:t xml:space="preserve">    </w:t>
            </w:r>
          </w:p>
        </w:tc>
        <w:tc>
          <w:tcPr>
            <w:tcW w:w="0" w:type="auto"/>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0.5299</w:t>
            </w:r>
          </w:p>
        </w:tc>
        <w:tc>
          <w:tcPr>
            <w:tcW w:w="0" w:type="auto"/>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0.3233</w:t>
            </w:r>
          </w:p>
        </w:tc>
        <w:tc>
          <w:tcPr>
            <w:tcW w:w="0" w:type="auto"/>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0.2233</w:t>
            </w:r>
          </w:p>
        </w:tc>
        <w:tc>
          <w:tcPr>
            <w:tcW w:w="0" w:type="auto"/>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0.1580</w:t>
            </w:r>
          </w:p>
        </w:tc>
        <w:tc>
          <w:tcPr>
            <w:tcW w:w="0" w:type="auto"/>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0.0786</w:t>
            </w:r>
          </w:p>
        </w:tc>
        <w:tc>
          <w:tcPr>
            <w:tcW w:w="0" w:type="auto"/>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6.9 (5.7,7.6)</w:t>
            </w:r>
          </w:p>
        </w:tc>
        <w:tc>
          <w:tcPr>
            <w:tcW w:w="0" w:type="auto"/>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0.1166</w:t>
            </w:r>
          </w:p>
        </w:tc>
        <w:tc>
          <w:tcPr>
            <w:tcW w:w="618"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0.7327</w:t>
            </w:r>
          </w:p>
        </w:tc>
      </w:tr>
      <w:tr>
        <w:tblPrEx>
          <w:tblCellMar>
            <w:top w:w="0" w:type="dxa"/>
            <w:left w:w="0" w:type="dxa"/>
            <w:bottom w:w="0" w:type="dxa"/>
            <w:right w:w="0" w:type="dxa"/>
          </w:tblCellMar>
        </w:tblPrEx>
        <w:trPr>
          <w:cantSplit/>
          <w:jc w:val="center"/>
        </w:trPr>
        <w:tc>
          <w:tcPr>
            <w:tcW w:w="1100"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b/>
                <w:bCs/>
                <w:sz w:val="18"/>
                <w:szCs w:val="18"/>
              </w:rPr>
            </w:pPr>
            <w:r>
              <w:rPr>
                <w:rFonts w:ascii="Times New Roman" w:hAnsi="Times New Roman" w:eastAsia="宋体" w:cs="Times New Roman"/>
                <w:b/>
                <w:bCs/>
                <w:sz w:val="18"/>
                <w:szCs w:val="18"/>
              </w:rPr>
              <w:t>参芪扶正组</w:t>
            </w:r>
          </w:p>
        </w:tc>
        <w:tc>
          <w:tcPr>
            <w:tcW w:w="0" w:type="auto"/>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0.5602</w:t>
            </w:r>
          </w:p>
        </w:tc>
        <w:tc>
          <w:tcPr>
            <w:tcW w:w="0" w:type="auto"/>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0.3420</w:t>
            </w:r>
          </w:p>
        </w:tc>
        <w:tc>
          <w:tcPr>
            <w:tcW w:w="0" w:type="auto"/>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0.2288</w:t>
            </w:r>
          </w:p>
        </w:tc>
        <w:tc>
          <w:tcPr>
            <w:tcW w:w="0" w:type="auto"/>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0.1732</w:t>
            </w:r>
          </w:p>
        </w:tc>
        <w:tc>
          <w:tcPr>
            <w:tcW w:w="0" w:type="auto"/>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0.0836</w:t>
            </w:r>
          </w:p>
        </w:tc>
        <w:tc>
          <w:tcPr>
            <w:tcW w:w="0" w:type="auto"/>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7.4 (6.1,8.7)</w:t>
            </w:r>
          </w:p>
        </w:tc>
        <w:tc>
          <w:tcPr>
            <w:tcW w:w="0" w:type="auto"/>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w:t>
            </w:r>
          </w:p>
        </w:tc>
        <w:tc>
          <w:tcPr>
            <w:tcW w:w="618"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w:t>
            </w:r>
          </w:p>
        </w:tc>
      </w:tr>
      <w:tr>
        <w:tblPrEx>
          <w:tblCellMar>
            <w:top w:w="0" w:type="dxa"/>
            <w:left w:w="0" w:type="dxa"/>
            <w:bottom w:w="0" w:type="dxa"/>
            <w:right w:w="0" w:type="dxa"/>
          </w:tblCellMar>
        </w:tblPrEx>
        <w:trPr>
          <w:cantSplit/>
          <w:jc w:val="center"/>
        </w:trPr>
        <w:tc>
          <w:tcPr>
            <w:tcW w:w="10432" w:type="dxa"/>
            <w:gridSpan w:val="9"/>
            <w:tcBorders>
              <w:top w:val="nil"/>
              <w:left w:val="nil"/>
              <w:bottom w:val="double" w:color="000000" w:sz="6" w:space="0"/>
              <w:right w:val="nil"/>
            </w:tcBorders>
            <w:shd w:val="clear" w:color="auto" w:fill="FFFFFF"/>
            <w:tcMar>
              <w:top w:w="0" w:type="dxa"/>
              <w:left w:w="20" w:type="dxa"/>
              <w:bottom w:w="0" w:type="dxa"/>
              <w:right w:w="20" w:type="dxa"/>
            </w:tcMar>
          </w:tcPr>
          <w:p>
            <w:pPr>
              <w:pBdr>
                <w:top w:val="single" w:color="auto" w:sz="6" w:space="0"/>
              </w:pBdr>
              <w:autoSpaceDE w:val="0"/>
              <w:autoSpaceDN w:val="0"/>
              <w:adjustRightInd w:val="0"/>
              <w:spacing w:before="20" w:after="20"/>
              <w:rPr>
                <w:rFonts w:ascii="Times New Roman" w:hAnsi="Times New Roman" w:cs="Times New Roman" w:eastAsiaTheme="minorEastAsia"/>
                <w:i/>
                <w:iCs/>
                <w:sz w:val="16"/>
                <w:szCs w:val="16"/>
              </w:rPr>
            </w:pPr>
            <w:r>
              <w:rPr>
                <w:rFonts w:ascii="Times New Roman" w:hAnsi="Times New Roman" w:eastAsia="宋体" w:cs="Times New Roman"/>
                <w:i/>
                <w:iCs/>
                <w:sz w:val="16"/>
                <w:szCs w:val="16"/>
              </w:rPr>
              <w:t>注：该表中结果来自</w:t>
            </w:r>
            <w:r>
              <w:rPr>
                <w:rFonts w:ascii="Times New Roman" w:hAnsi="Times New Roman" w:cs="Times New Roman"/>
                <w:i/>
                <w:iCs/>
                <w:sz w:val="16"/>
                <w:szCs w:val="16"/>
              </w:rPr>
              <w:t>Logrank</w:t>
            </w:r>
            <w:r>
              <w:rPr>
                <w:rFonts w:ascii="Times New Roman" w:hAnsi="Times New Roman" w:eastAsia="宋体" w:cs="Times New Roman"/>
                <w:i/>
                <w:iCs/>
                <w:sz w:val="16"/>
                <w:szCs w:val="16"/>
              </w:rPr>
              <w:t>检验。</w:t>
            </w:r>
          </w:p>
        </w:tc>
      </w:tr>
    </w:tbl>
    <w:p>
      <w:pPr>
        <w:spacing w:before="120" w:beforeLines="50" w:line="360" w:lineRule="auto"/>
        <w:ind w:firstLine="480" w:firstLineChars="200"/>
        <w:rPr>
          <w:rFonts w:ascii="Times New Roman" w:hAnsi="Times New Roman" w:eastAsia="宋体" w:cs="Times New Roman"/>
          <w:color w:val="auto"/>
          <w:sz w:val="24"/>
          <w:szCs w:val="20"/>
          <w:highlight w:val="yellow"/>
        </w:rPr>
      </w:pPr>
      <w:r>
        <w:rPr>
          <w:rFonts w:ascii="Times New Roman" w:hAnsi="Times New Roman" w:eastAsia="宋体" w:cs="Times New Roman"/>
          <w:sz w:val="24"/>
        </w:rPr>
        <w:t>由上表可知，参</w:t>
      </w:r>
      <w:r>
        <w:rPr>
          <w:rFonts w:ascii="Times New Roman" w:hAnsi="Times New Roman" w:eastAsia="宋体" w:cs="Times New Roman"/>
          <w:sz w:val="24"/>
          <w:highlight w:val="yellow"/>
        </w:rPr>
        <w:t>芪扶正组的中位无进展生存期</w:t>
      </w:r>
      <w:r>
        <w:rPr>
          <w:rFonts w:hint="eastAsia" w:ascii="Times New Roman" w:hAnsi="Times New Roman" w:eastAsia="宋体" w:cs="Times New Roman"/>
          <w:sz w:val="24"/>
          <w:highlight w:val="yellow"/>
        </w:rPr>
        <w:t>比</w:t>
      </w:r>
      <w:r>
        <w:rPr>
          <w:rFonts w:ascii="Times New Roman" w:hAnsi="Times New Roman" w:eastAsia="宋体" w:cs="Times New Roman"/>
          <w:sz w:val="24"/>
          <w:highlight w:val="yellow"/>
        </w:rPr>
        <w:t>对照组</w:t>
      </w:r>
      <w:r>
        <w:rPr>
          <w:rFonts w:hint="eastAsia" w:ascii="Times New Roman" w:hAnsi="Times New Roman" w:eastAsia="宋体" w:cs="Times New Roman"/>
          <w:sz w:val="24"/>
          <w:highlight w:val="yellow"/>
        </w:rPr>
        <w:t>略高0.5个月</w:t>
      </w:r>
      <w:r>
        <w:rPr>
          <w:rFonts w:ascii="Times New Roman" w:hAnsi="Times New Roman" w:eastAsia="宋体" w:cs="Times New Roman"/>
          <w:sz w:val="24"/>
          <w:highlight w:val="yellow"/>
        </w:rPr>
        <w:t>（</w:t>
      </w:r>
      <w:r>
        <w:rPr>
          <w:rFonts w:hint="eastAsia" w:ascii="Times New Roman" w:hAnsi="Times New Roman" w:eastAsia="宋体" w:cs="Times New Roman"/>
          <w:sz w:val="24"/>
          <w:highlight w:val="yellow"/>
        </w:rPr>
        <w:t>7</w:t>
      </w:r>
      <w:r>
        <w:rPr>
          <w:rFonts w:ascii="Times New Roman" w:hAnsi="Times New Roman" w:eastAsia="宋体" w:cs="Times New Roman"/>
          <w:sz w:val="24"/>
          <w:highlight w:val="yellow"/>
        </w:rPr>
        <w:t>.</w:t>
      </w:r>
      <w:r>
        <w:rPr>
          <w:rFonts w:hint="eastAsia" w:ascii="Times New Roman" w:hAnsi="Times New Roman" w:eastAsia="宋体" w:cs="Times New Roman"/>
          <w:sz w:val="24"/>
          <w:highlight w:val="yellow"/>
        </w:rPr>
        <w:t>4</w:t>
      </w:r>
      <w:r>
        <w:rPr>
          <w:rFonts w:ascii="Times New Roman" w:hAnsi="Times New Roman" w:eastAsia="宋体" w:cs="Times New Roman"/>
          <w:sz w:val="24"/>
          <w:highlight w:val="yellow"/>
        </w:rPr>
        <w:t xml:space="preserve">个月 vs </w:t>
      </w:r>
      <w:r>
        <w:rPr>
          <w:rFonts w:hint="eastAsia" w:ascii="Times New Roman" w:hAnsi="Times New Roman" w:eastAsia="宋体" w:cs="Times New Roman"/>
          <w:sz w:val="24"/>
          <w:highlight w:val="yellow"/>
        </w:rPr>
        <w:t>6</w:t>
      </w:r>
      <w:r>
        <w:rPr>
          <w:rFonts w:ascii="Times New Roman" w:hAnsi="Times New Roman" w:eastAsia="宋体" w:cs="Times New Roman"/>
          <w:sz w:val="24"/>
          <w:highlight w:val="yellow"/>
        </w:rPr>
        <w:t>.</w:t>
      </w:r>
      <w:r>
        <w:rPr>
          <w:rFonts w:hint="eastAsia" w:ascii="Times New Roman" w:hAnsi="Times New Roman" w:eastAsia="宋体" w:cs="Times New Roman"/>
          <w:sz w:val="24"/>
          <w:highlight w:val="yellow"/>
        </w:rPr>
        <w:t>9</w:t>
      </w:r>
      <w:r>
        <w:rPr>
          <w:rFonts w:ascii="Times New Roman" w:hAnsi="Times New Roman" w:eastAsia="宋体" w:cs="Times New Roman"/>
          <w:sz w:val="24"/>
          <w:highlight w:val="yellow"/>
        </w:rPr>
        <w:t>个月），经LogRank检验，</w:t>
      </w:r>
      <w:r>
        <w:rPr>
          <w:rFonts w:hint="eastAsia" w:ascii="Times New Roman" w:hAnsi="Times New Roman" w:eastAsia="宋体" w:cs="Times New Roman"/>
          <w:sz w:val="24"/>
          <w:highlight w:val="yellow"/>
        </w:rPr>
        <w:t>两组无进展生存趋势</w:t>
      </w:r>
      <w:r>
        <w:rPr>
          <w:rFonts w:ascii="Times New Roman" w:hAnsi="Times New Roman" w:eastAsia="宋体" w:cs="Times New Roman"/>
          <w:sz w:val="24"/>
          <w:highlight w:val="yellow"/>
        </w:rPr>
        <w:t>差异无统计学意义。</w:t>
      </w:r>
    </w:p>
    <w:p>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具体两组无进展生存趋势详见下图。</w:t>
      </w:r>
    </w:p>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779520" cy="2519680"/>
            <wp:effectExtent l="0" t="0" r="0" b="0"/>
            <wp:docPr id="3" name="图片 3" descr="T:\参芪扶正\Output\20200110\plot\（ORR患者-未匹配-3）-PF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参芪扶正\Output\20200110\plot\（ORR患者-未匹配-3）-PFS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780000" cy="2520000"/>
                    </a:xfrm>
                    <a:prstGeom prst="rect">
                      <a:avLst/>
                    </a:prstGeom>
                    <a:noFill/>
                    <a:ln>
                      <a:noFill/>
                    </a:ln>
                  </pic:spPr>
                </pic:pic>
              </a:graphicData>
            </a:graphic>
          </wp:inline>
        </w:drawing>
      </w:r>
    </w:p>
    <w:p>
      <w:pPr>
        <w:adjustRightInd w:val="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图</w:t>
      </w:r>
      <w:r>
        <w:rPr>
          <w:rFonts w:hint="eastAsia" w:ascii="Times New Roman" w:hAnsi="Times New Roman" w:eastAsia="宋体" w:cs="Times New Roman"/>
          <w:b/>
          <w:bCs/>
          <w:sz w:val="22"/>
          <w:szCs w:val="22"/>
        </w:rPr>
        <w:t>3.2</w:t>
      </w:r>
      <w:r>
        <w:rPr>
          <w:rFonts w:ascii="Times New Roman" w:hAnsi="Times New Roman" w:eastAsia="宋体" w:cs="Times New Roman"/>
          <w:b/>
          <w:bCs/>
          <w:sz w:val="22"/>
          <w:szCs w:val="22"/>
        </w:rPr>
        <w:t>.1 两组患者无进展生存曲线图</w:t>
      </w:r>
    </w:p>
    <w:p>
      <w:pPr>
        <w:adjustRightInd w:val="0"/>
        <w:rPr>
          <w:rFonts w:ascii="Times New Roman" w:hAnsi="Times New Roman" w:eastAsia="宋体" w:cs="Times New Roman"/>
          <w:sz w:val="24"/>
          <w:szCs w:val="24"/>
        </w:rPr>
      </w:pPr>
    </w:p>
    <w:p>
      <w:pPr>
        <w:pStyle w:val="4"/>
        <w:rPr>
          <w:rFonts w:ascii="Times New Roman" w:hAnsi="Times New Roman" w:eastAsia="宋体" w:cs="Times New Roman"/>
          <w:sz w:val="24"/>
          <w:szCs w:val="24"/>
        </w:rPr>
      </w:pPr>
      <w:bookmarkStart w:id="18" w:name="_Toc33465509"/>
      <w:r>
        <w:rPr>
          <w:rFonts w:hint="eastAsia" w:ascii="Times New Roman" w:hAnsi="Times New Roman" w:eastAsia="宋体" w:cs="Times New Roman"/>
          <w:sz w:val="24"/>
          <w:szCs w:val="24"/>
        </w:rPr>
        <w:t>倾向性评分匹配后结果</w:t>
      </w:r>
      <w:bookmarkEnd w:id="18"/>
    </w:p>
    <w:p>
      <w:pPr>
        <w:adjustRightInd w:val="0"/>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对两组患者采用倾向性评分匹配方法进行匹配后，</w:t>
      </w:r>
      <w:r>
        <w:rPr>
          <w:rFonts w:ascii="Times New Roman" w:hAnsi="Times New Roman" w:eastAsia="宋体" w:cs="Times New Roman"/>
          <w:sz w:val="24"/>
        </w:rPr>
        <w:t>两组患者无进展生存（PFS）分析的结果，详见下表</w:t>
      </w:r>
      <w:r>
        <w:rPr>
          <w:rFonts w:hint="eastAsia" w:ascii="Times New Roman" w:hAnsi="Times New Roman" w:eastAsia="宋体" w:cs="Times New Roman"/>
          <w:sz w:val="24"/>
        </w:rPr>
        <w:t>3</w:t>
      </w:r>
      <w:r>
        <w:rPr>
          <w:rFonts w:ascii="Times New Roman" w:hAnsi="Times New Roman" w:eastAsia="宋体" w:cs="Times New Roman"/>
          <w:sz w:val="24"/>
        </w:rPr>
        <w:t>.</w:t>
      </w:r>
      <w:r>
        <w:rPr>
          <w:rFonts w:hint="eastAsia" w:ascii="Times New Roman" w:hAnsi="Times New Roman" w:eastAsia="宋体" w:cs="Times New Roman"/>
          <w:sz w:val="24"/>
        </w:rPr>
        <w:t>2.2</w:t>
      </w:r>
      <w:r>
        <w:rPr>
          <w:rFonts w:ascii="Times New Roman" w:hAnsi="Times New Roman" w:eastAsia="宋体" w:cs="Times New Roman"/>
          <w:sz w:val="24"/>
        </w:rPr>
        <w:t>.1~</w:t>
      </w:r>
      <w:r>
        <w:rPr>
          <w:rFonts w:hint="eastAsia" w:ascii="Times New Roman" w:hAnsi="Times New Roman" w:eastAsia="宋体" w:cs="Times New Roman"/>
          <w:sz w:val="24"/>
        </w:rPr>
        <w:t>3</w:t>
      </w:r>
      <w:r>
        <w:rPr>
          <w:rFonts w:ascii="Times New Roman" w:hAnsi="Times New Roman" w:eastAsia="宋体" w:cs="Times New Roman"/>
          <w:sz w:val="24"/>
        </w:rPr>
        <w:t>.</w:t>
      </w:r>
      <w:r>
        <w:rPr>
          <w:rFonts w:hint="eastAsia" w:ascii="Times New Roman" w:hAnsi="Times New Roman" w:eastAsia="宋体" w:cs="Times New Roman"/>
          <w:sz w:val="24"/>
        </w:rPr>
        <w:t>2.2</w:t>
      </w:r>
      <w:r>
        <w:rPr>
          <w:rFonts w:ascii="Times New Roman" w:hAnsi="Times New Roman" w:eastAsia="宋体" w:cs="Times New Roman"/>
          <w:sz w:val="24"/>
        </w:rPr>
        <w:t>.</w:t>
      </w:r>
      <w:r>
        <w:rPr>
          <w:rFonts w:hint="eastAsia" w:ascii="Times New Roman" w:hAnsi="Times New Roman" w:eastAsia="宋体" w:cs="Times New Roman"/>
          <w:sz w:val="24"/>
        </w:rPr>
        <w:t>2，</w:t>
      </w:r>
      <w:r>
        <w:rPr>
          <w:rFonts w:ascii="Times New Roman" w:hAnsi="Times New Roman" w:eastAsia="宋体" w:cs="Times New Roman"/>
          <w:sz w:val="24"/>
        </w:rPr>
        <w:t>及无进展生存曲线图</w:t>
      </w:r>
      <w:r>
        <w:rPr>
          <w:rFonts w:hint="eastAsia" w:ascii="Times New Roman" w:hAnsi="Times New Roman" w:eastAsia="宋体" w:cs="Times New Roman"/>
          <w:sz w:val="24"/>
        </w:rPr>
        <w:t>3</w:t>
      </w:r>
      <w:r>
        <w:rPr>
          <w:rFonts w:ascii="Times New Roman" w:hAnsi="Times New Roman" w:eastAsia="宋体" w:cs="Times New Roman"/>
          <w:sz w:val="24"/>
        </w:rPr>
        <w:t>.</w:t>
      </w:r>
      <w:r>
        <w:rPr>
          <w:rFonts w:hint="eastAsia" w:ascii="Times New Roman" w:hAnsi="Times New Roman" w:eastAsia="宋体" w:cs="Times New Roman"/>
          <w:sz w:val="24"/>
        </w:rPr>
        <w:t>2.2</w:t>
      </w:r>
      <w:r>
        <w:rPr>
          <w:rFonts w:ascii="Times New Roman" w:hAnsi="Times New Roman" w:eastAsia="宋体" w:cs="Times New Roman"/>
          <w:sz w:val="24"/>
        </w:rPr>
        <w:t>。</w:t>
      </w:r>
    </w:p>
    <w:p>
      <w:pPr>
        <w:adjustRightInd w:val="0"/>
        <w:spacing w:before="10" w:after="10"/>
        <w:jc w:val="center"/>
        <w:rPr>
          <w:rFonts w:ascii="Times New Roman" w:hAnsi="Times New Roman" w:eastAsia="宋体" w:cs="Times New Roman"/>
          <w:b/>
          <w:bCs/>
          <w:sz w:val="24"/>
          <w:szCs w:val="24"/>
        </w:rPr>
      </w:pPr>
      <w:r>
        <w:rPr>
          <w:rFonts w:ascii="Times New Roman" w:hAnsi="Times New Roman" w:eastAsia="宋体" w:cs="Times New Roman"/>
          <w:b/>
          <w:bCs/>
          <w:sz w:val="22"/>
          <w:szCs w:val="22"/>
        </w:rPr>
        <w:t>表</w:t>
      </w:r>
      <w:r>
        <w:rPr>
          <w:rFonts w:hint="eastAsia" w:ascii="Times New Roman" w:hAnsi="Times New Roman" w:eastAsia="宋体" w:cs="Times New Roman"/>
          <w:b/>
          <w:bCs/>
          <w:sz w:val="22"/>
          <w:szCs w:val="22"/>
        </w:rPr>
        <w:t>3</w:t>
      </w:r>
      <w:r>
        <w:rPr>
          <w:rFonts w:ascii="Times New Roman" w:hAnsi="Times New Roman" w:eastAsia="宋体" w:cs="Times New Roman"/>
          <w:b/>
          <w:bCs/>
          <w:sz w:val="22"/>
          <w:szCs w:val="22"/>
        </w:rPr>
        <w:t>.</w:t>
      </w:r>
      <w:r>
        <w:rPr>
          <w:rFonts w:hint="eastAsia" w:ascii="Times New Roman" w:hAnsi="Times New Roman" w:eastAsia="宋体" w:cs="Times New Roman"/>
          <w:b/>
          <w:bCs/>
          <w:sz w:val="22"/>
          <w:szCs w:val="22"/>
        </w:rPr>
        <w:t>2.2</w:t>
      </w:r>
      <w:r>
        <w:rPr>
          <w:rFonts w:ascii="Times New Roman" w:hAnsi="Times New Roman" w:eastAsia="宋体" w:cs="Times New Roman"/>
          <w:b/>
          <w:bCs/>
          <w:sz w:val="22"/>
          <w:szCs w:val="22"/>
        </w:rPr>
        <w:t xml:space="preserve">.1 </w:t>
      </w:r>
      <w:r>
        <w:rPr>
          <w:rFonts w:hint="eastAsia" w:ascii="Times New Roman" w:hAnsi="Times New Roman" w:eastAsia="宋体" w:cs="Times New Roman"/>
          <w:b/>
          <w:bCs/>
          <w:sz w:val="22"/>
          <w:szCs w:val="22"/>
        </w:rPr>
        <w:t>匹配后</w:t>
      </w:r>
      <w:r>
        <w:rPr>
          <w:rFonts w:ascii="Times New Roman" w:hAnsi="Times New Roman" w:eastAsia="宋体" w:cs="Times New Roman"/>
          <w:b/>
          <w:bCs/>
          <w:sz w:val="22"/>
          <w:szCs w:val="22"/>
        </w:rPr>
        <w:t>两组患者无进展生存情况</w:t>
      </w:r>
    </w:p>
    <w:tbl>
      <w:tblPr>
        <w:tblStyle w:val="22"/>
        <w:tblW w:w="5000" w:type="pct"/>
        <w:jc w:val="center"/>
        <w:tblLayout w:type="autofit"/>
        <w:tblCellMar>
          <w:top w:w="0" w:type="dxa"/>
          <w:left w:w="0" w:type="dxa"/>
          <w:bottom w:w="0" w:type="dxa"/>
          <w:right w:w="0" w:type="dxa"/>
        </w:tblCellMar>
      </w:tblPr>
      <w:tblGrid>
        <w:gridCol w:w="3082"/>
        <w:gridCol w:w="2475"/>
        <w:gridCol w:w="2475"/>
        <w:gridCol w:w="2473"/>
      </w:tblGrid>
      <w:tr>
        <w:tblPrEx>
          <w:tblCellMar>
            <w:top w:w="0" w:type="dxa"/>
            <w:left w:w="0" w:type="dxa"/>
            <w:bottom w:w="0" w:type="dxa"/>
            <w:right w:w="0" w:type="dxa"/>
          </w:tblCellMar>
        </w:tblPrEx>
        <w:trPr>
          <w:cantSplit/>
          <w:tblHeader/>
          <w:jc w:val="center"/>
        </w:trPr>
        <w:tc>
          <w:tcPr>
            <w:tcW w:w="1467" w:type="pct"/>
            <w:tcBorders>
              <w:top w:val="single" w:color="000000" w:sz="6" w:space="0"/>
              <w:left w:val="nil"/>
              <w:bottom w:val="nil"/>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p>
        </w:tc>
        <w:tc>
          <w:tcPr>
            <w:tcW w:w="2356" w:type="pct"/>
            <w:gridSpan w:val="2"/>
            <w:tcBorders>
              <w:top w:val="single" w:color="000000" w:sz="6" w:space="0"/>
              <w:left w:val="nil"/>
              <w:bottom w:val="nil"/>
              <w:right w:val="nil"/>
            </w:tcBorders>
            <w:shd w:val="clear" w:color="auto" w:fill="FFFFFF"/>
            <w:tcMar>
              <w:top w:w="0" w:type="dxa"/>
              <w:left w:w="20" w:type="dxa"/>
              <w:bottom w:w="0" w:type="dxa"/>
              <w:right w:w="20" w:type="dxa"/>
            </w:tcMar>
            <w:vAlign w:val="bottom"/>
          </w:tcPr>
          <w:p>
            <w:pPr>
              <w:pBdr>
                <w:bottom w:val="single" w:color="auto" w:sz="6" w:space="0"/>
              </w:pBd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治疗分组</w:t>
            </w:r>
          </w:p>
        </w:tc>
        <w:tc>
          <w:tcPr>
            <w:tcW w:w="1177" w:type="pct"/>
            <w:tcBorders>
              <w:top w:val="single" w:color="000000" w:sz="6" w:space="0"/>
              <w:left w:val="nil"/>
              <w:bottom w:val="nil"/>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p>
        </w:tc>
      </w:tr>
      <w:tr>
        <w:tblPrEx>
          <w:tblCellMar>
            <w:top w:w="0" w:type="dxa"/>
            <w:left w:w="0" w:type="dxa"/>
            <w:bottom w:w="0" w:type="dxa"/>
            <w:right w:w="0" w:type="dxa"/>
          </w:tblCellMar>
        </w:tblPrEx>
        <w:trPr>
          <w:cantSplit/>
          <w:tblHeader/>
          <w:jc w:val="center"/>
        </w:trPr>
        <w:tc>
          <w:tcPr>
            <w:tcW w:w="1467" w:type="pct"/>
            <w:tcBorders>
              <w:top w:val="nil"/>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rPr>
                <w:rFonts w:ascii="Times New Roman" w:hAnsi="Times New Roman" w:cs="Times New Roman" w:eastAsiaTheme="minorEastAsia"/>
                <w:b/>
                <w:bCs/>
              </w:rPr>
            </w:pPr>
            <w:r>
              <w:rPr>
                <w:rFonts w:ascii="Times New Roman" w:hAnsi="Times New Roman" w:eastAsia="宋体" w:cs="Times New Roman"/>
                <w:b/>
                <w:bCs/>
              </w:rPr>
              <w:t>患者状态</w:t>
            </w:r>
          </w:p>
        </w:tc>
        <w:tc>
          <w:tcPr>
            <w:tcW w:w="1178" w:type="pct"/>
            <w:tcBorders>
              <w:top w:val="nil"/>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1178" w:type="pct"/>
            <w:tcBorders>
              <w:top w:val="nil"/>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N=(399)</w:t>
            </w:r>
          </w:p>
        </w:tc>
        <w:tc>
          <w:tcPr>
            <w:tcW w:w="1177" w:type="pct"/>
            <w:tcBorders>
              <w:top w:val="nil"/>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467" w:type="pct"/>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b/>
                <w:bCs/>
                <w:sz w:val="18"/>
                <w:szCs w:val="18"/>
              </w:rPr>
            </w:pPr>
            <w:r>
              <w:rPr>
                <w:rFonts w:ascii="Times New Roman" w:hAnsi="Times New Roman" w:eastAsia="宋体" w:cs="Times New Roman"/>
                <w:b/>
                <w:bCs/>
                <w:sz w:val="18"/>
                <w:szCs w:val="18"/>
              </w:rPr>
              <w:t>疾病进展</w:t>
            </w:r>
          </w:p>
        </w:tc>
        <w:tc>
          <w:tcPr>
            <w:tcW w:w="1178"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p>
        </w:tc>
        <w:tc>
          <w:tcPr>
            <w:tcW w:w="1178"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p>
        </w:tc>
        <w:tc>
          <w:tcPr>
            <w:tcW w:w="1177"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0.3426</w:t>
            </w:r>
          </w:p>
        </w:tc>
      </w:tr>
      <w:tr>
        <w:tblPrEx>
          <w:tblCellMar>
            <w:top w:w="0" w:type="dxa"/>
            <w:left w:w="0" w:type="dxa"/>
            <w:bottom w:w="0" w:type="dxa"/>
            <w:right w:w="0" w:type="dxa"/>
          </w:tblCellMar>
        </w:tblPrEx>
        <w:trPr>
          <w:cantSplit/>
          <w:jc w:val="center"/>
        </w:trPr>
        <w:tc>
          <w:tcPr>
            <w:tcW w:w="1467" w:type="pct"/>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例数（缺失数）</w:t>
            </w:r>
          </w:p>
        </w:tc>
        <w:tc>
          <w:tcPr>
            <w:tcW w:w="1178"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399(0)</w:t>
            </w:r>
          </w:p>
        </w:tc>
        <w:tc>
          <w:tcPr>
            <w:tcW w:w="1178"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399(0)</w:t>
            </w:r>
          </w:p>
        </w:tc>
        <w:tc>
          <w:tcPr>
            <w:tcW w:w="1177"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p>
        </w:tc>
      </w:tr>
      <w:tr>
        <w:tblPrEx>
          <w:tblCellMar>
            <w:top w:w="0" w:type="dxa"/>
            <w:left w:w="0" w:type="dxa"/>
            <w:bottom w:w="0" w:type="dxa"/>
            <w:right w:w="0" w:type="dxa"/>
          </w:tblCellMar>
        </w:tblPrEx>
        <w:trPr>
          <w:cantSplit/>
          <w:jc w:val="center"/>
        </w:trPr>
        <w:tc>
          <w:tcPr>
            <w:tcW w:w="1467" w:type="pct"/>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无进展</w:t>
            </w:r>
          </w:p>
        </w:tc>
        <w:tc>
          <w:tcPr>
            <w:tcW w:w="1178"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91 (22.8%)</w:t>
            </w:r>
          </w:p>
        </w:tc>
        <w:tc>
          <w:tcPr>
            <w:tcW w:w="1178"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80 (20.1%)</w:t>
            </w:r>
          </w:p>
        </w:tc>
        <w:tc>
          <w:tcPr>
            <w:tcW w:w="1177"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p>
        </w:tc>
      </w:tr>
      <w:tr>
        <w:tblPrEx>
          <w:tblCellMar>
            <w:top w:w="0" w:type="dxa"/>
            <w:left w:w="0" w:type="dxa"/>
            <w:bottom w:w="0" w:type="dxa"/>
            <w:right w:w="0" w:type="dxa"/>
          </w:tblCellMar>
        </w:tblPrEx>
        <w:trPr>
          <w:cantSplit/>
          <w:jc w:val="center"/>
        </w:trPr>
        <w:tc>
          <w:tcPr>
            <w:tcW w:w="1467" w:type="pct"/>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有进展</w:t>
            </w:r>
          </w:p>
        </w:tc>
        <w:tc>
          <w:tcPr>
            <w:tcW w:w="1178"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308 (77.2%)</w:t>
            </w:r>
          </w:p>
        </w:tc>
        <w:tc>
          <w:tcPr>
            <w:tcW w:w="1178"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319 (79.9%)</w:t>
            </w:r>
          </w:p>
        </w:tc>
        <w:tc>
          <w:tcPr>
            <w:tcW w:w="1177"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p>
        </w:tc>
      </w:tr>
      <w:tr>
        <w:tblPrEx>
          <w:tblCellMar>
            <w:top w:w="0" w:type="dxa"/>
            <w:left w:w="0" w:type="dxa"/>
            <w:bottom w:w="0" w:type="dxa"/>
            <w:right w:w="0" w:type="dxa"/>
          </w:tblCellMar>
        </w:tblPrEx>
        <w:trPr>
          <w:cantSplit/>
          <w:jc w:val="center"/>
        </w:trPr>
        <w:tc>
          <w:tcPr>
            <w:tcW w:w="5000" w:type="pct"/>
            <w:gridSpan w:val="4"/>
            <w:tcBorders>
              <w:top w:val="nil"/>
              <w:left w:val="nil"/>
              <w:bottom w:val="double" w:color="000000" w:sz="6" w:space="0"/>
              <w:right w:val="nil"/>
            </w:tcBorders>
            <w:shd w:val="clear" w:color="auto" w:fill="FFFFFF"/>
            <w:tcMar>
              <w:top w:w="0" w:type="dxa"/>
              <w:left w:w="20" w:type="dxa"/>
              <w:bottom w:w="0" w:type="dxa"/>
              <w:right w:w="20" w:type="dxa"/>
            </w:tcMar>
          </w:tcPr>
          <w:p>
            <w:pPr>
              <w:pBdr>
                <w:top w:val="single" w:color="auto" w:sz="6" w:space="0"/>
              </w:pBdr>
              <w:autoSpaceDE w:val="0"/>
              <w:autoSpaceDN w:val="0"/>
              <w:adjustRightInd w:val="0"/>
              <w:spacing w:before="20" w:after="20"/>
              <w:rPr>
                <w:rFonts w:ascii="Times New Roman" w:hAnsi="Times New Roman" w:cs="Times New Roman" w:eastAsiaTheme="minorEastAsia"/>
                <w:i/>
                <w:iCs/>
                <w:sz w:val="16"/>
                <w:szCs w:val="16"/>
              </w:rPr>
            </w:pPr>
            <w:r>
              <w:rPr>
                <w:rFonts w:ascii="Times New Roman" w:hAnsi="Times New Roman" w:eastAsia="宋体" w:cs="Times New Roman"/>
                <w:i/>
                <w:iCs/>
                <w:sz w:val="16"/>
                <w:szCs w:val="16"/>
              </w:rPr>
              <w:t>注：表中百分比计算均基于非缺失数据；</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spacing w:before="120" w:beforeLines="50" w:after="120" w:afterLines="50" w:line="360" w:lineRule="auto"/>
        <w:ind w:firstLine="480" w:firstLineChars="200"/>
        <w:rPr>
          <w:rFonts w:ascii="Times New Roman" w:hAnsi="Times New Roman" w:eastAsia="宋体" w:cs="Times New Roman"/>
          <w:color w:val="auto"/>
          <w:sz w:val="24"/>
          <w:szCs w:val="20"/>
        </w:rPr>
      </w:pPr>
      <w:r>
        <w:rPr>
          <w:rFonts w:ascii="Times New Roman" w:hAnsi="Times New Roman" w:eastAsia="宋体" w:cs="Times New Roman"/>
          <w:sz w:val="24"/>
        </w:rPr>
        <w:t>由上表可知，</w:t>
      </w:r>
      <w:r>
        <w:rPr>
          <w:rFonts w:hint="eastAsia" w:ascii="Times New Roman" w:hAnsi="Times New Roman" w:eastAsia="宋体" w:cs="Times New Roman"/>
          <w:sz w:val="24"/>
        </w:rPr>
        <w:t>两组患者删失率分别为22.8%、20.1%</w:t>
      </w:r>
      <w:r>
        <w:rPr>
          <w:rFonts w:ascii="Times New Roman" w:hAnsi="Times New Roman" w:eastAsia="宋体" w:cs="Times New Roman"/>
          <w:sz w:val="24"/>
        </w:rPr>
        <w:t>，</w:t>
      </w:r>
      <w:r>
        <w:rPr>
          <w:rFonts w:hint="eastAsia" w:ascii="Times New Roman" w:hAnsi="Times New Roman" w:eastAsia="宋体" w:cs="Times New Roman"/>
          <w:sz w:val="24"/>
        </w:rPr>
        <w:t>两组基本一致（对照组略低）</w:t>
      </w:r>
      <w:r>
        <w:rPr>
          <w:rFonts w:ascii="Times New Roman" w:hAnsi="Times New Roman" w:eastAsia="宋体" w:cs="Times New Roman"/>
          <w:sz w:val="24"/>
        </w:rPr>
        <w:t>。</w:t>
      </w: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表3.2.</w:t>
      </w:r>
      <w:r>
        <w:rPr>
          <w:rFonts w:hint="eastAsia" w:ascii="Times New Roman" w:hAnsi="Times New Roman" w:eastAsia="宋体" w:cs="Times New Roman"/>
          <w:b/>
          <w:bCs/>
          <w:sz w:val="22"/>
          <w:szCs w:val="22"/>
        </w:rPr>
        <w:t>2</w:t>
      </w:r>
      <w:r>
        <w:rPr>
          <w:rFonts w:ascii="Times New Roman" w:hAnsi="Times New Roman" w:eastAsia="宋体" w:cs="Times New Roman"/>
          <w:b/>
          <w:bCs/>
          <w:sz w:val="22"/>
          <w:szCs w:val="22"/>
        </w:rPr>
        <w:t xml:space="preserve">.2 </w:t>
      </w:r>
      <w:r>
        <w:rPr>
          <w:rFonts w:hint="eastAsia" w:ascii="Times New Roman" w:hAnsi="Times New Roman" w:eastAsia="宋体" w:cs="Times New Roman"/>
          <w:b/>
          <w:bCs/>
          <w:sz w:val="22"/>
          <w:szCs w:val="22"/>
        </w:rPr>
        <w:t>匹配后</w:t>
      </w:r>
      <w:r>
        <w:rPr>
          <w:rFonts w:ascii="Times New Roman" w:hAnsi="Times New Roman" w:eastAsia="宋体" w:cs="Times New Roman"/>
          <w:b/>
          <w:bCs/>
          <w:sz w:val="22"/>
          <w:szCs w:val="22"/>
        </w:rPr>
        <w:t>两组患者中位无进展生存期LogRank检验</w:t>
      </w:r>
    </w:p>
    <w:tbl>
      <w:tblPr>
        <w:tblStyle w:val="22"/>
        <w:tblW w:w="0" w:type="auto"/>
        <w:jc w:val="center"/>
        <w:tblLayout w:type="autofit"/>
        <w:tblCellMar>
          <w:top w:w="0" w:type="dxa"/>
          <w:left w:w="0" w:type="dxa"/>
          <w:bottom w:w="0" w:type="dxa"/>
          <w:right w:w="0" w:type="dxa"/>
        </w:tblCellMar>
      </w:tblPr>
      <w:tblGrid>
        <w:gridCol w:w="1100"/>
        <w:gridCol w:w="1146"/>
        <w:gridCol w:w="989"/>
        <w:gridCol w:w="1146"/>
        <w:gridCol w:w="989"/>
        <w:gridCol w:w="989"/>
        <w:gridCol w:w="2360"/>
        <w:gridCol w:w="1095"/>
        <w:gridCol w:w="618"/>
      </w:tblGrid>
      <w:tr>
        <w:tblPrEx>
          <w:tblCellMar>
            <w:top w:w="0" w:type="dxa"/>
            <w:left w:w="0" w:type="dxa"/>
            <w:bottom w:w="0" w:type="dxa"/>
            <w:right w:w="0" w:type="dxa"/>
          </w:tblCellMar>
        </w:tblPrEx>
        <w:trPr>
          <w:cantSplit/>
          <w:tblHeader/>
          <w:jc w:val="center"/>
        </w:trPr>
        <w:tc>
          <w:tcPr>
            <w:tcW w:w="1100"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rPr>
                <w:rFonts w:ascii="Times New Roman" w:hAnsi="Times New Roman" w:cs="Times New Roman" w:eastAsiaTheme="minorEastAsia"/>
                <w:b/>
                <w:bCs/>
              </w:rPr>
            </w:pPr>
            <w:r>
              <w:rPr>
                <w:rFonts w:ascii="Times New Roman" w:hAnsi="Times New Roman" w:eastAsia="宋体" w:cs="Times New Roman"/>
                <w:b/>
                <w:bCs/>
              </w:rPr>
              <w:t>治疗分组</w:t>
            </w:r>
          </w:p>
        </w:tc>
        <w:tc>
          <w:tcPr>
            <w:tcW w:w="0" w:type="auto"/>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0.5</w:t>
            </w:r>
            <w:r>
              <w:rPr>
                <w:rFonts w:ascii="Times New Roman" w:hAnsi="Times New Roman" w:eastAsia="宋体" w:cs="Times New Roman"/>
                <w:b/>
                <w:bCs/>
              </w:rPr>
              <w:t>年无进展</w:t>
            </w:r>
            <w:r>
              <w:rPr>
                <w:rFonts w:ascii="Times New Roman" w:hAnsi="Times New Roman" w:cs="Times New Roman"/>
                <w:b/>
                <w:bCs/>
              </w:rPr>
              <w:br w:type="textWrapping"/>
            </w:r>
            <w:r>
              <w:rPr>
                <w:rFonts w:ascii="Times New Roman" w:hAnsi="Times New Roman" w:eastAsia="宋体" w:cs="Times New Roman"/>
                <w:b/>
                <w:bCs/>
              </w:rPr>
              <w:t>生存率</w:t>
            </w:r>
          </w:p>
        </w:tc>
        <w:tc>
          <w:tcPr>
            <w:tcW w:w="0" w:type="auto"/>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1</w:t>
            </w:r>
            <w:r>
              <w:rPr>
                <w:rFonts w:ascii="Times New Roman" w:hAnsi="Times New Roman" w:eastAsia="宋体" w:cs="Times New Roman"/>
                <w:b/>
                <w:bCs/>
              </w:rPr>
              <w:t>年无进展</w:t>
            </w:r>
            <w:r>
              <w:rPr>
                <w:rFonts w:ascii="Times New Roman" w:hAnsi="Times New Roman" w:cs="Times New Roman"/>
                <w:b/>
                <w:bCs/>
              </w:rPr>
              <w:br w:type="textWrapping"/>
            </w:r>
            <w:r>
              <w:rPr>
                <w:rFonts w:ascii="Times New Roman" w:hAnsi="Times New Roman" w:eastAsia="宋体" w:cs="Times New Roman"/>
                <w:b/>
                <w:bCs/>
              </w:rPr>
              <w:t>生存率</w:t>
            </w:r>
          </w:p>
        </w:tc>
        <w:tc>
          <w:tcPr>
            <w:tcW w:w="0" w:type="auto"/>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1.5</w:t>
            </w:r>
            <w:r>
              <w:rPr>
                <w:rFonts w:ascii="Times New Roman" w:hAnsi="Times New Roman" w:eastAsia="宋体" w:cs="Times New Roman"/>
                <w:b/>
                <w:bCs/>
              </w:rPr>
              <w:t>年无进展</w:t>
            </w:r>
            <w:r>
              <w:rPr>
                <w:rFonts w:ascii="Times New Roman" w:hAnsi="Times New Roman" w:cs="Times New Roman"/>
                <w:b/>
                <w:bCs/>
              </w:rPr>
              <w:br w:type="textWrapping"/>
            </w:r>
            <w:r>
              <w:rPr>
                <w:rFonts w:ascii="Times New Roman" w:hAnsi="Times New Roman" w:eastAsia="宋体" w:cs="Times New Roman"/>
                <w:b/>
                <w:bCs/>
              </w:rPr>
              <w:t>生存率</w:t>
            </w:r>
          </w:p>
        </w:tc>
        <w:tc>
          <w:tcPr>
            <w:tcW w:w="0" w:type="auto"/>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2</w:t>
            </w:r>
            <w:r>
              <w:rPr>
                <w:rFonts w:ascii="Times New Roman" w:hAnsi="Times New Roman" w:eastAsia="宋体" w:cs="Times New Roman"/>
                <w:b/>
                <w:bCs/>
              </w:rPr>
              <w:t>年无进展</w:t>
            </w:r>
            <w:r>
              <w:rPr>
                <w:rFonts w:ascii="Times New Roman" w:hAnsi="Times New Roman" w:cs="Times New Roman"/>
                <w:b/>
                <w:bCs/>
              </w:rPr>
              <w:br w:type="textWrapping"/>
            </w:r>
            <w:r>
              <w:rPr>
                <w:rFonts w:ascii="Times New Roman" w:hAnsi="Times New Roman" w:eastAsia="宋体" w:cs="Times New Roman"/>
                <w:b/>
                <w:bCs/>
              </w:rPr>
              <w:t>生存率</w:t>
            </w:r>
          </w:p>
        </w:tc>
        <w:tc>
          <w:tcPr>
            <w:tcW w:w="0" w:type="auto"/>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3</w:t>
            </w:r>
            <w:r>
              <w:rPr>
                <w:rFonts w:ascii="Times New Roman" w:hAnsi="Times New Roman" w:eastAsia="宋体" w:cs="Times New Roman"/>
                <w:b/>
                <w:bCs/>
              </w:rPr>
              <w:t>年无进展</w:t>
            </w:r>
            <w:r>
              <w:rPr>
                <w:rFonts w:ascii="Times New Roman" w:hAnsi="Times New Roman" w:cs="Times New Roman"/>
                <w:b/>
                <w:bCs/>
              </w:rPr>
              <w:br w:type="textWrapping"/>
            </w:r>
            <w:r>
              <w:rPr>
                <w:rFonts w:ascii="Times New Roman" w:hAnsi="Times New Roman" w:eastAsia="宋体" w:cs="Times New Roman"/>
                <w:b/>
                <w:bCs/>
              </w:rPr>
              <w:t>生存率</w:t>
            </w:r>
          </w:p>
        </w:tc>
        <w:tc>
          <w:tcPr>
            <w:tcW w:w="0" w:type="auto"/>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中位无进展生存期（月）</w:t>
            </w:r>
            <w:r>
              <w:rPr>
                <w:rFonts w:ascii="Times New Roman" w:hAnsi="Times New Roman" w:cs="Times New Roman"/>
                <w:b/>
                <w:bCs/>
              </w:rPr>
              <w:br w:type="textWrapping"/>
            </w:r>
            <w:r>
              <w:rPr>
                <w:rFonts w:ascii="Times New Roman" w:hAnsi="Times New Roman" w:eastAsia="宋体" w:cs="Times New Roman"/>
                <w:b/>
                <w:bCs/>
              </w:rPr>
              <w:t>（</w:t>
            </w:r>
            <w:r>
              <w:rPr>
                <w:rFonts w:ascii="Times New Roman" w:hAnsi="Times New Roman" w:cs="Times New Roman"/>
                <w:b/>
                <w:bCs/>
              </w:rPr>
              <w:t>95%</w:t>
            </w:r>
            <w:r>
              <w:rPr>
                <w:rFonts w:ascii="Times New Roman" w:hAnsi="Times New Roman" w:eastAsia="宋体" w:cs="Times New Roman"/>
                <w:b/>
                <w:bCs/>
              </w:rPr>
              <w:t>置信区间）</w:t>
            </w:r>
          </w:p>
        </w:tc>
        <w:tc>
          <w:tcPr>
            <w:tcW w:w="0" w:type="auto"/>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对数秩卡方</w:t>
            </w:r>
            <w:r>
              <w:rPr>
                <w:rFonts w:ascii="Times New Roman" w:hAnsi="Times New Roman" w:cs="Times New Roman"/>
                <w:b/>
                <w:bCs/>
              </w:rPr>
              <w:br w:type="textWrapping"/>
            </w:r>
            <w:r>
              <w:rPr>
                <w:rFonts w:ascii="Times New Roman" w:hAnsi="Times New Roman" w:eastAsia="宋体" w:cs="Times New Roman"/>
                <w:b/>
                <w:bCs/>
              </w:rPr>
              <w:t>统计量</w:t>
            </w:r>
          </w:p>
        </w:tc>
        <w:tc>
          <w:tcPr>
            <w:tcW w:w="618"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100"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b/>
                <w:bCs/>
                <w:sz w:val="18"/>
                <w:szCs w:val="18"/>
              </w:rPr>
            </w:pPr>
            <w:r>
              <w:rPr>
                <w:rFonts w:ascii="Times New Roman" w:hAnsi="Times New Roman" w:eastAsia="宋体" w:cs="Times New Roman"/>
                <w:b/>
                <w:bCs/>
                <w:sz w:val="18"/>
                <w:szCs w:val="18"/>
              </w:rPr>
              <w:t>对照组</w:t>
            </w:r>
            <w:r>
              <w:rPr>
                <w:rFonts w:ascii="Times New Roman" w:hAnsi="Times New Roman" w:cs="Times New Roman"/>
                <w:b/>
                <w:bCs/>
                <w:sz w:val="18"/>
                <w:szCs w:val="18"/>
              </w:rPr>
              <w:t xml:space="preserve">    </w:t>
            </w:r>
          </w:p>
        </w:tc>
        <w:tc>
          <w:tcPr>
            <w:tcW w:w="0" w:type="auto"/>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0.5373</w:t>
            </w:r>
          </w:p>
        </w:tc>
        <w:tc>
          <w:tcPr>
            <w:tcW w:w="0" w:type="auto"/>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0.3239</w:t>
            </w:r>
          </w:p>
        </w:tc>
        <w:tc>
          <w:tcPr>
            <w:tcW w:w="0" w:type="auto"/>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0.2384</w:t>
            </w:r>
          </w:p>
        </w:tc>
        <w:tc>
          <w:tcPr>
            <w:tcW w:w="0" w:type="auto"/>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0.1773</w:t>
            </w:r>
          </w:p>
        </w:tc>
        <w:tc>
          <w:tcPr>
            <w:tcW w:w="0" w:type="auto"/>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0.0917</w:t>
            </w:r>
          </w:p>
        </w:tc>
        <w:tc>
          <w:tcPr>
            <w:tcW w:w="0" w:type="auto"/>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7.0 (5.6,8.2)</w:t>
            </w:r>
          </w:p>
        </w:tc>
        <w:tc>
          <w:tcPr>
            <w:tcW w:w="0" w:type="auto"/>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0.0307</w:t>
            </w:r>
          </w:p>
        </w:tc>
        <w:tc>
          <w:tcPr>
            <w:tcW w:w="618"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0.8608</w:t>
            </w:r>
          </w:p>
        </w:tc>
      </w:tr>
      <w:tr>
        <w:tblPrEx>
          <w:tblCellMar>
            <w:top w:w="0" w:type="dxa"/>
            <w:left w:w="0" w:type="dxa"/>
            <w:bottom w:w="0" w:type="dxa"/>
            <w:right w:w="0" w:type="dxa"/>
          </w:tblCellMar>
        </w:tblPrEx>
        <w:trPr>
          <w:cantSplit/>
          <w:jc w:val="center"/>
        </w:trPr>
        <w:tc>
          <w:tcPr>
            <w:tcW w:w="1100"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b/>
                <w:bCs/>
                <w:sz w:val="18"/>
                <w:szCs w:val="18"/>
              </w:rPr>
            </w:pPr>
            <w:r>
              <w:rPr>
                <w:rFonts w:ascii="Times New Roman" w:hAnsi="Times New Roman" w:eastAsia="宋体" w:cs="Times New Roman"/>
                <w:b/>
                <w:bCs/>
                <w:sz w:val="18"/>
                <w:szCs w:val="18"/>
              </w:rPr>
              <w:t>参芪扶正组</w:t>
            </w:r>
          </w:p>
        </w:tc>
        <w:tc>
          <w:tcPr>
            <w:tcW w:w="0" w:type="auto"/>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0.5602</w:t>
            </w:r>
          </w:p>
        </w:tc>
        <w:tc>
          <w:tcPr>
            <w:tcW w:w="0" w:type="auto"/>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0.3420</w:t>
            </w:r>
          </w:p>
        </w:tc>
        <w:tc>
          <w:tcPr>
            <w:tcW w:w="0" w:type="auto"/>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0.2288</w:t>
            </w:r>
          </w:p>
        </w:tc>
        <w:tc>
          <w:tcPr>
            <w:tcW w:w="0" w:type="auto"/>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0.1732</w:t>
            </w:r>
          </w:p>
        </w:tc>
        <w:tc>
          <w:tcPr>
            <w:tcW w:w="0" w:type="auto"/>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0.0836</w:t>
            </w:r>
          </w:p>
        </w:tc>
        <w:tc>
          <w:tcPr>
            <w:tcW w:w="0" w:type="auto"/>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7.4 (6.1,8.7)</w:t>
            </w:r>
          </w:p>
        </w:tc>
        <w:tc>
          <w:tcPr>
            <w:tcW w:w="0" w:type="auto"/>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w:t>
            </w:r>
          </w:p>
        </w:tc>
        <w:tc>
          <w:tcPr>
            <w:tcW w:w="618"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w:t>
            </w:r>
          </w:p>
        </w:tc>
      </w:tr>
      <w:tr>
        <w:tblPrEx>
          <w:tblCellMar>
            <w:top w:w="0" w:type="dxa"/>
            <w:left w:w="0" w:type="dxa"/>
            <w:bottom w:w="0" w:type="dxa"/>
            <w:right w:w="0" w:type="dxa"/>
          </w:tblCellMar>
        </w:tblPrEx>
        <w:trPr>
          <w:cantSplit/>
          <w:jc w:val="center"/>
        </w:trPr>
        <w:tc>
          <w:tcPr>
            <w:tcW w:w="10432" w:type="dxa"/>
            <w:gridSpan w:val="9"/>
            <w:tcBorders>
              <w:top w:val="nil"/>
              <w:left w:val="nil"/>
              <w:bottom w:val="double" w:color="000000" w:sz="6" w:space="0"/>
              <w:right w:val="nil"/>
            </w:tcBorders>
            <w:shd w:val="clear" w:color="auto" w:fill="FFFFFF"/>
            <w:tcMar>
              <w:top w:w="0" w:type="dxa"/>
              <w:left w:w="20" w:type="dxa"/>
              <w:bottom w:w="0" w:type="dxa"/>
              <w:right w:w="20" w:type="dxa"/>
            </w:tcMar>
          </w:tcPr>
          <w:p>
            <w:pPr>
              <w:pBdr>
                <w:top w:val="single" w:color="auto" w:sz="6" w:space="0"/>
              </w:pBdr>
              <w:autoSpaceDE w:val="0"/>
              <w:autoSpaceDN w:val="0"/>
              <w:adjustRightInd w:val="0"/>
              <w:spacing w:before="20" w:after="20"/>
              <w:rPr>
                <w:rFonts w:ascii="Times New Roman" w:hAnsi="Times New Roman" w:cs="Times New Roman" w:eastAsiaTheme="minorEastAsia"/>
                <w:i/>
                <w:iCs/>
                <w:sz w:val="16"/>
                <w:szCs w:val="16"/>
              </w:rPr>
            </w:pPr>
            <w:r>
              <w:rPr>
                <w:rFonts w:ascii="Times New Roman" w:hAnsi="Times New Roman" w:eastAsia="宋体" w:cs="Times New Roman"/>
                <w:i/>
                <w:iCs/>
                <w:sz w:val="16"/>
                <w:szCs w:val="16"/>
              </w:rPr>
              <w:t>注：该表中结果来自</w:t>
            </w:r>
            <w:r>
              <w:rPr>
                <w:rFonts w:ascii="Times New Roman" w:hAnsi="Times New Roman" w:cs="Times New Roman"/>
                <w:i/>
                <w:iCs/>
                <w:sz w:val="16"/>
                <w:szCs w:val="16"/>
              </w:rPr>
              <w:t>Logrank</w:t>
            </w:r>
            <w:r>
              <w:rPr>
                <w:rFonts w:ascii="Times New Roman" w:hAnsi="Times New Roman" w:eastAsia="宋体" w:cs="Times New Roman"/>
                <w:i/>
                <w:iCs/>
                <w:sz w:val="16"/>
                <w:szCs w:val="16"/>
              </w:rPr>
              <w:t>检验。</w:t>
            </w:r>
          </w:p>
        </w:tc>
      </w:tr>
    </w:tbl>
    <w:p>
      <w:pPr>
        <w:spacing w:before="120" w:beforeLines="50" w:line="360" w:lineRule="auto"/>
        <w:ind w:firstLine="480" w:firstLineChars="200"/>
        <w:rPr>
          <w:rFonts w:ascii="Times New Roman" w:hAnsi="Times New Roman" w:eastAsia="宋体" w:cs="Times New Roman"/>
          <w:color w:val="auto"/>
          <w:sz w:val="24"/>
          <w:szCs w:val="20"/>
          <w:highlight w:val="yellow"/>
        </w:rPr>
      </w:pPr>
      <w:r>
        <w:rPr>
          <w:rFonts w:ascii="Times New Roman" w:hAnsi="Times New Roman" w:eastAsia="宋体" w:cs="Times New Roman"/>
          <w:sz w:val="24"/>
        </w:rPr>
        <w:t>由上表可知，参芪扶正组的中位无进展生存期</w:t>
      </w:r>
      <w:r>
        <w:rPr>
          <w:rFonts w:hint="eastAsia" w:ascii="Times New Roman" w:hAnsi="Times New Roman" w:eastAsia="宋体" w:cs="Times New Roman"/>
          <w:sz w:val="24"/>
          <w:highlight w:val="yellow"/>
        </w:rPr>
        <w:t>比</w:t>
      </w:r>
      <w:r>
        <w:rPr>
          <w:rFonts w:ascii="Times New Roman" w:hAnsi="Times New Roman" w:eastAsia="宋体" w:cs="Times New Roman"/>
          <w:sz w:val="24"/>
          <w:highlight w:val="yellow"/>
        </w:rPr>
        <w:t>对照组</w:t>
      </w:r>
      <w:r>
        <w:rPr>
          <w:rFonts w:hint="eastAsia" w:ascii="Times New Roman" w:hAnsi="Times New Roman" w:eastAsia="宋体" w:cs="Times New Roman"/>
          <w:sz w:val="24"/>
          <w:highlight w:val="yellow"/>
        </w:rPr>
        <w:t>略高0.4个月</w:t>
      </w:r>
      <w:r>
        <w:rPr>
          <w:rFonts w:ascii="Times New Roman" w:hAnsi="Times New Roman" w:eastAsia="宋体" w:cs="Times New Roman"/>
          <w:sz w:val="24"/>
        </w:rPr>
        <w:t>（</w:t>
      </w:r>
      <w:r>
        <w:rPr>
          <w:rFonts w:hint="eastAsia" w:ascii="Times New Roman" w:hAnsi="Times New Roman" w:eastAsia="宋体" w:cs="Times New Roman"/>
          <w:sz w:val="24"/>
        </w:rPr>
        <w:t>7</w:t>
      </w:r>
      <w:r>
        <w:rPr>
          <w:rFonts w:ascii="Times New Roman" w:hAnsi="Times New Roman" w:eastAsia="宋体" w:cs="Times New Roman"/>
          <w:sz w:val="24"/>
        </w:rPr>
        <w:t>.</w:t>
      </w:r>
      <w:r>
        <w:rPr>
          <w:rFonts w:hint="eastAsia" w:ascii="Times New Roman" w:hAnsi="Times New Roman" w:eastAsia="宋体" w:cs="Times New Roman"/>
          <w:sz w:val="24"/>
        </w:rPr>
        <w:t>4</w:t>
      </w:r>
      <w:r>
        <w:rPr>
          <w:rFonts w:ascii="Times New Roman" w:hAnsi="Times New Roman" w:eastAsia="宋体" w:cs="Times New Roman"/>
          <w:sz w:val="24"/>
        </w:rPr>
        <w:t xml:space="preserve">个月 vs </w:t>
      </w:r>
      <w:r>
        <w:rPr>
          <w:rFonts w:hint="eastAsia" w:ascii="Times New Roman" w:hAnsi="Times New Roman" w:eastAsia="宋体" w:cs="Times New Roman"/>
          <w:sz w:val="24"/>
        </w:rPr>
        <w:t>7</w:t>
      </w:r>
      <w:r>
        <w:rPr>
          <w:rFonts w:ascii="Times New Roman" w:hAnsi="Times New Roman" w:eastAsia="宋体" w:cs="Times New Roman"/>
          <w:sz w:val="24"/>
        </w:rPr>
        <w:t>.</w:t>
      </w:r>
      <w:r>
        <w:rPr>
          <w:rFonts w:hint="eastAsia" w:ascii="Times New Roman" w:hAnsi="Times New Roman" w:eastAsia="宋体" w:cs="Times New Roman"/>
          <w:sz w:val="24"/>
        </w:rPr>
        <w:t>0</w:t>
      </w:r>
      <w:r>
        <w:rPr>
          <w:rFonts w:ascii="Times New Roman" w:hAnsi="Times New Roman" w:eastAsia="宋体" w:cs="Times New Roman"/>
          <w:sz w:val="24"/>
        </w:rPr>
        <w:t>个月），经LogRank检验，</w:t>
      </w:r>
      <w:r>
        <w:rPr>
          <w:rFonts w:hint="eastAsia" w:ascii="Times New Roman" w:hAnsi="Times New Roman" w:eastAsia="宋体" w:cs="Times New Roman"/>
          <w:sz w:val="24"/>
        </w:rPr>
        <w:t>两组无进展生存趋势</w:t>
      </w:r>
      <w:r>
        <w:rPr>
          <w:rFonts w:ascii="Times New Roman" w:hAnsi="Times New Roman" w:eastAsia="宋体" w:cs="Times New Roman"/>
          <w:sz w:val="24"/>
        </w:rPr>
        <w:t>差异</w:t>
      </w:r>
      <w:r>
        <w:rPr>
          <w:rFonts w:ascii="Times New Roman" w:hAnsi="Times New Roman" w:eastAsia="宋体" w:cs="Times New Roman"/>
          <w:sz w:val="24"/>
          <w:highlight w:val="yellow"/>
        </w:rPr>
        <w:t>无统计学意义。</w:t>
      </w:r>
    </w:p>
    <w:p>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具体两组无进展生存趋势详见下图。</w:t>
      </w:r>
    </w:p>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779520" cy="2519680"/>
            <wp:effectExtent l="0" t="0" r="0" b="0"/>
            <wp:docPr id="19" name="图片 19" descr="T:\参芪扶正\Output\20200110\plot\（ORR患者-匹配后-3）-PF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参芪扶正\Output\20200110\plot\（ORR患者-匹配后-3）-PFS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780000" cy="2520000"/>
                    </a:xfrm>
                    <a:prstGeom prst="rect">
                      <a:avLst/>
                    </a:prstGeom>
                    <a:noFill/>
                    <a:ln>
                      <a:noFill/>
                    </a:ln>
                  </pic:spPr>
                </pic:pic>
              </a:graphicData>
            </a:graphic>
          </wp:inline>
        </w:drawing>
      </w:r>
    </w:p>
    <w:p>
      <w:pPr>
        <w:adjustRightInd w:val="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图</w:t>
      </w:r>
      <w:r>
        <w:rPr>
          <w:rFonts w:hint="eastAsia" w:ascii="Times New Roman" w:hAnsi="Times New Roman" w:eastAsia="宋体" w:cs="Times New Roman"/>
          <w:b/>
          <w:bCs/>
          <w:sz w:val="22"/>
          <w:szCs w:val="22"/>
        </w:rPr>
        <w:t>3.2</w:t>
      </w:r>
      <w:r>
        <w:rPr>
          <w:rFonts w:ascii="Times New Roman" w:hAnsi="Times New Roman" w:eastAsia="宋体" w:cs="Times New Roman"/>
          <w:b/>
          <w:bCs/>
          <w:sz w:val="22"/>
          <w:szCs w:val="22"/>
        </w:rPr>
        <w:t>.</w:t>
      </w:r>
      <w:r>
        <w:rPr>
          <w:rFonts w:hint="eastAsia" w:ascii="Times New Roman" w:hAnsi="Times New Roman" w:eastAsia="宋体" w:cs="Times New Roman"/>
          <w:b/>
          <w:bCs/>
          <w:sz w:val="22"/>
          <w:szCs w:val="22"/>
        </w:rPr>
        <w:t>2</w:t>
      </w:r>
      <w:r>
        <w:rPr>
          <w:rFonts w:ascii="Times New Roman" w:hAnsi="Times New Roman" w:eastAsia="宋体" w:cs="Times New Roman"/>
          <w:b/>
          <w:bCs/>
          <w:sz w:val="22"/>
          <w:szCs w:val="22"/>
        </w:rPr>
        <w:t xml:space="preserve"> </w:t>
      </w:r>
      <w:r>
        <w:rPr>
          <w:rFonts w:hint="eastAsia" w:ascii="Times New Roman" w:hAnsi="Times New Roman" w:eastAsia="宋体" w:cs="Times New Roman"/>
          <w:b/>
          <w:bCs/>
          <w:sz w:val="22"/>
          <w:szCs w:val="22"/>
        </w:rPr>
        <w:t>匹配后</w:t>
      </w:r>
      <w:r>
        <w:rPr>
          <w:rFonts w:ascii="Times New Roman" w:hAnsi="Times New Roman" w:eastAsia="宋体" w:cs="Times New Roman"/>
          <w:b/>
          <w:bCs/>
          <w:sz w:val="22"/>
          <w:szCs w:val="22"/>
        </w:rPr>
        <w:t>两组患者无进展生存曲线图</w:t>
      </w:r>
    </w:p>
    <w:p>
      <w:pPr>
        <w:adjustRightInd w:val="0"/>
        <w:rPr>
          <w:rFonts w:ascii="Times New Roman" w:hAnsi="Times New Roman" w:eastAsia="宋体" w:cs="Times New Roman"/>
          <w:sz w:val="24"/>
          <w:szCs w:val="24"/>
        </w:rPr>
        <w:sectPr>
          <w:headerReference r:id="rId5" w:type="default"/>
          <w:footerReference r:id="rId6" w:type="default"/>
          <w:pgSz w:w="11905" w:h="16837"/>
          <w:pgMar w:top="720" w:right="720" w:bottom="720" w:left="720" w:header="227" w:footer="567" w:gutter="0"/>
          <w:pgNumType w:start="1"/>
          <w:cols w:space="720" w:num="1"/>
          <w:docGrid w:linePitch="286" w:charSpace="0"/>
        </w:sectPr>
      </w:pPr>
    </w:p>
    <w:p>
      <w:pPr>
        <w:adjustRightInd w:val="0"/>
        <w:rPr>
          <w:rFonts w:ascii="Times New Roman" w:hAnsi="Times New Roman" w:eastAsia="宋体" w:cs="Times New Roman"/>
          <w:sz w:val="24"/>
          <w:szCs w:val="24"/>
        </w:rPr>
      </w:pPr>
    </w:p>
    <w:p>
      <w:pPr>
        <w:pStyle w:val="4"/>
        <w:rPr>
          <w:rFonts w:ascii="Times New Roman" w:hAnsi="Times New Roman" w:eastAsia="宋体" w:cs="Times New Roman"/>
          <w:sz w:val="24"/>
          <w:szCs w:val="24"/>
        </w:rPr>
      </w:pPr>
      <w:bookmarkStart w:id="19" w:name="_Toc33465510"/>
      <w:r>
        <w:rPr>
          <w:rFonts w:hint="eastAsia" w:ascii="Times New Roman" w:hAnsi="Times New Roman" w:eastAsia="宋体" w:cs="Times New Roman"/>
          <w:sz w:val="24"/>
          <w:szCs w:val="24"/>
        </w:rPr>
        <w:t>多因素回归调整后结果</w:t>
      </w:r>
      <w:bookmarkEnd w:id="19"/>
    </w:p>
    <w:p>
      <w:pPr>
        <w:spacing w:line="360" w:lineRule="auto"/>
        <w:ind w:firstLine="480" w:firstLineChars="200"/>
        <w:rPr>
          <w:rFonts w:ascii="Times New Roman" w:hAnsi="Times New Roman" w:eastAsia="宋体" w:cs="Times New Roman"/>
          <w:color w:val="auto"/>
          <w:sz w:val="24"/>
          <w:szCs w:val="20"/>
        </w:rPr>
      </w:pPr>
      <w:r>
        <w:rPr>
          <w:rFonts w:ascii="Times New Roman" w:hAnsi="Times New Roman" w:eastAsia="宋体" w:cs="Times New Roman"/>
          <w:kern w:val="0"/>
          <w:sz w:val="24"/>
          <w:szCs w:val="24"/>
        </w:rPr>
        <w:t>本部分内容对两组患者采用多因素回归调整的方法来控制混杂因素对分析结果的影响。</w:t>
      </w:r>
      <w:r>
        <w:rPr>
          <w:rFonts w:ascii="Times New Roman" w:hAnsi="Times New Roman" w:eastAsia="宋体" w:cs="Times New Roman"/>
          <w:kern w:val="0"/>
          <w:sz w:val="24"/>
          <w:szCs w:val="24"/>
        </w:rPr>
        <w:t>将采用多因素Cox比例风险回归模型对PFS进行估计（调整的因素包括：性别、年龄、疾病分期、基线化疗方案、基线化疗周期数、病理类型、有无肝转移、有无根治术、是否有靶向治疗、医院类型），其分析结果如下，详见下表3.</w:t>
      </w:r>
      <w:r>
        <w:rPr>
          <w:rFonts w:hint="eastAsia" w:ascii="Times New Roman" w:hAnsi="Times New Roman" w:eastAsia="宋体" w:cs="Times New Roman"/>
          <w:kern w:val="0"/>
          <w:sz w:val="24"/>
          <w:szCs w:val="24"/>
        </w:rPr>
        <w:t>2</w:t>
      </w:r>
      <w:r>
        <w:rPr>
          <w:rFonts w:ascii="Times New Roman" w:hAnsi="Times New Roman" w:eastAsia="宋体" w:cs="Times New Roman"/>
          <w:kern w:val="0"/>
          <w:sz w:val="24"/>
          <w:szCs w:val="24"/>
        </w:rPr>
        <w:t>.3.1</w:t>
      </w:r>
      <w:r>
        <w:rPr>
          <w:rFonts w:hint="eastAsia" w:ascii="Times New Roman" w:hAnsi="Times New Roman" w:eastAsia="宋体" w:cs="Times New Roman"/>
          <w:kern w:val="0"/>
          <w:sz w:val="24"/>
          <w:szCs w:val="24"/>
        </w:rPr>
        <w:t>，及</w:t>
      </w:r>
      <w:r>
        <w:rPr>
          <w:rFonts w:ascii="Times New Roman" w:hAnsi="Times New Roman" w:eastAsia="宋体" w:cs="Times New Roman"/>
          <w:sz w:val="24"/>
        </w:rPr>
        <w:t>无进展生存曲线</w:t>
      </w:r>
      <w:r>
        <w:rPr>
          <w:rFonts w:hint="eastAsia" w:ascii="Times New Roman" w:hAnsi="Times New Roman" w:eastAsia="宋体" w:cs="Times New Roman"/>
          <w:kern w:val="0"/>
          <w:sz w:val="24"/>
          <w:szCs w:val="24"/>
        </w:rPr>
        <w:t>图3.2.3</w:t>
      </w:r>
      <w:r>
        <w:rPr>
          <w:rFonts w:ascii="Times New Roman" w:hAnsi="Times New Roman" w:eastAsia="宋体" w:cs="Times New Roman"/>
          <w:kern w:val="0"/>
          <w:sz w:val="24"/>
          <w:szCs w:val="24"/>
        </w:rPr>
        <w:t>。</w:t>
      </w:r>
      <w:r>
        <w:rPr>
          <w:rFonts w:ascii="Times New Roman" w:hAnsi="Times New Roman" w:eastAsia="宋体" w:cs="Times New Roman"/>
          <w:color w:val="auto"/>
          <w:sz w:val="24"/>
          <w:szCs w:val="20"/>
        </w:rPr>
        <w:t xml:space="preserve"> </w:t>
      </w:r>
    </w:p>
    <w:p>
      <w:pPr>
        <w:adjustRightInd w:val="0"/>
        <w:jc w:val="center"/>
        <w:rPr>
          <w:rFonts w:ascii="Times New Roman" w:hAnsi="Times New Roman" w:cs="Times New Roman"/>
          <w:b/>
          <w:bCs/>
          <w:sz w:val="22"/>
          <w:szCs w:val="22"/>
        </w:rPr>
      </w:pPr>
      <w:r>
        <w:rPr>
          <w:rFonts w:ascii="Times New Roman" w:hAnsi="Times New Roman" w:eastAsia="宋体" w:cs="Times New Roman"/>
          <w:b/>
          <w:bCs/>
          <w:sz w:val="22"/>
          <w:szCs w:val="22"/>
          <w:shd w:val="clear" w:color="auto" w:fill="FFFFFF"/>
        </w:rPr>
        <w:t>表</w:t>
      </w:r>
      <w:r>
        <w:rPr>
          <w:rFonts w:ascii="Times New Roman" w:hAnsi="Times New Roman" w:cs="Times New Roman" w:eastAsiaTheme="minorEastAsia"/>
          <w:b/>
          <w:bCs/>
          <w:sz w:val="22"/>
          <w:szCs w:val="22"/>
          <w:shd w:val="clear" w:color="auto" w:fill="FFFFFF"/>
        </w:rPr>
        <w:t>3.2.3</w:t>
      </w:r>
      <w:r>
        <w:rPr>
          <w:rFonts w:ascii="Times New Roman" w:hAnsi="Times New Roman" w:cs="Times New Roman"/>
          <w:b/>
          <w:bCs/>
          <w:sz w:val="22"/>
          <w:szCs w:val="22"/>
          <w:shd w:val="clear" w:color="auto" w:fill="FFFFFF"/>
        </w:rPr>
        <w:t xml:space="preserve">.1 </w:t>
      </w:r>
      <w:r>
        <w:rPr>
          <w:rFonts w:ascii="Times New Roman" w:hAnsi="Times New Roman" w:eastAsia="宋体" w:cs="Times New Roman"/>
          <w:b/>
          <w:bCs/>
          <w:sz w:val="22"/>
          <w:szCs w:val="22"/>
          <w:shd w:val="clear" w:color="auto" w:fill="FFFFFF"/>
        </w:rPr>
        <w:t>患者无进展生存分析结果</w:t>
      </w:r>
      <w:r>
        <w:rPr>
          <w:rFonts w:ascii="Times New Roman" w:hAnsi="Times New Roman" w:cs="Times New Roman"/>
          <w:b/>
          <w:bCs/>
          <w:sz w:val="22"/>
          <w:szCs w:val="22"/>
          <w:shd w:val="clear" w:color="auto" w:fill="FFFFFF"/>
        </w:rPr>
        <w:t>-Cox</w:t>
      </w:r>
      <w:r>
        <w:rPr>
          <w:rFonts w:ascii="Times New Roman" w:hAnsi="Times New Roman" w:eastAsia="宋体" w:cs="Times New Roman"/>
          <w:b/>
          <w:bCs/>
          <w:sz w:val="22"/>
          <w:szCs w:val="22"/>
          <w:shd w:val="clear" w:color="auto" w:fill="FFFFFF"/>
        </w:rPr>
        <w:t>回归多因素调整</w:t>
      </w:r>
    </w:p>
    <w:tbl>
      <w:tblPr>
        <w:tblStyle w:val="22"/>
        <w:tblW w:w="5000" w:type="pct"/>
        <w:jc w:val="center"/>
        <w:tblLayout w:type="autofit"/>
        <w:tblCellMar>
          <w:top w:w="0" w:type="dxa"/>
          <w:left w:w="0" w:type="dxa"/>
          <w:bottom w:w="0" w:type="dxa"/>
          <w:right w:w="0" w:type="dxa"/>
        </w:tblCellMar>
      </w:tblPr>
      <w:tblGrid>
        <w:gridCol w:w="1154"/>
        <w:gridCol w:w="2213"/>
        <w:gridCol w:w="2214"/>
        <w:gridCol w:w="2214"/>
        <w:gridCol w:w="2214"/>
        <w:gridCol w:w="2044"/>
        <w:gridCol w:w="1596"/>
        <w:gridCol w:w="1121"/>
        <w:gridCol w:w="667"/>
      </w:tblGrid>
      <w:tr>
        <w:tblPrEx>
          <w:tblCellMar>
            <w:top w:w="0" w:type="dxa"/>
            <w:left w:w="0" w:type="dxa"/>
            <w:bottom w:w="0" w:type="dxa"/>
            <w:right w:w="0" w:type="dxa"/>
          </w:tblCellMar>
        </w:tblPrEx>
        <w:trPr>
          <w:cantSplit/>
          <w:tblHeader/>
          <w:jc w:val="center"/>
        </w:trPr>
        <w:tc>
          <w:tcPr>
            <w:tcW w:w="374"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rPr>
                <w:rFonts w:ascii="Times New Roman" w:hAnsi="Times New Roman" w:cs="Times New Roman" w:eastAsiaTheme="minorEastAsia"/>
                <w:b/>
                <w:bCs/>
              </w:rPr>
            </w:pPr>
            <w:r>
              <w:rPr>
                <w:rFonts w:ascii="Times New Roman" w:hAnsi="Times New Roman" w:eastAsia="宋体" w:cs="Times New Roman"/>
                <w:b/>
                <w:bCs/>
              </w:rPr>
              <w:t>治疗分组</w:t>
            </w:r>
          </w:p>
        </w:tc>
        <w:tc>
          <w:tcPr>
            <w:tcW w:w="717"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0.5</w:t>
            </w:r>
            <w:r>
              <w:rPr>
                <w:rFonts w:ascii="Times New Roman" w:hAnsi="Times New Roman" w:eastAsia="宋体" w:cs="Times New Roman"/>
                <w:b/>
                <w:bCs/>
              </w:rPr>
              <w:t>年无进展生存率</w:t>
            </w:r>
            <w:r>
              <w:rPr>
                <w:rFonts w:ascii="Times New Roman" w:hAnsi="Times New Roman" w:cs="Times New Roman"/>
                <w:b/>
                <w:bCs/>
              </w:rPr>
              <w:br w:type="textWrapping"/>
            </w:r>
            <w:r>
              <w:rPr>
                <w:rFonts w:ascii="Times New Roman" w:hAnsi="Times New Roman" w:eastAsia="宋体" w:cs="Times New Roman"/>
                <w:b/>
                <w:bCs/>
              </w:rPr>
              <w:t>（</w:t>
            </w:r>
            <w:r>
              <w:rPr>
                <w:rFonts w:ascii="Times New Roman" w:hAnsi="Times New Roman" w:cs="Times New Roman"/>
                <w:b/>
                <w:bCs/>
              </w:rPr>
              <w:t>95%</w:t>
            </w:r>
            <w:r>
              <w:rPr>
                <w:rFonts w:ascii="Times New Roman" w:hAnsi="Times New Roman" w:eastAsia="宋体" w:cs="Times New Roman"/>
                <w:b/>
                <w:bCs/>
              </w:rPr>
              <w:t>置信区间）</w:t>
            </w:r>
          </w:p>
        </w:tc>
        <w:tc>
          <w:tcPr>
            <w:tcW w:w="717"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1</w:t>
            </w:r>
            <w:r>
              <w:rPr>
                <w:rFonts w:ascii="Times New Roman" w:hAnsi="Times New Roman" w:eastAsia="宋体" w:cs="Times New Roman"/>
                <w:b/>
                <w:bCs/>
              </w:rPr>
              <w:t>年无进展生存率</w:t>
            </w:r>
            <w:r>
              <w:rPr>
                <w:rFonts w:ascii="Times New Roman" w:hAnsi="Times New Roman" w:cs="Times New Roman"/>
                <w:b/>
                <w:bCs/>
              </w:rPr>
              <w:br w:type="textWrapping"/>
            </w:r>
            <w:r>
              <w:rPr>
                <w:rFonts w:ascii="Times New Roman" w:hAnsi="Times New Roman" w:eastAsia="宋体" w:cs="Times New Roman"/>
                <w:b/>
                <w:bCs/>
              </w:rPr>
              <w:t>（</w:t>
            </w:r>
            <w:r>
              <w:rPr>
                <w:rFonts w:ascii="Times New Roman" w:hAnsi="Times New Roman" w:cs="Times New Roman"/>
                <w:b/>
                <w:bCs/>
              </w:rPr>
              <w:t>95%</w:t>
            </w:r>
            <w:r>
              <w:rPr>
                <w:rFonts w:ascii="Times New Roman" w:hAnsi="Times New Roman" w:eastAsia="宋体" w:cs="Times New Roman"/>
                <w:b/>
                <w:bCs/>
              </w:rPr>
              <w:t>置信区间）</w:t>
            </w:r>
          </w:p>
        </w:tc>
        <w:tc>
          <w:tcPr>
            <w:tcW w:w="717"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1.5</w:t>
            </w:r>
            <w:r>
              <w:rPr>
                <w:rFonts w:ascii="Times New Roman" w:hAnsi="Times New Roman" w:eastAsia="宋体" w:cs="Times New Roman"/>
                <w:b/>
                <w:bCs/>
              </w:rPr>
              <w:t>年无进展生存率</w:t>
            </w:r>
            <w:r>
              <w:rPr>
                <w:rFonts w:ascii="Times New Roman" w:hAnsi="Times New Roman" w:cs="Times New Roman"/>
                <w:b/>
                <w:bCs/>
              </w:rPr>
              <w:br w:type="textWrapping"/>
            </w:r>
            <w:r>
              <w:rPr>
                <w:rFonts w:ascii="Times New Roman" w:hAnsi="Times New Roman" w:eastAsia="宋体" w:cs="Times New Roman"/>
                <w:b/>
                <w:bCs/>
              </w:rPr>
              <w:t>（</w:t>
            </w:r>
            <w:r>
              <w:rPr>
                <w:rFonts w:ascii="Times New Roman" w:hAnsi="Times New Roman" w:cs="Times New Roman"/>
                <w:b/>
                <w:bCs/>
              </w:rPr>
              <w:t>95%</w:t>
            </w:r>
            <w:r>
              <w:rPr>
                <w:rFonts w:ascii="Times New Roman" w:hAnsi="Times New Roman" w:eastAsia="宋体" w:cs="Times New Roman"/>
                <w:b/>
                <w:bCs/>
              </w:rPr>
              <w:t>置信区间）</w:t>
            </w:r>
          </w:p>
        </w:tc>
        <w:tc>
          <w:tcPr>
            <w:tcW w:w="717"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2</w:t>
            </w:r>
            <w:r>
              <w:rPr>
                <w:rFonts w:ascii="Times New Roman" w:hAnsi="Times New Roman" w:eastAsia="宋体" w:cs="Times New Roman"/>
                <w:b/>
                <w:bCs/>
              </w:rPr>
              <w:t>年无进展生存率</w:t>
            </w:r>
            <w:r>
              <w:rPr>
                <w:rFonts w:ascii="Times New Roman" w:hAnsi="Times New Roman" w:cs="Times New Roman"/>
                <w:b/>
                <w:bCs/>
              </w:rPr>
              <w:br w:type="textWrapping"/>
            </w:r>
            <w:r>
              <w:rPr>
                <w:rFonts w:ascii="Times New Roman" w:hAnsi="Times New Roman" w:eastAsia="宋体" w:cs="Times New Roman"/>
                <w:b/>
                <w:bCs/>
              </w:rPr>
              <w:t>（</w:t>
            </w:r>
            <w:r>
              <w:rPr>
                <w:rFonts w:ascii="Times New Roman" w:hAnsi="Times New Roman" w:cs="Times New Roman"/>
                <w:b/>
                <w:bCs/>
              </w:rPr>
              <w:t>95%</w:t>
            </w:r>
            <w:r>
              <w:rPr>
                <w:rFonts w:ascii="Times New Roman" w:hAnsi="Times New Roman" w:eastAsia="宋体" w:cs="Times New Roman"/>
                <w:b/>
                <w:bCs/>
              </w:rPr>
              <w:t>置信区间）</w:t>
            </w:r>
          </w:p>
        </w:tc>
        <w:tc>
          <w:tcPr>
            <w:tcW w:w="662"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3</w:t>
            </w:r>
            <w:r>
              <w:rPr>
                <w:rFonts w:ascii="Times New Roman" w:hAnsi="Times New Roman" w:eastAsia="宋体" w:cs="Times New Roman"/>
                <w:b/>
                <w:bCs/>
              </w:rPr>
              <w:t>年无进展生存率</w:t>
            </w:r>
            <w:r>
              <w:rPr>
                <w:rFonts w:ascii="Times New Roman" w:hAnsi="Times New Roman" w:cs="Times New Roman"/>
                <w:b/>
                <w:bCs/>
              </w:rPr>
              <w:br w:type="textWrapping"/>
            </w:r>
            <w:r>
              <w:rPr>
                <w:rFonts w:ascii="Times New Roman" w:hAnsi="Times New Roman" w:eastAsia="宋体" w:cs="Times New Roman"/>
                <w:b/>
                <w:bCs/>
              </w:rPr>
              <w:t>（</w:t>
            </w:r>
            <w:r>
              <w:rPr>
                <w:rFonts w:ascii="Times New Roman" w:hAnsi="Times New Roman" w:cs="Times New Roman"/>
                <w:b/>
                <w:bCs/>
              </w:rPr>
              <w:t>95%</w:t>
            </w:r>
            <w:r>
              <w:rPr>
                <w:rFonts w:ascii="Times New Roman" w:hAnsi="Times New Roman" w:eastAsia="宋体" w:cs="Times New Roman"/>
                <w:b/>
                <w:bCs/>
              </w:rPr>
              <w:t>置信区间）</w:t>
            </w:r>
          </w:p>
        </w:tc>
        <w:tc>
          <w:tcPr>
            <w:tcW w:w="517"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中位无进展</w:t>
            </w:r>
            <w:r>
              <w:rPr>
                <w:rFonts w:ascii="Times New Roman" w:hAnsi="Times New Roman" w:cs="Times New Roman"/>
                <w:b/>
                <w:bCs/>
              </w:rPr>
              <w:br w:type="textWrapping"/>
            </w:r>
            <w:r>
              <w:rPr>
                <w:rFonts w:ascii="Times New Roman" w:hAnsi="Times New Roman" w:eastAsia="宋体" w:cs="Times New Roman"/>
                <w:b/>
                <w:bCs/>
              </w:rPr>
              <w:t>生存期（月）</w:t>
            </w:r>
          </w:p>
        </w:tc>
        <w:tc>
          <w:tcPr>
            <w:tcW w:w="363"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i/>
                <w:iCs/>
              </w:rPr>
              <w:t>Wald</w:t>
            </w:r>
            <w:r>
              <w:rPr>
                <w:rFonts w:ascii="Times New Roman" w:hAnsi="Times New Roman" w:eastAsia="宋体" w:cs="Times New Roman"/>
                <w:b/>
                <w:bCs/>
              </w:rPr>
              <w:t>卡方</w:t>
            </w:r>
            <w:r>
              <w:rPr>
                <w:rFonts w:ascii="Times New Roman" w:hAnsi="Times New Roman" w:cs="Times New Roman"/>
                <w:b/>
                <w:bCs/>
              </w:rPr>
              <w:br w:type="textWrapping"/>
            </w:r>
            <w:r>
              <w:rPr>
                <w:rFonts w:ascii="Times New Roman" w:hAnsi="Times New Roman" w:eastAsia="宋体" w:cs="Times New Roman"/>
                <w:b/>
                <w:bCs/>
              </w:rPr>
              <w:t>统计量</w:t>
            </w:r>
          </w:p>
        </w:tc>
        <w:tc>
          <w:tcPr>
            <w:tcW w:w="216"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i/>
                <w:i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374" w:type="pct"/>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b/>
                <w:bCs/>
                <w:sz w:val="18"/>
                <w:szCs w:val="18"/>
              </w:rPr>
            </w:pPr>
            <w:r>
              <w:rPr>
                <w:rFonts w:ascii="Times New Roman" w:hAnsi="Times New Roman" w:eastAsia="宋体" w:cs="Times New Roman"/>
                <w:b/>
                <w:bCs/>
                <w:sz w:val="18"/>
                <w:szCs w:val="18"/>
              </w:rPr>
              <w:t>对照组</w:t>
            </w:r>
            <w:r>
              <w:rPr>
                <w:rFonts w:ascii="Times New Roman" w:hAnsi="Times New Roman" w:cs="Times New Roman"/>
                <w:b/>
                <w:bCs/>
                <w:sz w:val="18"/>
                <w:szCs w:val="18"/>
              </w:rPr>
              <w:t xml:space="preserve">    </w:t>
            </w:r>
          </w:p>
        </w:tc>
        <w:tc>
          <w:tcPr>
            <w:tcW w:w="717"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53.89%(50.61%,57.38%)</w:t>
            </w:r>
          </w:p>
        </w:tc>
        <w:tc>
          <w:tcPr>
            <w:tcW w:w="717"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32.68%(29.45%,36.28%)</w:t>
            </w:r>
          </w:p>
        </w:tc>
        <w:tc>
          <w:tcPr>
            <w:tcW w:w="717"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22.18%(19.26%,25.55%)</w:t>
            </w:r>
          </w:p>
        </w:tc>
        <w:tc>
          <w:tcPr>
            <w:tcW w:w="717"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15.94%(13.29%,19.13%)</w:t>
            </w:r>
          </w:p>
        </w:tc>
        <w:tc>
          <w:tcPr>
            <w:tcW w:w="662"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7.78%(5.59%,10.84%)</w:t>
            </w:r>
          </w:p>
        </w:tc>
        <w:tc>
          <w:tcPr>
            <w:tcW w:w="517"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7.0</w:t>
            </w:r>
          </w:p>
        </w:tc>
        <w:tc>
          <w:tcPr>
            <w:tcW w:w="363"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 xml:space="preserve">    0.1168</w:t>
            </w:r>
          </w:p>
        </w:tc>
        <w:tc>
          <w:tcPr>
            <w:tcW w:w="216" w:type="pct"/>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0.7325</w:t>
            </w:r>
          </w:p>
        </w:tc>
      </w:tr>
      <w:tr>
        <w:tblPrEx>
          <w:tblCellMar>
            <w:top w:w="0" w:type="dxa"/>
            <w:left w:w="0" w:type="dxa"/>
            <w:bottom w:w="0" w:type="dxa"/>
            <w:right w:w="0" w:type="dxa"/>
          </w:tblCellMar>
        </w:tblPrEx>
        <w:trPr>
          <w:cantSplit/>
          <w:jc w:val="center"/>
        </w:trPr>
        <w:tc>
          <w:tcPr>
            <w:tcW w:w="374" w:type="pct"/>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b/>
                <w:bCs/>
                <w:sz w:val="18"/>
                <w:szCs w:val="18"/>
              </w:rPr>
            </w:pPr>
            <w:r>
              <w:rPr>
                <w:rFonts w:ascii="Times New Roman" w:hAnsi="Times New Roman" w:eastAsia="宋体" w:cs="Times New Roman"/>
                <w:b/>
                <w:bCs/>
                <w:sz w:val="18"/>
                <w:szCs w:val="18"/>
              </w:rPr>
              <w:t>参芪扶正组</w:t>
            </w:r>
          </w:p>
        </w:tc>
        <w:tc>
          <w:tcPr>
            <w:tcW w:w="717"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54.71%(50.65%,59.10%)</w:t>
            </w:r>
          </w:p>
        </w:tc>
        <w:tc>
          <w:tcPr>
            <w:tcW w:w="717"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33.59%(29.46%,38.29%)</w:t>
            </w:r>
          </w:p>
        </w:tc>
        <w:tc>
          <w:tcPr>
            <w:tcW w:w="717"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23.01%(19.24%,27.51%)</w:t>
            </w:r>
          </w:p>
        </w:tc>
        <w:tc>
          <w:tcPr>
            <w:tcW w:w="717"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16.67%(13.28%,20.91%)</w:t>
            </w:r>
          </w:p>
        </w:tc>
        <w:tc>
          <w:tcPr>
            <w:tcW w:w="662"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8.28%(5.63%,12.16%)</w:t>
            </w:r>
          </w:p>
        </w:tc>
        <w:tc>
          <w:tcPr>
            <w:tcW w:w="517"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7.2</w:t>
            </w:r>
          </w:p>
        </w:tc>
        <w:tc>
          <w:tcPr>
            <w:tcW w:w="363"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p>
        </w:tc>
        <w:tc>
          <w:tcPr>
            <w:tcW w:w="216" w:type="pct"/>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p>
        </w:tc>
      </w:tr>
      <w:tr>
        <w:tblPrEx>
          <w:tblCellMar>
            <w:top w:w="0" w:type="dxa"/>
            <w:left w:w="0" w:type="dxa"/>
            <w:bottom w:w="0" w:type="dxa"/>
            <w:right w:w="0" w:type="dxa"/>
          </w:tblCellMar>
        </w:tblPrEx>
        <w:trPr>
          <w:cantSplit/>
          <w:jc w:val="center"/>
        </w:trPr>
        <w:tc>
          <w:tcPr>
            <w:tcW w:w="5000" w:type="pct"/>
            <w:gridSpan w:val="9"/>
            <w:tcBorders>
              <w:top w:val="nil"/>
              <w:left w:val="nil"/>
              <w:bottom w:val="double" w:color="000000" w:sz="6" w:space="0"/>
              <w:right w:val="nil"/>
            </w:tcBorders>
            <w:shd w:val="clear" w:color="auto" w:fill="FFFFFF"/>
            <w:tcMar>
              <w:top w:w="0" w:type="dxa"/>
              <w:left w:w="20" w:type="dxa"/>
              <w:bottom w:w="0" w:type="dxa"/>
              <w:right w:w="20" w:type="dxa"/>
            </w:tcMar>
          </w:tcPr>
          <w:p>
            <w:pPr>
              <w:pBdr>
                <w:top w:val="single" w:color="auto" w:sz="6" w:space="0"/>
              </w:pBdr>
              <w:autoSpaceDE w:val="0"/>
              <w:autoSpaceDN w:val="0"/>
              <w:adjustRightInd w:val="0"/>
              <w:spacing w:before="20" w:after="20"/>
              <w:rPr>
                <w:rFonts w:ascii="Times New Roman" w:hAnsi="Times New Roman" w:cs="Times New Roman" w:eastAsiaTheme="minorEastAsia"/>
                <w:i/>
                <w:iCs/>
                <w:sz w:val="16"/>
                <w:szCs w:val="16"/>
              </w:rPr>
            </w:pPr>
            <w:r>
              <w:rPr>
                <w:rFonts w:ascii="Times New Roman" w:hAnsi="Times New Roman" w:eastAsia="宋体" w:cs="Times New Roman"/>
                <w:i/>
                <w:iCs/>
                <w:sz w:val="16"/>
                <w:szCs w:val="16"/>
              </w:rPr>
              <w:t>注：纳入</w:t>
            </w:r>
            <w:r>
              <w:rPr>
                <w:rFonts w:ascii="Times New Roman" w:hAnsi="Times New Roman" w:cs="Times New Roman"/>
                <w:i/>
                <w:iCs/>
                <w:sz w:val="16"/>
                <w:szCs w:val="16"/>
              </w:rPr>
              <w:t>Cox</w:t>
            </w:r>
            <w:r>
              <w:rPr>
                <w:rFonts w:ascii="Times New Roman" w:hAnsi="Times New Roman" w:eastAsia="宋体" w:cs="Times New Roman"/>
                <w:i/>
                <w:iCs/>
                <w:sz w:val="16"/>
                <w:szCs w:val="16"/>
              </w:rPr>
              <w:t>比例风险回归模型调整的因素：年龄、性别、疾病分期、基线化疗方案、基线化疗周期数、病理类型、有无肝转移、有无根治术、有无靶向治疗、医院类型。</w:t>
            </w:r>
          </w:p>
        </w:tc>
      </w:tr>
    </w:tbl>
    <w:p>
      <w:pPr>
        <w:spacing w:before="240" w:beforeLines="100" w:line="360" w:lineRule="auto"/>
        <w:ind w:firstLine="480" w:firstLineChars="200"/>
        <w:rPr>
          <w:rFonts w:ascii="Times New Roman" w:hAnsi="Times New Roman" w:eastAsia="宋体" w:cs="Times New Roman"/>
          <w:sz w:val="24"/>
          <w:highlight w:val="yellow"/>
        </w:rPr>
      </w:pPr>
      <w:r>
        <w:rPr>
          <w:rFonts w:ascii="Times New Roman" w:hAnsi="Times New Roman" w:eastAsia="宋体" w:cs="Times New Roman"/>
          <w:sz w:val="24"/>
        </w:rPr>
        <w:t>由上表可知，</w:t>
      </w:r>
      <w:r>
        <w:rPr>
          <w:rFonts w:hint="eastAsia" w:ascii="Times New Roman" w:hAnsi="Times New Roman" w:eastAsia="宋体" w:cs="Times New Roman"/>
          <w:sz w:val="24"/>
        </w:rPr>
        <w:t>经多因素Cox比例风险回归模型调整后</w:t>
      </w:r>
      <w:r>
        <w:rPr>
          <w:rFonts w:ascii="Times New Roman" w:hAnsi="Times New Roman" w:eastAsia="宋体" w:cs="Times New Roman"/>
          <w:sz w:val="24"/>
        </w:rPr>
        <w:t>参芪扶正组的</w:t>
      </w:r>
      <w:r>
        <w:rPr>
          <w:rFonts w:ascii="Times New Roman" w:hAnsi="Times New Roman" w:eastAsia="宋体" w:cs="Times New Roman"/>
          <w:sz w:val="24"/>
          <w:highlight w:val="yellow"/>
        </w:rPr>
        <w:t>中位无进展生存期</w:t>
      </w:r>
      <w:r>
        <w:rPr>
          <w:rFonts w:hint="eastAsia" w:ascii="Times New Roman" w:hAnsi="Times New Roman" w:eastAsia="宋体" w:cs="Times New Roman"/>
          <w:sz w:val="24"/>
          <w:highlight w:val="yellow"/>
        </w:rPr>
        <w:t>比</w:t>
      </w:r>
      <w:r>
        <w:rPr>
          <w:rFonts w:ascii="Times New Roman" w:hAnsi="Times New Roman" w:eastAsia="宋体" w:cs="Times New Roman"/>
          <w:sz w:val="24"/>
          <w:highlight w:val="yellow"/>
        </w:rPr>
        <w:t>对照组</w:t>
      </w:r>
      <w:r>
        <w:rPr>
          <w:rFonts w:hint="eastAsia" w:ascii="Times New Roman" w:hAnsi="Times New Roman" w:eastAsia="宋体" w:cs="Times New Roman"/>
          <w:sz w:val="24"/>
          <w:highlight w:val="yellow"/>
        </w:rPr>
        <w:t>略高0.2个月</w:t>
      </w:r>
      <w:r>
        <w:rPr>
          <w:rFonts w:ascii="Times New Roman" w:hAnsi="Times New Roman" w:eastAsia="宋体" w:cs="Times New Roman"/>
          <w:sz w:val="24"/>
          <w:highlight w:val="yellow"/>
        </w:rPr>
        <w:t>（</w:t>
      </w:r>
      <w:r>
        <w:rPr>
          <w:rFonts w:hint="eastAsia" w:ascii="Times New Roman" w:hAnsi="Times New Roman" w:eastAsia="宋体" w:cs="Times New Roman"/>
          <w:sz w:val="24"/>
          <w:highlight w:val="yellow"/>
        </w:rPr>
        <w:t>7</w:t>
      </w:r>
      <w:r>
        <w:rPr>
          <w:rFonts w:ascii="Times New Roman" w:hAnsi="Times New Roman" w:eastAsia="宋体" w:cs="Times New Roman"/>
          <w:sz w:val="24"/>
          <w:highlight w:val="yellow"/>
        </w:rPr>
        <w:t>.</w:t>
      </w:r>
      <w:r>
        <w:rPr>
          <w:rFonts w:hint="eastAsia" w:ascii="Times New Roman" w:hAnsi="Times New Roman" w:eastAsia="宋体" w:cs="Times New Roman"/>
          <w:sz w:val="24"/>
          <w:highlight w:val="yellow"/>
        </w:rPr>
        <w:t>2</w:t>
      </w:r>
      <w:r>
        <w:rPr>
          <w:rFonts w:ascii="Times New Roman" w:hAnsi="Times New Roman" w:eastAsia="宋体" w:cs="Times New Roman"/>
          <w:sz w:val="24"/>
          <w:highlight w:val="yellow"/>
        </w:rPr>
        <w:t xml:space="preserve">个月 vs </w:t>
      </w:r>
      <w:r>
        <w:rPr>
          <w:rFonts w:hint="eastAsia" w:ascii="Times New Roman" w:hAnsi="Times New Roman" w:eastAsia="宋体" w:cs="Times New Roman"/>
          <w:sz w:val="24"/>
          <w:highlight w:val="yellow"/>
        </w:rPr>
        <w:t>7</w:t>
      </w:r>
      <w:r>
        <w:rPr>
          <w:rFonts w:ascii="Times New Roman" w:hAnsi="Times New Roman" w:eastAsia="宋体" w:cs="Times New Roman"/>
          <w:sz w:val="24"/>
          <w:highlight w:val="yellow"/>
        </w:rPr>
        <w:t>.</w:t>
      </w:r>
      <w:r>
        <w:rPr>
          <w:rFonts w:hint="eastAsia" w:ascii="Times New Roman" w:hAnsi="Times New Roman" w:eastAsia="宋体" w:cs="Times New Roman"/>
          <w:sz w:val="24"/>
          <w:highlight w:val="yellow"/>
        </w:rPr>
        <w:t>0</w:t>
      </w:r>
      <w:r>
        <w:rPr>
          <w:rFonts w:ascii="Times New Roman" w:hAnsi="Times New Roman" w:eastAsia="宋体" w:cs="Times New Roman"/>
          <w:sz w:val="24"/>
          <w:highlight w:val="yellow"/>
        </w:rPr>
        <w:t>个月），</w:t>
      </w:r>
      <w:r>
        <w:rPr>
          <w:rFonts w:hint="eastAsia" w:ascii="Times New Roman" w:hAnsi="Times New Roman" w:eastAsia="宋体" w:cs="Times New Roman"/>
          <w:sz w:val="24"/>
          <w:highlight w:val="yellow"/>
        </w:rPr>
        <w:t>但两组间无进展生存趋势</w:t>
      </w:r>
      <w:r>
        <w:rPr>
          <w:rFonts w:ascii="Times New Roman" w:hAnsi="Times New Roman" w:eastAsia="宋体" w:cs="Times New Roman"/>
          <w:sz w:val="24"/>
          <w:highlight w:val="yellow"/>
        </w:rPr>
        <w:t>差异无统计学意义。</w:t>
      </w:r>
    </w:p>
    <w:p>
      <w:pPr>
        <w:spacing w:line="360" w:lineRule="auto"/>
        <w:ind w:firstLine="480" w:firstLineChars="200"/>
        <w:rPr>
          <w:rFonts w:ascii="Times New Roman" w:hAnsi="Times New Roman" w:eastAsia="宋体" w:cs="Times New Roman"/>
          <w:sz w:val="24"/>
        </w:rPr>
        <w:sectPr>
          <w:headerReference r:id="rId7" w:type="default"/>
          <w:footerReference r:id="rId8" w:type="default"/>
          <w:pgSz w:w="16837" w:h="11905" w:orient="landscape"/>
          <w:pgMar w:top="720" w:right="720" w:bottom="720" w:left="720" w:header="720" w:footer="720" w:gutter="0"/>
          <w:pgNumType w:start="16"/>
          <w:cols w:space="720" w:num="1"/>
          <w:docGrid w:linePitch="286" w:charSpace="0"/>
        </w:sectPr>
      </w:pPr>
      <w:r>
        <w:rPr>
          <w:rFonts w:ascii="Times New Roman" w:hAnsi="Times New Roman" w:eastAsia="宋体" w:cs="Times New Roman"/>
          <w:sz w:val="24"/>
        </w:rPr>
        <w:t>具体</w:t>
      </w:r>
      <w:r>
        <w:rPr>
          <w:rFonts w:hint="eastAsia" w:ascii="Times New Roman" w:hAnsi="Times New Roman" w:eastAsia="宋体" w:cs="Times New Roman"/>
          <w:sz w:val="24"/>
        </w:rPr>
        <w:t>调整后</w:t>
      </w:r>
      <w:r>
        <w:rPr>
          <w:rFonts w:ascii="Times New Roman" w:hAnsi="Times New Roman" w:eastAsia="宋体" w:cs="Times New Roman"/>
          <w:sz w:val="24"/>
        </w:rPr>
        <w:t>两组无进展生存趋势详见下图</w:t>
      </w:r>
      <w:r>
        <w:rPr>
          <w:rFonts w:hint="eastAsia" w:ascii="Times New Roman" w:hAnsi="Times New Roman" w:eastAsia="宋体" w:cs="Times New Roman"/>
          <w:sz w:val="24"/>
        </w:rPr>
        <w:t>。</w:t>
      </w:r>
    </w:p>
    <w:p>
      <w:pPr>
        <w:spacing w:line="360" w:lineRule="auto"/>
        <w:ind w:firstLine="480" w:firstLineChars="200"/>
        <w:rPr>
          <w:rFonts w:ascii="Times New Roman" w:hAnsi="Times New Roman" w:eastAsia="宋体" w:cs="Times New Roman"/>
          <w:color w:val="auto"/>
          <w:sz w:val="24"/>
          <w:szCs w:val="20"/>
        </w:rPr>
      </w:pPr>
    </w:p>
    <w:p>
      <w:pPr>
        <w:adjustRightInd w:val="0"/>
        <w:spacing w:before="120" w:beforeLines="50" w:line="360" w:lineRule="auto"/>
        <w:jc w:val="center"/>
        <w:rPr>
          <w:rFonts w:ascii="Times New Roman" w:hAnsi="Times New Roman" w:eastAsia="宋体" w:cs="Times New Roman"/>
          <w:sz w:val="24"/>
        </w:rPr>
      </w:pPr>
      <w:r>
        <w:rPr>
          <w:rFonts w:ascii="Times New Roman" w:hAnsi="Times New Roman" w:eastAsia="宋体" w:cs="Times New Roman"/>
          <w:sz w:val="24"/>
        </w:rPr>
        <w:drawing>
          <wp:inline distT="0" distB="0" distL="0" distR="0">
            <wp:extent cx="3779520" cy="2519680"/>
            <wp:effectExtent l="0" t="0" r="0" b="0"/>
            <wp:docPr id="7" name="图片 7" descr="T:\参芪扶正\Output\20200110\plot\（所有ORR患者-未匹配-3）-PFS-Cox调整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参芪扶正\Output\20200110\plot\（所有ORR患者-未匹配-3）-PFS-Cox调整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780000" cy="2520000"/>
                    </a:xfrm>
                    <a:prstGeom prst="rect">
                      <a:avLst/>
                    </a:prstGeom>
                    <a:noFill/>
                    <a:ln>
                      <a:noFill/>
                    </a:ln>
                  </pic:spPr>
                </pic:pic>
              </a:graphicData>
            </a:graphic>
          </wp:inline>
        </w:drawing>
      </w:r>
    </w:p>
    <w:p>
      <w:pPr>
        <w:adjustRightInd w:val="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图</w:t>
      </w:r>
      <w:r>
        <w:rPr>
          <w:rFonts w:hint="eastAsia" w:ascii="Times New Roman" w:hAnsi="Times New Roman" w:eastAsia="宋体" w:cs="Times New Roman"/>
          <w:b/>
          <w:bCs/>
          <w:sz w:val="22"/>
          <w:szCs w:val="22"/>
        </w:rPr>
        <w:t>3.2</w:t>
      </w:r>
      <w:r>
        <w:rPr>
          <w:rFonts w:ascii="Times New Roman" w:hAnsi="Times New Roman" w:eastAsia="宋体" w:cs="Times New Roman"/>
          <w:b/>
          <w:bCs/>
          <w:sz w:val="22"/>
          <w:szCs w:val="22"/>
        </w:rPr>
        <w:t>.</w:t>
      </w:r>
      <w:r>
        <w:rPr>
          <w:rFonts w:hint="eastAsia" w:ascii="Times New Roman" w:hAnsi="Times New Roman" w:eastAsia="宋体" w:cs="Times New Roman"/>
          <w:b/>
          <w:bCs/>
          <w:sz w:val="22"/>
          <w:szCs w:val="22"/>
        </w:rPr>
        <w:t>3</w:t>
      </w:r>
      <w:r>
        <w:rPr>
          <w:rFonts w:ascii="Times New Roman" w:hAnsi="Times New Roman" w:eastAsia="宋体" w:cs="Times New Roman"/>
          <w:b/>
          <w:bCs/>
          <w:sz w:val="22"/>
          <w:szCs w:val="22"/>
        </w:rPr>
        <w:t xml:space="preserve"> </w:t>
      </w:r>
      <w:r>
        <w:rPr>
          <w:rFonts w:hint="eastAsia" w:ascii="Times New Roman" w:hAnsi="Times New Roman" w:eastAsia="宋体" w:cs="Times New Roman"/>
          <w:b/>
          <w:bCs/>
          <w:sz w:val="22"/>
          <w:szCs w:val="22"/>
        </w:rPr>
        <w:t>调整后</w:t>
      </w:r>
      <w:r>
        <w:rPr>
          <w:rFonts w:ascii="Times New Roman" w:hAnsi="Times New Roman" w:eastAsia="宋体" w:cs="Times New Roman"/>
          <w:b/>
          <w:bCs/>
          <w:sz w:val="22"/>
          <w:szCs w:val="22"/>
        </w:rPr>
        <w:t>两组患者无进展生存曲线图</w:t>
      </w:r>
    </w:p>
    <w:p>
      <w:pPr>
        <w:adjustRightInd w:val="0"/>
        <w:spacing w:before="120" w:beforeLines="50" w:line="360" w:lineRule="auto"/>
        <w:rPr>
          <w:rFonts w:ascii="Times New Roman" w:hAnsi="Times New Roman" w:eastAsia="宋体" w:cs="Times New Roman"/>
          <w:sz w:val="24"/>
        </w:rPr>
      </w:pPr>
    </w:p>
    <w:p>
      <w:pPr>
        <w:pStyle w:val="2"/>
        <w:spacing w:before="240" w:after="120" w:line="360" w:lineRule="auto"/>
        <w:rPr>
          <w:rFonts w:ascii="Times New Roman" w:hAnsi="Times New Roman" w:eastAsia="宋体" w:cs="Times New Roman"/>
          <w:sz w:val="36"/>
        </w:rPr>
      </w:pPr>
      <w:bookmarkStart w:id="20" w:name="_Toc33465511"/>
      <w:r>
        <w:rPr>
          <w:rFonts w:hint="eastAsia" w:ascii="Times New Roman" w:hAnsi="Times New Roman" w:eastAsia="宋体" w:cs="Times New Roman"/>
          <w:sz w:val="36"/>
        </w:rPr>
        <w:t>所有不良事件</w:t>
      </w:r>
      <w:bookmarkEnd w:id="20"/>
    </w:p>
    <w:p>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该</w:t>
      </w:r>
      <w:r>
        <w:rPr>
          <w:rFonts w:ascii="Times New Roman" w:hAnsi="Times New Roman" w:eastAsia="宋体" w:cs="Times New Roman"/>
          <w:sz w:val="24"/>
        </w:rPr>
        <w:t>部分将主要描述两组患者</w:t>
      </w:r>
      <w:r>
        <w:rPr>
          <w:rFonts w:hint="eastAsia" w:ascii="Times New Roman" w:hAnsi="Times New Roman" w:eastAsia="宋体" w:cs="Times New Roman"/>
          <w:sz w:val="24"/>
        </w:rPr>
        <w:t>所有</w:t>
      </w:r>
      <w:r>
        <w:rPr>
          <w:rFonts w:ascii="Times New Roman" w:hAnsi="Times New Roman" w:eastAsia="宋体" w:cs="Times New Roman"/>
          <w:sz w:val="24"/>
        </w:rPr>
        <w:t>不良事件的发生情况</w:t>
      </w:r>
      <w:r>
        <w:rPr>
          <w:rFonts w:hint="eastAsia" w:ascii="Times New Roman" w:hAnsi="Times New Roman" w:eastAsia="宋体" w:cs="Times New Roman"/>
          <w:sz w:val="24"/>
        </w:rPr>
        <w:t>。此处的不良事件是指患者基线化疗方案期间病历中出现的不良事件，因为两组患者基线化疗方案之后的治疗方式（方案和周期数等）较复杂，较难使其在两组间完全均衡，故在此对基线化疗方案期间发生的不良事件进行描述。</w:t>
      </w:r>
    </w:p>
    <w:p>
      <w:pPr>
        <w:pStyle w:val="3"/>
        <w:rPr>
          <w:rFonts w:ascii="Times New Roman" w:hAnsi="Times New Roman" w:eastAsia="宋体" w:cs="Times New Roman"/>
          <w:sz w:val="28"/>
        </w:rPr>
      </w:pPr>
      <w:bookmarkStart w:id="21" w:name="_Toc33465512"/>
      <w:r>
        <w:rPr>
          <w:rFonts w:ascii="Times New Roman" w:hAnsi="Times New Roman" w:eastAsia="宋体" w:cs="Times New Roman"/>
          <w:sz w:val="28"/>
        </w:rPr>
        <w:t>原始结果</w:t>
      </w:r>
      <w:bookmarkEnd w:id="21"/>
    </w:p>
    <w:p>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两组患者不良事件的结果描述如下。参芪扶正组患者总不良事件发生率略高于对照组，参芪扶正组</w:t>
      </w:r>
      <w:r>
        <w:rPr>
          <w:rFonts w:hint="eastAsia" w:ascii="Times New Roman" w:hAnsi="Times New Roman" w:eastAsia="宋体" w:cs="Times New Roman"/>
          <w:sz w:val="24"/>
        </w:rPr>
        <w:t>红细胞减少</w:t>
      </w:r>
      <w:r>
        <w:rPr>
          <w:rFonts w:ascii="Times New Roman" w:hAnsi="Times New Roman" w:eastAsia="宋体" w:cs="Times New Roman"/>
          <w:sz w:val="24"/>
        </w:rPr>
        <w:t>发生率</w:t>
      </w:r>
      <w:r>
        <w:rPr>
          <w:rFonts w:hint="eastAsia" w:ascii="Times New Roman" w:hAnsi="Times New Roman" w:eastAsia="宋体" w:cs="Times New Roman"/>
          <w:sz w:val="24"/>
        </w:rPr>
        <w:t>、</w:t>
      </w:r>
      <w:r>
        <w:rPr>
          <w:rFonts w:ascii="Times New Roman" w:hAnsi="Times New Roman" w:eastAsia="宋体" w:cs="Times New Roman"/>
          <w:sz w:val="24"/>
        </w:rPr>
        <w:t>贫血发生率、</w:t>
      </w:r>
      <w:r>
        <w:rPr>
          <w:rFonts w:hint="eastAsia" w:ascii="Times New Roman" w:hAnsi="Times New Roman" w:eastAsia="宋体" w:cs="Times New Roman"/>
          <w:sz w:val="24"/>
        </w:rPr>
        <w:t>谷丙转氨酶升高发生率、谷草转氨酶升高发生率、碱性磷酸酶升高发生率、直接胆红素升高发生率、</w:t>
      </w:r>
      <w:r>
        <w:rPr>
          <w:rFonts w:ascii="Times New Roman" w:hAnsi="Times New Roman" w:eastAsia="宋体" w:cs="Times New Roman"/>
          <w:sz w:val="24"/>
        </w:rPr>
        <w:t>肾功能损伤发生率、恶心呕吐</w:t>
      </w:r>
      <w:r>
        <w:rPr>
          <w:rFonts w:hint="eastAsia" w:ascii="Times New Roman" w:hAnsi="Times New Roman" w:eastAsia="宋体" w:cs="Times New Roman"/>
          <w:sz w:val="24"/>
        </w:rPr>
        <w:t>发生率</w:t>
      </w:r>
      <w:r>
        <w:rPr>
          <w:rFonts w:ascii="Times New Roman" w:hAnsi="Times New Roman" w:eastAsia="宋体" w:cs="Times New Roman"/>
          <w:sz w:val="24"/>
        </w:rPr>
        <w:t>均较对照组略低，</w:t>
      </w:r>
      <w:r>
        <w:rPr>
          <w:rFonts w:hint="eastAsia" w:ascii="Times New Roman" w:hAnsi="Times New Roman" w:eastAsia="宋体" w:cs="Times New Roman"/>
          <w:sz w:val="24"/>
        </w:rPr>
        <w:t>但差异无统计学意义；</w:t>
      </w:r>
      <w:r>
        <w:rPr>
          <w:rFonts w:hint="eastAsia" w:ascii="Times New Roman" w:hAnsi="Times New Roman" w:eastAsia="宋体" w:cs="Times New Roman"/>
          <w:sz w:val="24"/>
          <w:highlight w:val="yellow"/>
        </w:rPr>
        <w:t>而参芪扶正组患者</w:t>
      </w:r>
      <w:r>
        <w:rPr>
          <w:rFonts w:ascii="Times New Roman" w:hAnsi="Times New Roman" w:eastAsia="宋体" w:cs="Times New Roman"/>
          <w:sz w:val="24"/>
          <w:highlight w:val="yellow"/>
        </w:rPr>
        <w:t>反酸发生率较对照组低，</w:t>
      </w:r>
      <w:r>
        <w:rPr>
          <w:rFonts w:hint="eastAsia" w:ascii="Times New Roman" w:hAnsi="Times New Roman" w:eastAsia="宋体" w:cs="Times New Roman"/>
          <w:sz w:val="24"/>
          <w:highlight w:val="yellow"/>
        </w:rPr>
        <w:t>且差异有统计学意义</w:t>
      </w:r>
      <w:r>
        <w:rPr>
          <w:rFonts w:ascii="Times New Roman" w:hAnsi="Times New Roman" w:eastAsia="宋体" w:cs="Times New Roman"/>
          <w:sz w:val="24"/>
        </w:rPr>
        <w:t>。详见下表4.1.1~4.1.5。</w:t>
      </w:r>
    </w:p>
    <w:p>
      <w:pPr>
        <w:adjustRightInd w:val="0"/>
        <w:jc w:val="center"/>
        <w:rPr>
          <w:rFonts w:ascii="Times New Roman" w:hAnsi="Times New Roman" w:cs="Times New Roman"/>
          <w:b/>
          <w:bCs/>
          <w:sz w:val="22"/>
          <w:szCs w:val="22"/>
        </w:rPr>
      </w:pPr>
      <w:r>
        <w:rPr>
          <w:rFonts w:ascii="Times New Roman" w:hAnsi="Times New Roman" w:eastAsia="宋体" w:cs="Times New Roman"/>
          <w:b/>
          <w:bCs/>
          <w:sz w:val="22"/>
          <w:szCs w:val="22"/>
          <w:shd w:val="clear" w:color="auto" w:fill="FFFFFF"/>
        </w:rPr>
        <w:t>表4.</w:t>
      </w:r>
      <w:r>
        <w:rPr>
          <w:rFonts w:ascii="Times New Roman" w:hAnsi="Times New Roman" w:cs="Times New Roman"/>
          <w:b/>
          <w:bCs/>
          <w:sz w:val="22"/>
          <w:szCs w:val="22"/>
          <w:shd w:val="clear" w:color="auto" w:fill="FFFFFF"/>
        </w:rPr>
        <w:t xml:space="preserve">1.1 </w:t>
      </w:r>
      <w:r>
        <w:rPr>
          <w:rFonts w:ascii="Times New Roman" w:hAnsi="Times New Roman" w:eastAsia="宋体" w:cs="Times New Roman"/>
          <w:b/>
          <w:bCs/>
          <w:sz w:val="22"/>
          <w:szCs w:val="22"/>
          <w:shd w:val="clear" w:color="auto" w:fill="FFFFFF"/>
        </w:rPr>
        <w:t>两组患者总不良事件发生情况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不良事件</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(N=729)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(N=1128)</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P</w:t>
            </w:r>
            <w:r>
              <w:rPr>
                <w:rFonts w:ascii="Times New Roman" w:hAnsi="Times New Roman" w:eastAsia="宋体" w:cs="Times New Roman"/>
                <w:b/>
                <w:bCs/>
              </w:rPr>
              <w:t>值</w:t>
            </w:r>
          </w:p>
        </w:tc>
      </w:tr>
      <w:tr>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总不良事件</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384 (96.2%)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673 (92.3%)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1057 (93.7%)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0.0095</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注：带</w:t>
            </w:r>
            <w:r>
              <w:rPr>
                <w:rFonts w:ascii="Times New Roman" w:hAnsi="Times New Roman" w:cs="Times New Roman"/>
                <w:i/>
                <w:iCs/>
                <w:sz w:val="16"/>
                <w:szCs w:val="16"/>
              </w:rPr>
              <w:t>*</w:t>
            </w:r>
            <w:r>
              <w:rPr>
                <w:rFonts w:ascii="Times New Roman" w:hAnsi="Times New Roman" w:eastAsia="宋体" w:cs="Times New Roman"/>
                <w:i/>
                <w:iCs/>
                <w:sz w:val="16"/>
                <w:szCs w:val="16"/>
              </w:rPr>
              <w:t>号</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jc w:val="center"/>
        <w:rPr>
          <w:rFonts w:ascii="Times New Roman" w:hAnsi="Times New Roman" w:eastAsia="宋体" w:cs="Times New Roman"/>
          <w:b/>
          <w:bCs/>
          <w:sz w:val="22"/>
          <w:szCs w:val="22"/>
          <w:shd w:val="clear" w:color="auto" w:fill="FFFFFF"/>
        </w:rPr>
      </w:pPr>
    </w:p>
    <w:p>
      <w:pPr>
        <w:adjustRightInd w:val="0"/>
        <w:jc w:val="center"/>
        <w:rPr>
          <w:rFonts w:ascii="Times New Roman" w:hAnsi="Times New Roman" w:cs="Times New Roman"/>
          <w:b/>
          <w:bCs/>
          <w:sz w:val="22"/>
          <w:szCs w:val="22"/>
        </w:rPr>
      </w:pPr>
      <w:r>
        <w:rPr>
          <w:rFonts w:ascii="Times New Roman" w:hAnsi="Times New Roman" w:eastAsia="宋体" w:cs="Times New Roman"/>
          <w:b/>
          <w:bCs/>
          <w:sz w:val="22"/>
          <w:szCs w:val="22"/>
          <w:shd w:val="clear" w:color="auto" w:fill="FFFFFF"/>
        </w:rPr>
        <w:t>表4.</w:t>
      </w:r>
      <w:r>
        <w:rPr>
          <w:rFonts w:ascii="Times New Roman" w:hAnsi="Times New Roman" w:cs="Times New Roman"/>
          <w:b/>
          <w:bCs/>
          <w:sz w:val="22"/>
          <w:szCs w:val="22"/>
          <w:shd w:val="clear" w:color="auto" w:fill="FFFFFF"/>
        </w:rPr>
        <w:t xml:space="preserve">1.2 </w:t>
      </w:r>
      <w:r>
        <w:rPr>
          <w:rFonts w:ascii="Times New Roman" w:hAnsi="Times New Roman" w:eastAsia="宋体" w:cs="Times New Roman"/>
          <w:b/>
          <w:bCs/>
          <w:sz w:val="22"/>
          <w:szCs w:val="22"/>
          <w:shd w:val="clear" w:color="auto" w:fill="FFFFFF"/>
        </w:rPr>
        <w:t>两组患者血液系统相关不良事件发生情况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血液系统相关不良事件</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(N=729)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(N=1128)</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骨髓抑制</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266 (66.7%)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459 (63.0%)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725 (64.3%)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0.2146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197 (49.4%)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337 (46.2%)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534 (47.3%)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0.3117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138 (34.6%)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199 (27.3%)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337 (29.9%)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0.0106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62 (15.5%)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94 (12.9%)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156 (13.8%)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0.2187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28 (7.0%)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46 (6.3%)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74 (6.6%)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0.6463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白细胞异常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196 (49.1%)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287 (39.4%)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483 (42.8%)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0.0015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 (5.3%)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33 (4.5%)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54 (4.8%)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0.5797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减少</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184 (46.1%)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265 (36.4%)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449 (39.8%)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0.0014</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85 (21.3%)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148 (20.3%)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233 (20.7%)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0.6912</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62 (15.5%)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80 (11.0%)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142 (12.6%)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0.0271</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 (6.3%)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(4.7%)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59 (5.2%)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0.2480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 (1.2%)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0.2411</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血小板异常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75 (18.8%)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109 (15.0%)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184 (16.3%)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0.0947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 (1.9%)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 (1.9%)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0.8436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减少</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70 (17.5%)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95 (13.0%)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165 (14.6%)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0.0403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28 (7.0%)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56 (7.7%)</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84 (7.4%)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0.6845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(7.5%)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22 (3.0%)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52 (4.6%)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0.0006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(2.0%)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(1.2%)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 (1.5%)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0.3099</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(1.3%)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0.5326</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中性粒细胞异常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136 (34.1%)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222 (30.5%)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358 (31.7%)</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0.2101</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(2.8%)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29 (4.0%)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40 (3.5%)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0.2890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减少</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128 (32.1%)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204 (28.0%)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332 (29.4%)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0.1489</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47 (11.8%)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73 (10.0%)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120 (10.6%)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0.3578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 (9.8%)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71 (9.7%)</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110 (9.8%)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0.9849</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(7.5%)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41 (5.6%)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71 (6.3%)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0.2103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(2.8%)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 (3.2%)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(3.0%)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0.7085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血红蛋白异常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185 (46.4%)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303 (41.6%)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488 (43.3%)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0.1196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0.5424</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减少</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185 (46.4%)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301 (41.3%)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486 (43.1%)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0.0997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108 (27.1%)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186 (25.5%)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294 (26.1%)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0.5699</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51 (12.8%)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87 (11.9%)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138 (12.2%)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0.6778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 (6.0%)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 (3.2%)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47 (4.2%)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0.0215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0.6717</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红细胞异常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(2.3%)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 (3.4%)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(3.0%)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0.2703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0.5562</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减少</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(2.3%)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 (3.2%)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32 (2.8%)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0.3844</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0.3036</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贫血</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33 (8.3%)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62 (8.5%)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95 (8.4%)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0.8923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(2.8%)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 (3.2%)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(3.0%)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0.7085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(2.0%)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 (1.3%)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0.1430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注：带</w:t>
            </w:r>
            <w:r>
              <w:rPr>
                <w:rFonts w:ascii="Times New Roman" w:hAnsi="Times New Roman" w:cs="Times New Roman"/>
                <w:i/>
                <w:iCs/>
                <w:sz w:val="16"/>
                <w:szCs w:val="16"/>
              </w:rPr>
              <w:t>*</w:t>
            </w:r>
            <w:r>
              <w:rPr>
                <w:rFonts w:ascii="Times New Roman" w:hAnsi="Times New Roman" w:eastAsia="宋体" w:cs="Times New Roman"/>
                <w:i/>
                <w:iCs/>
                <w:sz w:val="16"/>
                <w:szCs w:val="16"/>
              </w:rPr>
              <w:t>号</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jc w:val="center"/>
        <w:rPr>
          <w:rFonts w:ascii="Times New Roman" w:hAnsi="Times New Roman" w:eastAsia="宋体" w:cs="Times New Roman"/>
          <w:b/>
          <w:bCs/>
          <w:sz w:val="22"/>
          <w:szCs w:val="22"/>
          <w:shd w:val="clear" w:color="auto" w:fill="FFFFFF"/>
        </w:rPr>
      </w:pPr>
    </w:p>
    <w:p>
      <w:pPr>
        <w:adjustRightInd w:val="0"/>
        <w:jc w:val="center"/>
        <w:rPr>
          <w:rFonts w:ascii="Times New Roman" w:hAnsi="Times New Roman" w:cs="Times New Roman"/>
          <w:b/>
          <w:bCs/>
          <w:sz w:val="22"/>
          <w:szCs w:val="22"/>
        </w:rPr>
      </w:pPr>
      <w:r>
        <w:rPr>
          <w:rFonts w:ascii="Times New Roman" w:hAnsi="Times New Roman" w:eastAsia="宋体" w:cs="Times New Roman"/>
          <w:b/>
          <w:bCs/>
          <w:sz w:val="22"/>
          <w:szCs w:val="22"/>
          <w:shd w:val="clear" w:color="auto" w:fill="FFFFFF"/>
        </w:rPr>
        <w:t>表4.</w:t>
      </w:r>
      <w:r>
        <w:rPr>
          <w:rFonts w:ascii="Times New Roman" w:hAnsi="Times New Roman" w:cs="Times New Roman"/>
          <w:b/>
          <w:bCs/>
          <w:sz w:val="22"/>
          <w:szCs w:val="22"/>
          <w:shd w:val="clear" w:color="auto" w:fill="FFFFFF"/>
        </w:rPr>
        <w:t xml:space="preserve">1.3 </w:t>
      </w:r>
      <w:r>
        <w:rPr>
          <w:rFonts w:ascii="Times New Roman" w:hAnsi="Times New Roman" w:eastAsia="宋体" w:cs="Times New Roman"/>
          <w:b/>
          <w:bCs/>
          <w:sz w:val="22"/>
          <w:szCs w:val="22"/>
          <w:shd w:val="clear" w:color="auto" w:fill="FFFFFF"/>
        </w:rPr>
        <w:t>两组患者肝肾功能相关不良事件发生情况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肝肾功能相关不良事件</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(N=729)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(N=1128)</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肝功能损伤</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87 (21.8%)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157 (21.5%)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244 (21.6%)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0.9167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60 (15.0%)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115 (15.8%)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175 (15.5%)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0.7436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 (5.8%)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36 (4.9%)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59 (5.2%)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0.5513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(1.5%)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 (1.2%)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0.3998</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0.5424</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谷丙转氨酶异常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43 (10.8%)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84 (11.5%)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127 (11.3%)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0.7048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43 (10.8%)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84 (11.5%)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127 (11.3%)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0.7048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27 (6.8%)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51 (7.0%)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78 (6.9%)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0.8848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 (3.3%)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 (2.9%)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(3.0%)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0.7229</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谷草转氨酶异常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 (4.8%)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41 (5.6%)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60 (5.3%)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0.5372</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 (4.8%)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41 (5.6%)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60 (5.3%)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0.5372</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 (3.5%)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(4.1%)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44 (3.9%)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0.6150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(1.3%)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(1.1%)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0.7630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0.5424</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碱性磷酸酶异常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(2.8%)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 (3.6%)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37 (3.3%)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0.4654</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(2.8%)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 (3.6%)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37 (3.3%)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0.4654</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 (2.2%)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 (2.0%)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0.6168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0.5050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0.2867</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总胆红素异常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(8.5%)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(4.1%)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64 (5.7%)</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0.0022</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0.5562</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(8.5%)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(4.1%)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64 (5.7%)</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0.0022</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29 (7.3%)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 (3.6%)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55 (4.9%)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0.0058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(1.3%)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0.2927</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直接胆红素异常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 (2.5%)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 (3.3%)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(3.0%)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0.4604</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0.5562</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 (2.5%)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 (3.3%)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(3.0%)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0.4604</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(2.0%)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 (2.6%)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27 (2.4%)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0.5276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0.5424</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0.3537</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间接胆红素异常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0.5424</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肾功能损伤</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(2.3%)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 (2.9%)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(2.7%)</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0.5328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 (1.4%)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 (1.2%)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0.7806</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0.3537</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0.3537</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尿素氮异常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(1.3%)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(1.6%)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 (1.5%)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0.6045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(1.2%)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(1.1%)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0.5555</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(0.7%)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0.2724</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0.3537</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0.3537</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肌酐异常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 (0.9%)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0.7490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0.5562</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0.6176</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尿素异常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(0.7%)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0.4324</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注：带</w:t>
            </w:r>
            <w:r>
              <w:rPr>
                <w:rFonts w:ascii="Times New Roman" w:hAnsi="Times New Roman" w:cs="Times New Roman"/>
                <w:i/>
                <w:iCs/>
                <w:sz w:val="16"/>
                <w:szCs w:val="16"/>
              </w:rPr>
              <w:t>*</w:t>
            </w:r>
            <w:r>
              <w:rPr>
                <w:rFonts w:ascii="Times New Roman" w:hAnsi="Times New Roman" w:eastAsia="宋体" w:cs="Times New Roman"/>
                <w:i/>
                <w:iCs/>
                <w:sz w:val="16"/>
                <w:szCs w:val="16"/>
              </w:rPr>
              <w:t>号</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rPr>
          <w:rFonts w:ascii="Times New Roman" w:hAnsi="Times New Roman" w:cs="Times New Roman"/>
          <w:i/>
          <w:iCs/>
          <w:sz w:val="16"/>
          <w:szCs w:val="16"/>
        </w:rPr>
      </w:pPr>
    </w:p>
    <w:p>
      <w:pPr>
        <w:adjustRightInd w:val="0"/>
        <w:jc w:val="center"/>
        <w:rPr>
          <w:rFonts w:ascii="Times New Roman" w:hAnsi="Times New Roman" w:cs="Times New Roman"/>
          <w:b/>
          <w:bCs/>
          <w:sz w:val="22"/>
          <w:szCs w:val="22"/>
        </w:rPr>
      </w:pPr>
      <w:bookmarkStart w:id="22" w:name="IDX3"/>
      <w:bookmarkEnd w:id="22"/>
      <w:r>
        <w:rPr>
          <w:rFonts w:ascii="Times New Roman" w:hAnsi="Times New Roman" w:eastAsia="宋体" w:cs="Times New Roman"/>
          <w:b/>
          <w:bCs/>
          <w:sz w:val="22"/>
          <w:szCs w:val="22"/>
          <w:shd w:val="clear" w:color="auto" w:fill="FFFFFF"/>
        </w:rPr>
        <w:t>表4.</w:t>
      </w:r>
      <w:r>
        <w:rPr>
          <w:rFonts w:ascii="Times New Roman" w:hAnsi="Times New Roman" w:cs="Times New Roman"/>
          <w:b/>
          <w:bCs/>
          <w:sz w:val="22"/>
          <w:szCs w:val="22"/>
          <w:shd w:val="clear" w:color="auto" w:fill="FFFFFF"/>
        </w:rPr>
        <w:t xml:space="preserve">1.4 </w:t>
      </w:r>
      <w:r>
        <w:rPr>
          <w:rFonts w:ascii="Times New Roman" w:hAnsi="Times New Roman" w:eastAsia="宋体" w:cs="Times New Roman"/>
          <w:b/>
          <w:bCs/>
          <w:sz w:val="22"/>
          <w:szCs w:val="22"/>
          <w:shd w:val="clear" w:color="auto" w:fill="FFFFFF"/>
        </w:rPr>
        <w:t>两组患者胃肠消化道相关不良事件发生情况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胃肠消化道相关不良事件</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(N=729)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(N=1128)</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恶心呕吐</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142 (35.6%)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274 (37.6%)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416 (36.9%)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0.5063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(3.0%)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27 (3.7%)</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 (3.5%)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0.5406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(0.7%)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0.7196</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0.1932</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腹泻</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(2.3%)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 (2.2%)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 (2.2%)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0.9471</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0.6615</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0.5424</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反酸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highlight w:val="yellow"/>
              </w:rPr>
            </w:pPr>
            <w:r>
              <w:rPr>
                <w:rFonts w:ascii="Times New Roman" w:hAnsi="Times New Roman" w:cs="Times New Roman"/>
                <w:sz w:val="18"/>
                <w:szCs w:val="18"/>
                <w:highlight w:val="yellow"/>
              </w:rPr>
              <w:t>8 (2.0%)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highlight w:val="yellow"/>
              </w:rPr>
            </w:pPr>
            <w:r>
              <w:rPr>
                <w:rFonts w:ascii="Times New Roman" w:hAnsi="Times New Roman" w:cs="Times New Roman"/>
                <w:sz w:val="18"/>
                <w:szCs w:val="18"/>
                <w:highlight w:val="yellow"/>
              </w:rPr>
              <w:t>44 (6.0%)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highlight w:val="yellow"/>
              </w:rPr>
            </w:pPr>
            <w:r>
              <w:rPr>
                <w:rFonts w:ascii="Times New Roman" w:hAnsi="Times New Roman" w:cs="Times New Roman"/>
                <w:sz w:val="18"/>
                <w:szCs w:val="18"/>
                <w:highlight w:val="yellow"/>
              </w:rPr>
              <w:t>52 (4.6%)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highlight w:val="yellow"/>
              </w:rPr>
            </w:pPr>
            <w:r>
              <w:rPr>
                <w:rFonts w:ascii="Times New Roman" w:hAnsi="Times New Roman" w:cs="Times New Roman"/>
                <w:sz w:val="18"/>
                <w:szCs w:val="18"/>
                <w:highlight w:val="yellow"/>
              </w:rPr>
              <w:t>0.0020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食欲胃纳不佳</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89 (22.3%)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141 (19.3%)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230 (20.4%)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0.2374</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其他胃肠消化道反应</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118 (29.6%)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207 (28.4%)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325 (28.8%)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0.6759</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注：带</w:t>
            </w:r>
            <w:r>
              <w:rPr>
                <w:rFonts w:ascii="Times New Roman" w:hAnsi="Times New Roman" w:cs="Times New Roman"/>
                <w:i/>
                <w:iCs/>
                <w:sz w:val="16"/>
                <w:szCs w:val="16"/>
              </w:rPr>
              <w:t>*</w:t>
            </w:r>
            <w:r>
              <w:rPr>
                <w:rFonts w:ascii="Times New Roman" w:hAnsi="Times New Roman" w:eastAsia="宋体" w:cs="Times New Roman"/>
                <w:i/>
                <w:iCs/>
                <w:sz w:val="16"/>
                <w:szCs w:val="16"/>
              </w:rPr>
              <w:t>号</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rPr>
          <w:rFonts w:ascii="Times New Roman" w:hAnsi="Times New Roman" w:cs="Times New Roman"/>
          <w:i/>
          <w:iCs/>
          <w:sz w:val="16"/>
          <w:szCs w:val="16"/>
        </w:rPr>
      </w:pPr>
    </w:p>
    <w:p>
      <w:pPr>
        <w:adjustRightInd w:val="0"/>
        <w:jc w:val="center"/>
        <w:rPr>
          <w:rFonts w:ascii="Times New Roman" w:hAnsi="Times New Roman" w:cs="Times New Roman"/>
          <w:b/>
          <w:bCs/>
          <w:sz w:val="22"/>
          <w:szCs w:val="22"/>
        </w:rPr>
      </w:pPr>
      <w:bookmarkStart w:id="23" w:name="IDX4"/>
      <w:bookmarkEnd w:id="23"/>
      <w:r>
        <w:rPr>
          <w:rFonts w:ascii="Times New Roman" w:hAnsi="Times New Roman" w:eastAsia="宋体" w:cs="Times New Roman"/>
          <w:b/>
          <w:bCs/>
          <w:sz w:val="22"/>
          <w:szCs w:val="22"/>
          <w:shd w:val="clear" w:color="auto" w:fill="FFFFFF"/>
        </w:rPr>
        <w:t>表4.</w:t>
      </w:r>
      <w:r>
        <w:rPr>
          <w:rFonts w:ascii="Times New Roman" w:hAnsi="Times New Roman" w:cs="Times New Roman"/>
          <w:b/>
          <w:bCs/>
          <w:sz w:val="22"/>
          <w:szCs w:val="22"/>
          <w:shd w:val="clear" w:color="auto" w:fill="FFFFFF"/>
        </w:rPr>
        <w:t xml:space="preserve">1.5 </w:t>
      </w:r>
      <w:r>
        <w:rPr>
          <w:rFonts w:ascii="Times New Roman" w:hAnsi="Times New Roman" w:eastAsia="宋体" w:cs="Times New Roman"/>
          <w:b/>
          <w:bCs/>
          <w:sz w:val="22"/>
          <w:szCs w:val="22"/>
          <w:shd w:val="clear" w:color="auto" w:fill="FFFFFF"/>
        </w:rPr>
        <w:t>两组患者其他不良事件发生情况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其他不良事件</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(N=729)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(N=1128)</w:t>
            </w:r>
          </w:p>
        </w:tc>
        <w:tc>
          <w:tcPr>
            <w:tcW w:w="88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sz w:val="18"/>
                <w:szCs w:val="18"/>
              </w:rPr>
            </w:pPr>
            <w:r>
              <w:rPr>
                <w:rFonts w:ascii="Times New Roman" w:hAnsi="Times New Roman" w:eastAsia="宋体" w:cs="Times New Roman"/>
                <w:b/>
                <w:sz w:val="18"/>
                <w:szCs w:val="18"/>
              </w:rPr>
              <w:t>心功能异常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177 (44.4%)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310 (42.5%)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487 (43.2%)</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0.5515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b/>
                <w:sz w:val="18"/>
                <w:szCs w:val="18"/>
              </w:rPr>
              <w:t xml:space="preserve"> </w:t>
            </w: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(0.3%)</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宋体" w:hAnsi="宋体" w:eastAsia="宋体" w:cs="Times New Roman"/>
                <w:sz w:val="18"/>
                <w:szCs w:val="18"/>
              </w:rPr>
            </w:pPr>
            <w:r>
              <w:rPr>
                <w:rFonts w:hint="eastAsia" w:ascii="Times New Roman" w:hAnsi="Times New Roman" w:cs="Times New Roman" w:eastAsiaTheme="minorEastAsia"/>
                <w:b/>
                <w:sz w:val="18"/>
                <w:szCs w:val="18"/>
              </w:rPr>
              <w:t xml:space="preserve"> </w:t>
            </w:r>
            <w:r>
              <w:rPr>
                <w:rFonts w:ascii="Times New Roman" w:hAnsi="Times New Roman" w:cs="Times New Roman" w:eastAsiaTheme="minorEastAsia"/>
                <w:b/>
                <w:sz w:val="18"/>
                <w:szCs w:val="18"/>
              </w:rPr>
              <w:t xml:space="preserve"> </w:t>
            </w:r>
            <w:r>
              <w:rPr>
                <w:rFonts w:hint="eastAsia" w:ascii="宋体" w:hAnsi="宋体" w:eastAsia="宋体" w:cs="Times New Roman"/>
                <w:sz w:val="18"/>
                <w:szCs w:val="18"/>
              </w:rPr>
              <w:t>心悸</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(0.7%)</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(0.7%)</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cs="Times New Roman"/>
                <w:b/>
                <w:sz w:val="18"/>
                <w:szCs w:val="18"/>
              </w:rPr>
            </w:pPr>
            <w:r>
              <w:rPr>
                <w:rFonts w:ascii="Times New Roman" w:hAnsi="Times New Roman" w:eastAsia="宋体" w:cs="Times New Roman"/>
                <w:b/>
                <w:sz w:val="18"/>
                <w:szCs w:val="18"/>
              </w:rPr>
              <w:t>胸腔积液</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(3.0%)</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 (1.8%)</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 (2.2%)</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0.1817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hint="eastAsia" w:ascii="宋体" w:hAnsi="宋体" w:eastAsia="宋体" w:cs="宋体"/>
                <w:b/>
                <w:bCs/>
                <w:sz w:val="18"/>
                <w:szCs w:val="18"/>
              </w:rPr>
              <w:t>憋气</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(1.5%)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 (1.2%)</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0.3998</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sz w:val="18"/>
                <w:szCs w:val="18"/>
              </w:rPr>
            </w:pPr>
            <w:r>
              <w:rPr>
                <w:rFonts w:ascii="Times New Roman" w:hAnsi="Times New Roman" w:eastAsia="宋体" w:cs="Times New Roman"/>
                <w:b/>
                <w:sz w:val="18"/>
                <w:szCs w:val="18"/>
              </w:rPr>
              <w:t>神经毒性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sz w:val="18"/>
                <w:szCs w:val="18"/>
              </w:rPr>
            </w:pPr>
            <w:r>
              <w:rPr>
                <w:rFonts w:ascii="Times New Roman" w:hAnsi="Times New Roman" w:eastAsia="宋体" w:cs="Times New Roman"/>
                <w:b/>
                <w:sz w:val="18"/>
                <w:szCs w:val="18"/>
              </w:rPr>
              <w:t>发热</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51 (12.8%)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67 (9.2%)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118 (10.5%)</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0.0595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 (6.0%)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 (2.9%)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45 (4.0%)</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0.0101</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 (1.9%)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 (1.6%)</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0.2395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0.3537</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cs="Times New Roman"/>
                <w:b/>
                <w:bCs/>
                <w:sz w:val="18"/>
                <w:szCs w:val="18"/>
              </w:rPr>
            </w:pPr>
            <w:r>
              <w:rPr>
                <w:rFonts w:hint="eastAsia" w:ascii="宋体" w:hAnsi="宋体" w:eastAsia="宋体" w:cs="宋体"/>
                <w:b/>
                <w:bCs/>
                <w:sz w:val="18"/>
                <w:szCs w:val="18"/>
              </w:rPr>
              <w:t>寒战</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(1.5%)</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(0.8%)</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(1.1%)</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0.3637</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hint="eastAsia" w:ascii="宋体" w:hAnsi="宋体" w:eastAsia="宋体" w:cs="宋体"/>
                <w:b/>
                <w:bCs/>
                <w:sz w:val="18"/>
                <w:szCs w:val="18"/>
              </w:rPr>
              <w:t>静脉炎</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(0.6%)</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0.2520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hint="eastAsia" w:ascii="宋体" w:hAnsi="宋体" w:eastAsia="宋体" w:cs="宋体"/>
                <w:sz w:val="18"/>
                <w:szCs w:val="18"/>
              </w:rPr>
              <w:t>级</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(0.2%)</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cs="Times New Roman"/>
                <w:b/>
                <w:bCs/>
                <w:sz w:val="18"/>
                <w:szCs w:val="18"/>
              </w:rPr>
            </w:pPr>
            <w:r>
              <w:rPr>
                <w:rFonts w:hint="eastAsia" w:ascii="宋体" w:hAnsi="宋体" w:eastAsia="宋体" w:cs="宋体"/>
                <w:b/>
                <w:bCs/>
                <w:sz w:val="18"/>
                <w:szCs w:val="18"/>
              </w:rPr>
              <w:t>皮疹</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(1.5%)</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(1.1%)</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 (1.2%)</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0.5806</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hint="eastAsia" w:ascii="宋体" w:hAnsi="宋体" w:eastAsia="宋体" w:cs="宋体"/>
                <w:sz w:val="18"/>
                <w:szCs w:val="18"/>
              </w:rPr>
              <w:t>级</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(0.2%)</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0.1249</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cs="Times New Roman"/>
                <w:b/>
                <w:bCs/>
                <w:sz w:val="18"/>
                <w:szCs w:val="18"/>
              </w:rPr>
            </w:pPr>
            <w:r>
              <w:rPr>
                <w:rFonts w:hint="eastAsia" w:ascii="宋体" w:hAnsi="宋体" w:eastAsia="宋体" w:cs="宋体"/>
                <w:b/>
                <w:bCs/>
                <w:sz w:val="18"/>
                <w:szCs w:val="18"/>
              </w:rPr>
              <w:t>瘙痒</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(1.1%)</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(1.1%)</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cs="Times New Roman"/>
                <w:b/>
                <w:bCs/>
                <w:sz w:val="18"/>
                <w:szCs w:val="18"/>
              </w:rPr>
            </w:pPr>
            <w:r>
              <w:rPr>
                <w:rFonts w:hint="eastAsia" w:ascii="宋体" w:hAnsi="宋体" w:eastAsia="宋体" w:cs="宋体"/>
                <w:b/>
                <w:bCs/>
                <w:sz w:val="18"/>
                <w:szCs w:val="18"/>
              </w:rPr>
              <w:t>过敏反应</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(0.4%)</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(0.4%)</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cs="Times New Roman"/>
                <w:b/>
                <w:sz w:val="18"/>
                <w:szCs w:val="18"/>
              </w:rPr>
            </w:pPr>
            <w:r>
              <w:rPr>
                <w:rFonts w:ascii="Times New Roman" w:hAnsi="Times New Roman" w:eastAsia="宋体" w:cs="Times New Roman"/>
                <w:b/>
                <w:sz w:val="18"/>
                <w:szCs w:val="18"/>
              </w:rPr>
              <w:t>血糖高</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(2.0%)</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 (2.3%)</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 (2.2%)</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0.7214</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cs="Times New Roman"/>
                <w:b/>
                <w:sz w:val="18"/>
                <w:szCs w:val="18"/>
              </w:rPr>
            </w:pPr>
            <w:r>
              <w:rPr>
                <w:rFonts w:ascii="Times New Roman" w:hAnsi="Times New Roman" w:eastAsia="宋体" w:cs="Times New Roman"/>
                <w:b/>
                <w:sz w:val="18"/>
                <w:szCs w:val="18"/>
              </w:rPr>
              <w:t>血糖低</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cs="Times New Roman"/>
                <w:b/>
                <w:sz w:val="18"/>
                <w:szCs w:val="18"/>
              </w:rPr>
            </w:pPr>
            <w:r>
              <w:rPr>
                <w:rFonts w:ascii="Times New Roman" w:hAnsi="Times New Roman" w:eastAsia="宋体" w:cs="Times New Roman"/>
                <w:b/>
                <w:sz w:val="18"/>
                <w:szCs w:val="18"/>
              </w:rPr>
              <w:t>低钾血症</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 (1.8%)</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 (1.5%)</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0.3035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cs="Times New Roman"/>
                <w:b/>
                <w:sz w:val="18"/>
                <w:szCs w:val="18"/>
              </w:rPr>
            </w:pPr>
            <w:r>
              <w:rPr>
                <w:rFonts w:ascii="Times New Roman" w:hAnsi="Times New Roman" w:eastAsia="宋体" w:cs="Times New Roman"/>
                <w:b/>
                <w:sz w:val="18"/>
                <w:szCs w:val="18"/>
              </w:rPr>
              <w:t>低钙血症</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(0.8%)</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(0.7%)</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0.7196</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cs="Times New Roman"/>
                <w:b/>
                <w:sz w:val="18"/>
                <w:szCs w:val="18"/>
              </w:rPr>
            </w:pPr>
            <w:r>
              <w:rPr>
                <w:rFonts w:ascii="Times New Roman" w:hAnsi="Times New Roman" w:eastAsia="宋体" w:cs="Times New Roman"/>
                <w:b/>
                <w:sz w:val="18"/>
                <w:szCs w:val="18"/>
              </w:rPr>
              <w:t>低钠血症</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(2.3%)</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 (1.8%)</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22 (2.0%)</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0.5833</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注：带</w:t>
            </w:r>
            <w:r>
              <w:rPr>
                <w:rFonts w:ascii="Times New Roman" w:hAnsi="Times New Roman" w:cs="Times New Roman"/>
                <w:i/>
                <w:iCs/>
                <w:sz w:val="16"/>
                <w:szCs w:val="16"/>
              </w:rPr>
              <w:t>*</w:t>
            </w:r>
            <w:r>
              <w:rPr>
                <w:rFonts w:ascii="Times New Roman" w:hAnsi="Times New Roman" w:eastAsia="宋体" w:cs="Times New Roman"/>
                <w:i/>
                <w:iCs/>
                <w:sz w:val="16"/>
                <w:szCs w:val="16"/>
              </w:rPr>
              <w:t>号</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rPr>
          <w:rFonts w:ascii="Times New Roman" w:hAnsi="Times New Roman" w:cs="Times New Roman" w:eastAsiaTheme="minorEastAsia"/>
          <w:i/>
          <w:iCs/>
          <w:sz w:val="16"/>
          <w:szCs w:val="16"/>
        </w:rPr>
      </w:pPr>
    </w:p>
    <w:p>
      <w:pPr>
        <w:pStyle w:val="3"/>
        <w:rPr>
          <w:rFonts w:ascii="Times New Roman" w:hAnsi="Times New Roman" w:eastAsia="宋体" w:cs="Times New Roman"/>
          <w:sz w:val="28"/>
        </w:rPr>
      </w:pPr>
      <w:bookmarkStart w:id="24" w:name="_Toc33465513"/>
      <w:r>
        <w:rPr>
          <w:rFonts w:ascii="Times New Roman" w:hAnsi="Times New Roman" w:eastAsia="宋体" w:cs="Times New Roman"/>
          <w:sz w:val="28"/>
        </w:rPr>
        <w:t>倾</w:t>
      </w:r>
      <w:r>
        <w:rPr>
          <w:rFonts w:ascii="Times New Roman" w:hAnsi="Times New Roman" w:eastAsia="宋体" w:cs="Times New Roman"/>
          <w:sz w:val="24"/>
          <w:szCs w:val="24"/>
        </w:rPr>
        <w:t>向性评分匹配后结果</w:t>
      </w:r>
      <w:bookmarkEnd w:id="24"/>
    </w:p>
    <w:p>
      <w:pPr>
        <w:adjustRightInd w:val="0"/>
        <w:spacing w:before="120" w:beforeLines="50"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匹配后两组患者所有不良事件的结果描述如下。</w:t>
      </w:r>
    </w:p>
    <w:p>
      <w:pPr>
        <w:adjustRightInd w:val="0"/>
        <w:spacing w:before="120" w:beforeLines="50" w:line="360" w:lineRule="auto"/>
        <w:ind w:firstLine="480" w:firstLineChars="200"/>
        <w:rPr>
          <w:rFonts w:ascii="Times New Roman" w:hAnsi="Times New Roman" w:eastAsia="宋体" w:cs="Times New Roman"/>
          <w:sz w:val="24"/>
          <w:highlight w:val="yellow"/>
        </w:rPr>
      </w:pPr>
      <w:r>
        <w:rPr>
          <w:rFonts w:ascii="Times New Roman" w:hAnsi="Times New Roman" w:eastAsia="宋体" w:cs="Times New Roman"/>
          <w:sz w:val="24"/>
        </w:rPr>
        <w:t>参芪扶正组总不良事件发生率比对照组略高，红细胞</w:t>
      </w:r>
      <w:r>
        <w:rPr>
          <w:rFonts w:hint="eastAsia" w:ascii="Times New Roman" w:hAnsi="Times New Roman" w:eastAsia="宋体" w:cs="Times New Roman"/>
          <w:sz w:val="24"/>
        </w:rPr>
        <w:t>减少发生率</w:t>
      </w:r>
      <w:r>
        <w:rPr>
          <w:rFonts w:ascii="Times New Roman" w:hAnsi="Times New Roman" w:eastAsia="宋体" w:cs="Times New Roman"/>
          <w:sz w:val="24"/>
        </w:rPr>
        <w:t>、贫血发生率、</w:t>
      </w:r>
      <w:r>
        <w:rPr>
          <w:rFonts w:hint="eastAsia" w:ascii="Times New Roman" w:hAnsi="Times New Roman" w:eastAsia="宋体" w:cs="Times New Roman"/>
          <w:sz w:val="24"/>
        </w:rPr>
        <w:t>谷丙转氨酶升高发生率、直接胆红素升高发生率、肾功能</w:t>
      </w:r>
      <w:r>
        <w:rPr>
          <w:rFonts w:ascii="Times New Roman" w:hAnsi="Times New Roman" w:eastAsia="宋体" w:cs="Times New Roman"/>
          <w:sz w:val="24"/>
        </w:rPr>
        <w:t>损伤发生率、</w:t>
      </w:r>
      <w:r>
        <w:rPr>
          <w:rFonts w:hint="eastAsia" w:ascii="Times New Roman" w:hAnsi="Times New Roman" w:eastAsia="宋体" w:cs="Times New Roman"/>
          <w:sz w:val="24"/>
        </w:rPr>
        <w:t>恶心</w:t>
      </w:r>
      <w:r>
        <w:rPr>
          <w:rFonts w:ascii="Times New Roman" w:hAnsi="Times New Roman" w:eastAsia="宋体" w:cs="Times New Roman"/>
          <w:sz w:val="24"/>
        </w:rPr>
        <w:t>呕吐</w:t>
      </w:r>
      <w:r>
        <w:rPr>
          <w:rFonts w:hint="eastAsia" w:ascii="Times New Roman" w:hAnsi="Times New Roman" w:eastAsia="宋体" w:cs="Times New Roman"/>
          <w:sz w:val="24"/>
        </w:rPr>
        <w:t>、</w:t>
      </w:r>
      <w:r>
        <w:rPr>
          <w:rFonts w:ascii="Times New Roman" w:hAnsi="Times New Roman" w:eastAsia="宋体" w:cs="Times New Roman"/>
          <w:sz w:val="24"/>
        </w:rPr>
        <w:t>腹泻</w:t>
      </w:r>
      <w:r>
        <w:rPr>
          <w:rFonts w:hint="eastAsia" w:ascii="Times New Roman" w:hAnsi="Times New Roman" w:eastAsia="宋体" w:cs="Times New Roman"/>
          <w:sz w:val="24"/>
        </w:rPr>
        <w:t>、</w:t>
      </w:r>
      <w:r>
        <w:rPr>
          <w:rFonts w:ascii="Times New Roman" w:hAnsi="Times New Roman" w:eastAsia="宋体" w:cs="Times New Roman"/>
          <w:sz w:val="24"/>
        </w:rPr>
        <w:t>其他胃肠消化道反应发生率等比对照组略低，</w:t>
      </w:r>
      <w:r>
        <w:rPr>
          <w:rFonts w:hint="eastAsia" w:ascii="Times New Roman" w:hAnsi="Times New Roman" w:eastAsia="宋体" w:cs="Times New Roman"/>
          <w:sz w:val="24"/>
        </w:rPr>
        <w:t>但差异无统计学意义；</w:t>
      </w:r>
      <w:r>
        <w:rPr>
          <w:rFonts w:hint="eastAsia" w:ascii="Times New Roman" w:hAnsi="Times New Roman" w:eastAsia="宋体" w:cs="Times New Roman"/>
          <w:sz w:val="24"/>
          <w:highlight w:val="yellow"/>
        </w:rPr>
        <w:t>而参芪扶正组患者</w:t>
      </w:r>
      <w:r>
        <w:rPr>
          <w:rFonts w:ascii="Times New Roman" w:hAnsi="Times New Roman" w:eastAsia="宋体" w:cs="Times New Roman"/>
          <w:sz w:val="24"/>
          <w:highlight w:val="yellow"/>
        </w:rPr>
        <w:t>反酸发生率较对照组低，</w:t>
      </w:r>
      <w:r>
        <w:rPr>
          <w:rFonts w:hint="eastAsia" w:ascii="Times New Roman" w:hAnsi="Times New Roman" w:eastAsia="宋体" w:cs="Times New Roman"/>
          <w:sz w:val="24"/>
          <w:highlight w:val="yellow"/>
        </w:rPr>
        <w:t>且差异有统计学意义</w:t>
      </w:r>
      <w:r>
        <w:rPr>
          <w:rFonts w:ascii="Times New Roman" w:hAnsi="Times New Roman" w:eastAsia="宋体" w:cs="Times New Roman"/>
          <w:sz w:val="24"/>
          <w:highlight w:val="yellow"/>
        </w:rPr>
        <w:t>。详见下表4.2.1~4.2.5。</w:t>
      </w:r>
    </w:p>
    <w:p>
      <w:pPr>
        <w:adjustRightInd w:val="0"/>
        <w:jc w:val="center"/>
        <w:rPr>
          <w:rFonts w:ascii="Times New Roman" w:hAnsi="Times New Roman" w:cs="Times New Roman"/>
          <w:b/>
          <w:bCs/>
          <w:sz w:val="22"/>
          <w:szCs w:val="22"/>
        </w:rPr>
      </w:pPr>
      <w:r>
        <w:rPr>
          <w:rFonts w:ascii="Times New Roman" w:hAnsi="Times New Roman" w:eastAsia="宋体" w:cs="Times New Roman"/>
          <w:b/>
          <w:bCs/>
          <w:sz w:val="22"/>
          <w:szCs w:val="22"/>
          <w:shd w:val="clear" w:color="auto" w:fill="FFFFFF"/>
        </w:rPr>
        <w:t>表</w:t>
      </w:r>
      <w:r>
        <w:rPr>
          <w:rFonts w:ascii="Times New Roman" w:hAnsi="Times New Roman" w:cs="Times New Roman"/>
          <w:b/>
          <w:bCs/>
          <w:sz w:val="22"/>
          <w:szCs w:val="22"/>
          <w:shd w:val="clear" w:color="auto" w:fill="FFFFFF"/>
        </w:rPr>
        <w:t xml:space="preserve">4.2.1 </w:t>
      </w:r>
      <w:r>
        <w:rPr>
          <w:rFonts w:ascii="Times New Roman" w:hAnsi="Times New Roman" w:eastAsia="宋体" w:cs="Times New Roman"/>
          <w:b/>
          <w:bCs/>
          <w:sz w:val="22"/>
          <w:szCs w:val="22"/>
          <w:shd w:val="clear" w:color="auto" w:fill="FFFFFF"/>
        </w:rPr>
        <w:t>两组患者总不良事件发生情况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不良事件</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(N=798)</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总不良事件</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384 (96.2%)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366 (91.7%)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750 (94.0%)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0.0074</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注：带</w:t>
            </w:r>
            <w:r>
              <w:rPr>
                <w:rFonts w:ascii="Times New Roman" w:hAnsi="Times New Roman" w:cs="Times New Roman"/>
                <w:i/>
                <w:iCs/>
                <w:sz w:val="16"/>
                <w:szCs w:val="16"/>
              </w:rPr>
              <w:t>*</w:t>
            </w:r>
            <w:r>
              <w:rPr>
                <w:rFonts w:ascii="Times New Roman" w:hAnsi="Times New Roman" w:eastAsia="宋体" w:cs="Times New Roman"/>
                <w:i/>
                <w:iCs/>
                <w:sz w:val="16"/>
                <w:szCs w:val="16"/>
              </w:rPr>
              <w:t>号</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rPr>
          <w:rFonts w:ascii="Times New Roman" w:hAnsi="Times New Roman" w:cs="Times New Roman"/>
          <w:i/>
          <w:iCs/>
          <w:sz w:val="16"/>
          <w:szCs w:val="16"/>
        </w:rPr>
      </w:pPr>
    </w:p>
    <w:p>
      <w:pPr>
        <w:adjustRightInd w:val="0"/>
        <w:jc w:val="center"/>
        <w:rPr>
          <w:rFonts w:ascii="Times New Roman" w:hAnsi="Times New Roman" w:cs="Times New Roman"/>
          <w:b/>
          <w:bCs/>
          <w:sz w:val="22"/>
          <w:szCs w:val="22"/>
        </w:rPr>
      </w:pPr>
      <w:r>
        <w:rPr>
          <w:rFonts w:ascii="Times New Roman" w:hAnsi="Times New Roman" w:eastAsia="宋体" w:cs="Times New Roman"/>
          <w:b/>
          <w:bCs/>
          <w:sz w:val="22"/>
          <w:szCs w:val="22"/>
          <w:shd w:val="clear" w:color="auto" w:fill="FFFFFF"/>
        </w:rPr>
        <w:t>表</w:t>
      </w:r>
      <w:r>
        <w:rPr>
          <w:rFonts w:ascii="Times New Roman" w:hAnsi="Times New Roman" w:cs="Times New Roman"/>
          <w:b/>
          <w:bCs/>
          <w:sz w:val="22"/>
          <w:szCs w:val="22"/>
          <w:shd w:val="clear" w:color="auto" w:fill="FFFFFF"/>
        </w:rPr>
        <w:t xml:space="preserve">4.2.2 </w:t>
      </w:r>
      <w:r>
        <w:rPr>
          <w:rFonts w:ascii="Times New Roman" w:hAnsi="Times New Roman" w:eastAsia="宋体" w:cs="Times New Roman"/>
          <w:b/>
          <w:bCs/>
          <w:sz w:val="22"/>
          <w:szCs w:val="22"/>
          <w:shd w:val="clear" w:color="auto" w:fill="FFFFFF"/>
        </w:rPr>
        <w:t>两组患者血液系统相关不良事件发生情况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血液系统相关不良事件</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(N=798)</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骨髓抑制</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266 (66.7%)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261 (65.4%)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527 (66.0%)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0.7086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197 (49.4%)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202 (50.6%)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399 (50.0%)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0.7233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138 (34.6%)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108 (27.1%)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246 (30.8%)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0.0215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62 (15.5%)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52 (13.0%)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114 (14.3%)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0.3117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28 (7.0%)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27 (6.8%)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55 (6.9%)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0.8889</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白细胞异常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196 (49.1%)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165 (41.4%)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361 (45.2%)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0.0275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 (5.3%)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 (5.0%)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41 (5.1%)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0.8726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减少</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184 (46.1%)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154 (38.6%)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338 (42.4%)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0.0316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85 (21.3%)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88 (22.1%)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173 (21.7%)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0.7966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62 (15.5%)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44 (11.0%)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106 (13.3%)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0.0605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 (6.3%)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 (5.0%)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45 (5.6%)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0.4429</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 (1.3%)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0.2030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血小板异常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75 (18.8%)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69 (17.3%)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144 (18.0%)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0.5807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(2.3%)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 (2.0%)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0.6135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减少</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70 (17.5%)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60 (15.0%)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130 (16.3%)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0.3378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28 (7.0%)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32 (8.0%)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60 (7.5%)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0.5913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(7.5%)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 (3.3%)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43 (5.4%)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0.0077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(2.0%)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(1.3%)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 (1.6%)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0.4015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(1.3%)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(1.5%)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(1.4%)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0.7614</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中性粒细胞异常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136 (34.1%)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129 (32.3%)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265 (33.2%)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0.5988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(2.8%)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 (4.5%)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29 (3.6%)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0.1855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减少</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128 (32.1%)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121 (30.3%)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249 (31.2%)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0.5928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47 (11.8%)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50 (12.5%)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97 (12.2%)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0.7452</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 (9.8%)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42 (10.5%)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81 (10.2%)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0.7251</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(7.5%)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25 (6.3%)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55 (6.9%)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0.4847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(2.8%)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 (2.5%)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 (2.6%)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0.8250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血红蛋白异常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185 (46.4%)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171 (42.9%)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356 (44.6%)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0.3188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减少</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185 (46.4%)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170 (42.6%)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355 (44.5%)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0.2853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108 (27.1%)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110 (27.6%)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218 (27.3%)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0.8738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51 (12.8%)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44 (11.0%)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95 (11.9%)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0.4442</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 (6.0%)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(3.0%)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36 (4.5%)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0.0407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(0.6%)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红细胞异常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(2.3%)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 (3.3%)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22 (2.8%)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0.3871</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减少</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(2.3%)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(3.0%)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 (2.6%)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0.5070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0.4994</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贫血</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33 (8.3%)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(8.5%)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67 (8.4%)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0.8984</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(2.8%)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 (2.5%)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 (2.6%)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0.8250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(2.0%)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(1.5%)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0.2446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注：带</w:t>
            </w:r>
            <w:r>
              <w:rPr>
                <w:rFonts w:ascii="Times New Roman" w:hAnsi="Times New Roman" w:cs="Times New Roman"/>
                <w:i/>
                <w:iCs/>
                <w:sz w:val="16"/>
                <w:szCs w:val="16"/>
              </w:rPr>
              <w:t>*</w:t>
            </w:r>
            <w:r>
              <w:rPr>
                <w:rFonts w:ascii="Times New Roman" w:hAnsi="Times New Roman" w:eastAsia="宋体" w:cs="Times New Roman"/>
                <w:i/>
                <w:iCs/>
                <w:sz w:val="16"/>
                <w:szCs w:val="16"/>
              </w:rPr>
              <w:t>号</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rPr>
          <w:rFonts w:ascii="Times New Roman" w:hAnsi="Times New Roman" w:cs="Times New Roman"/>
          <w:i/>
          <w:iCs/>
          <w:sz w:val="16"/>
          <w:szCs w:val="16"/>
        </w:rPr>
      </w:pPr>
    </w:p>
    <w:p>
      <w:pPr>
        <w:adjustRightInd w:val="0"/>
        <w:jc w:val="center"/>
        <w:rPr>
          <w:rFonts w:ascii="Times New Roman" w:hAnsi="Times New Roman" w:cs="Times New Roman"/>
          <w:b/>
          <w:bCs/>
          <w:sz w:val="22"/>
          <w:szCs w:val="22"/>
        </w:rPr>
      </w:pPr>
      <w:r>
        <w:rPr>
          <w:rFonts w:ascii="Times New Roman" w:hAnsi="Times New Roman" w:eastAsia="宋体" w:cs="Times New Roman"/>
          <w:b/>
          <w:bCs/>
          <w:sz w:val="22"/>
          <w:szCs w:val="22"/>
          <w:shd w:val="clear" w:color="auto" w:fill="FFFFFF"/>
        </w:rPr>
        <w:t>表</w:t>
      </w:r>
      <w:r>
        <w:rPr>
          <w:rFonts w:ascii="Times New Roman" w:hAnsi="Times New Roman" w:cs="Times New Roman"/>
          <w:b/>
          <w:bCs/>
          <w:sz w:val="22"/>
          <w:szCs w:val="22"/>
          <w:shd w:val="clear" w:color="auto" w:fill="FFFFFF"/>
        </w:rPr>
        <w:t xml:space="preserve">4.2.3 </w:t>
      </w:r>
      <w:r>
        <w:rPr>
          <w:rFonts w:ascii="Times New Roman" w:hAnsi="Times New Roman" w:eastAsia="宋体" w:cs="Times New Roman"/>
          <w:b/>
          <w:bCs/>
          <w:sz w:val="22"/>
          <w:szCs w:val="22"/>
          <w:shd w:val="clear" w:color="auto" w:fill="FFFFFF"/>
        </w:rPr>
        <w:t>两组患者肝肾功能相关不良事件发生情况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肝肾功能相关不良事件</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(N=798)</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肝功能损伤</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87 (21.8%)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84 (21.1%)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171 (21.4%)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0.7958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60 (15.0%)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60 (15.0%)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120 (15.0%)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highlight w:val="yellow"/>
              </w:rPr>
            </w:pPr>
            <w:r>
              <w:rPr>
                <w:rFonts w:ascii="Times New Roman" w:hAnsi="Times New Roman" w:cs="Times New Roman"/>
                <w:sz w:val="18"/>
                <w:szCs w:val="18"/>
                <w:highlight w:val="yellow"/>
              </w:rPr>
              <w:t xml:space="preserve">   2</w:t>
            </w:r>
            <w:r>
              <w:rPr>
                <w:rFonts w:ascii="Times New Roman" w:hAnsi="Times New Roman" w:eastAsia="宋体" w:cs="Times New Roman"/>
                <w:sz w:val="18"/>
                <w:szCs w:val="18"/>
                <w:highlight w:val="yellow"/>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highlight w:val="yellow"/>
              </w:rPr>
            </w:pPr>
            <w:r>
              <w:rPr>
                <w:rFonts w:ascii="Times New Roman" w:hAnsi="Times New Roman" w:cs="Times New Roman"/>
                <w:sz w:val="18"/>
                <w:szCs w:val="18"/>
                <w:highlight w:val="yellow"/>
              </w:rPr>
              <w:t>23 (5.8%)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highlight w:val="yellow"/>
              </w:rPr>
            </w:pPr>
            <w:r>
              <w:rPr>
                <w:rFonts w:ascii="Times New Roman" w:hAnsi="Times New Roman" w:cs="Times New Roman"/>
                <w:sz w:val="18"/>
                <w:szCs w:val="18"/>
                <w:highlight w:val="yellow"/>
              </w:rPr>
              <w:t>11 (2.8%)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highlight w:val="yellow"/>
              </w:rPr>
            </w:pPr>
            <w:r>
              <w:rPr>
                <w:rFonts w:ascii="Times New Roman" w:hAnsi="Times New Roman" w:cs="Times New Roman"/>
                <w:sz w:val="18"/>
                <w:szCs w:val="18"/>
                <w:highlight w:val="yellow"/>
              </w:rPr>
              <w:t>34 (4.3%)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highlight w:val="yellow"/>
              </w:rPr>
            </w:pPr>
            <w:r>
              <w:rPr>
                <w:rFonts w:ascii="Times New Roman" w:hAnsi="Times New Roman" w:cs="Times New Roman"/>
                <w:sz w:val="18"/>
                <w:szCs w:val="18"/>
                <w:highlight w:val="yellow"/>
              </w:rPr>
              <w:t>0.0354</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(1.5%)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 (1.3%)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0.5245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0.4994</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谷丙转氨酶异常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43 (10.8%)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44 (11.0%)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87 (10.9%)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0.9096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43 (10.8%)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44 (11.0%)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87 (10.9%)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0.9096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27 (6.8%)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29 (7.3%)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56 (7.0%)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0.7817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 (3.3%)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 (2.5%)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0.1742</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(0.9%)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谷草转氨酶异常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 (4.8%)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 (4.8%)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38 (4.8%)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 (4.8%)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19 (4.8%)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38 (4.8%)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 (3.5%)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 (3.8%)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29 (3.6%)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0.8500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(1.3%)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(0.9%)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0.4511</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0.4994</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碱性磷酸酶异常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(2.8%)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(2.8%)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22 (2.8%)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(2.8%)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(2.8%)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22 (2.8%)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 (1.8%)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0.4994</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总胆红素异常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(8.5%)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 (3.8%)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49 (6.1%)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0.0051</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34 (8.5%)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 (3.8%)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49 (6.1%)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0.0051</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29 (7.3%)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 (3.5%)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43 (5.4%)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0.0187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(1.3%)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0.2170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直接胆红素异常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 (2.5%)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(2.8%)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 (2.6%)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0.8250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 (2.5%)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(2.8%)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21 (2.6%)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0.8250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(2.0%)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(2.0%)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 (2.0%)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间接胆红素异常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肾功能损伤</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(2.3%)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 (3.5%)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 (2.9%)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0.2901</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(1.5%)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 (1.3%)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0.5245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尿素氮异常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(1.3%)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(2.0%)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 (1.6%)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0.4015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(1.5%)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(1.1%)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0.5053</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(0.6%)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0.3734</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肌酐异常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(0.9%)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0.4994</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尿素异常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0.6241</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注：带</w:t>
            </w:r>
            <w:r>
              <w:rPr>
                <w:rFonts w:ascii="Times New Roman" w:hAnsi="Times New Roman" w:cs="Times New Roman"/>
                <w:i/>
                <w:iCs/>
                <w:sz w:val="16"/>
                <w:szCs w:val="16"/>
              </w:rPr>
              <w:t>*</w:t>
            </w:r>
            <w:r>
              <w:rPr>
                <w:rFonts w:ascii="Times New Roman" w:hAnsi="Times New Roman" w:eastAsia="宋体" w:cs="Times New Roman"/>
                <w:i/>
                <w:iCs/>
                <w:sz w:val="16"/>
                <w:szCs w:val="16"/>
              </w:rPr>
              <w:t>号</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rPr>
          <w:rFonts w:ascii="Times New Roman" w:hAnsi="Times New Roman" w:cs="Times New Roman"/>
          <w:i/>
          <w:iCs/>
          <w:sz w:val="16"/>
          <w:szCs w:val="16"/>
        </w:rPr>
      </w:pPr>
    </w:p>
    <w:p>
      <w:pPr>
        <w:adjustRightInd w:val="0"/>
        <w:jc w:val="center"/>
        <w:rPr>
          <w:rFonts w:ascii="Times New Roman" w:hAnsi="Times New Roman" w:cs="Times New Roman"/>
          <w:b/>
          <w:bCs/>
          <w:sz w:val="22"/>
          <w:szCs w:val="22"/>
        </w:rPr>
      </w:pPr>
      <w:r>
        <w:rPr>
          <w:rFonts w:ascii="Times New Roman" w:hAnsi="Times New Roman" w:eastAsia="宋体" w:cs="Times New Roman"/>
          <w:b/>
          <w:bCs/>
          <w:sz w:val="22"/>
          <w:szCs w:val="22"/>
          <w:shd w:val="clear" w:color="auto" w:fill="FFFFFF"/>
        </w:rPr>
        <w:t>表4.2</w:t>
      </w:r>
      <w:r>
        <w:rPr>
          <w:rFonts w:ascii="Times New Roman" w:hAnsi="Times New Roman" w:cs="Times New Roman"/>
          <w:b/>
          <w:bCs/>
          <w:sz w:val="22"/>
          <w:szCs w:val="22"/>
          <w:shd w:val="clear" w:color="auto" w:fill="FFFFFF"/>
        </w:rPr>
        <w:t xml:space="preserve">.4 </w:t>
      </w:r>
      <w:r>
        <w:rPr>
          <w:rFonts w:ascii="Times New Roman" w:hAnsi="Times New Roman" w:eastAsia="宋体" w:cs="Times New Roman"/>
          <w:b/>
          <w:bCs/>
          <w:sz w:val="22"/>
          <w:szCs w:val="22"/>
          <w:shd w:val="clear" w:color="auto" w:fill="FFFFFF"/>
        </w:rPr>
        <w:t>两组患者胃肠消化道相关不良事件发生情况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胃肠消化道相关不良事件</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(N=798)</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恶心呕吐</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142 (35.6%)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149 (37.3%)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291 (36.5%)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0.6067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(3.0%)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16 (4.0%)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28 (3.5%)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0.4416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0.6863</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0.6863</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腹泻</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(2.3%)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(2.8%)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 (2.5%)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0.6506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反酸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(2.0%)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22 (5.5%)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30 (3.8%)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0.0092</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食欲胃纳不佳</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89 (22.3%)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66 (16.5%)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155 (19.4%)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0.0396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ascii="Times New Roman" w:hAnsi="Times New Roman" w:eastAsia="宋体" w:cs="Times New Roman"/>
                <w:b/>
                <w:bCs/>
                <w:sz w:val="18"/>
                <w:szCs w:val="18"/>
              </w:rPr>
              <w:t>其他胃肠消化道反应</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118 (29.6%)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120 (30.1%)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238 (29.8%)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0.8770</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注：带</w:t>
            </w:r>
            <w:r>
              <w:rPr>
                <w:rFonts w:ascii="Times New Roman" w:hAnsi="Times New Roman" w:cs="Times New Roman"/>
                <w:i/>
                <w:iCs/>
                <w:sz w:val="16"/>
                <w:szCs w:val="16"/>
              </w:rPr>
              <w:t>*</w:t>
            </w:r>
            <w:r>
              <w:rPr>
                <w:rFonts w:ascii="Times New Roman" w:hAnsi="Times New Roman" w:eastAsia="宋体" w:cs="Times New Roman"/>
                <w:i/>
                <w:iCs/>
                <w:sz w:val="16"/>
                <w:szCs w:val="16"/>
              </w:rPr>
              <w:t>号</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jc w:val="center"/>
        <w:rPr>
          <w:rFonts w:ascii="Times New Roman" w:hAnsi="Times New Roman" w:eastAsia="宋体" w:cs="Times New Roman"/>
          <w:b/>
          <w:bCs/>
          <w:sz w:val="22"/>
          <w:szCs w:val="22"/>
          <w:shd w:val="clear" w:color="auto" w:fill="FFFFFF"/>
        </w:rPr>
      </w:pPr>
    </w:p>
    <w:p>
      <w:pPr>
        <w:adjustRightInd w:val="0"/>
        <w:jc w:val="center"/>
        <w:rPr>
          <w:rFonts w:ascii="Times New Roman" w:hAnsi="Times New Roman" w:cs="Times New Roman"/>
          <w:b/>
          <w:bCs/>
          <w:sz w:val="22"/>
          <w:szCs w:val="22"/>
        </w:rPr>
      </w:pPr>
      <w:r>
        <w:rPr>
          <w:rFonts w:ascii="Times New Roman" w:hAnsi="Times New Roman" w:eastAsia="宋体" w:cs="Times New Roman"/>
          <w:b/>
          <w:bCs/>
          <w:sz w:val="22"/>
          <w:szCs w:val="22"/>
          <w:shd w:val="clear" w:color="auto" w:fill="FFFFFF"/>
        </w:rPr>
        <w:t>表4.2</w:t>
      </w:r>
      <w:r>
        <w:rPr>
          <w:rFonts w:ascii="Times New Roman" w:hAnsi="Times New Roman" w:cs="Times New Roman"/>
          <w:b/>
          <w:bCs/>
          <w:sz w:val="22"/>
          <w:szCs w:val="22"/>
          <w:shd w:val="clear" w:color="auto" w:fill="FFFFFF"/>
        </w:rPr>
        <w:t xml:space="preserve">.5 </w:t>
      </w:r>
      <w:r>
        <w:rPr>
          <w:rFonts w:ascii="Times New Roman" w:hAnsi="Times New Roman" w:eastAsia="宋体" w:cs="Times New Roman"/>
          <w:b/>
          <w:bCs/>
          <w:sz w:val="22"/>
          <w:szCs w:val="22"/>
          <w:shd w:val="clear" w:color="auto" w:fill="FFFFFF"/>
        </w:rPr>
        <w:t>两组患者其他不良事件发生情况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cs="Times New Roman"/>
                <w:b/>
                <w:bCs/>
              </w:rPr>
            </w:pPr>
            <w:r>
              <w:rPr>
                <w:rFonts w:ascii="Times New Roman" w:hAnsi="Times New Roman" w:eastAsia="宋体" w:cs="Times New Roman"/>
                <w:b/>
                <w:bCs/>
              </w:rPr>
              <w:t>其他不良事件</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eastAsia="宋体" w:cs="Times New Roman"/>
                <w:b/>
                <w:bCs/>
              </w:rPr>
              <w:t>合计</w:t>
            </w:r>
            <w:r>
              <w:rPr>
                <w:rFonts w:ascii="Times New Roman" w:hAnsi="Times New Roman" w:cs="Times New Roman"/>
                <w:b/>
                <w:bCs/>
              </w:rPr>
              <w:br w:type="textWrapping"/>
            </w:r>
            <w:r>
              <w:rPr>
                <w:rFonts w:ascii="Times New Roman" w:hAnsi="Times New Roman" w:cs="Times New Roman"/>
                <w:b/>
                <w:bCs/>
              </w:rPr>
              <w:t>(N=798)</w:t>
            </w:r>
          </w:p>
        </w:tc>
        <w:tc>
          <w:tcPr>
            <w:tcW w:w="88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cs="Times New Roman"/>
                <w:b/>
                <w:bCs/>
              </w:rPr>
            </w:pPr>
            <w:r>
              <w:rPr>
                <w:rFonts w:ascii="Times New Roman" w:hAnsi="Times New Roman" w:cs="Times New Roman"/>
                <w:b/>
                <w:b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sz w:val="18"/>
                <w:szCs w:val="18"/>
              </w:rPr>
            </w:pPr>
            <w:r>
              <w:rPr>
                <w:rFonts w:ascii="Times New Roman" w:hAnsi="Times New Roman" w:eastAsia="宋体" w:cs="Times New Roman"/>
                <w:b/>
                <w:sz w:val="18"/>
                <w:szCs w:val="18"/>
              </w:rPr>
              <w:t>心功能异常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177 (44.4%)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159 (39.8%)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336 (42.1%)</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0.1969</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b/>
                <w:sz w:val="18"/>
                <w:szCs w:val="18"/>
              </w:rPr>
              <w:t xml:space="preserve">  </w:t>
            </w:r>
            <w:r>
              <w:rPr>
                <w:rFonts w:ascii="Times New Roman" w:hAnsi="Times New Roman" w:cs="Times New Roman"/>
                <w:sz w:val="18"/>
                <w:szCs w:val="18"/>
              </w:rPr>
              <w:t>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宋体" w:hAnsi="宋体" w:eastAsia="宋体" w:cs="Times New Roman"/>
                <w:sz w:val="18"/>
                <w:szCs w:val="18"/>
              </w:rPr>
            </w:pPr>
            <w:r>
              <w:rPr>
                <w:rFonts w:hint="eastAsia" w:ascii="Times New Roman" w:hAnsi="Times New Roman" w:cs="Times New Roman" w:eastAsiaTheme="minorEastAsia"/>
                <w:b/>
                <w:sz w:val="18"/>
                <w:szCs w:val="18"/>
              </w:rPr>
              <w:t xml:space="preserve"> </w:t>
            </w:r>
            <w:r>
              <w:rPr>
                <w:rFonts w:ascii="Times New Roman" w:hAnsi="Times New Roman" w:cs="Times New Roman" w:eastAsiaTheme="minorEastAsia"/>
                <w:b/>
                <w:sz w:val="18"/>
                <w:szCs w:val="18"/>
              </w:rPr>
              <w:t xml:space="preserve"> </w:t>
            </w:r>
            <w:r>
              <w:rPr>
                <w:rFonts w:hint="eastAsia" w:ascii="宋体" w:hAnsi="宋体" w:eastAsia="宋体" w:cs="Times New Roman"/>
                <w:sz w:val="18"/>
                <w:szCs w:val="18"/>
              </w:rPr>
              <w:t>心悸</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(0.9%)</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cs="Times New Roman"/>
                <w:b/>
                <w:sz w:val="18"/>
                <w:szCs w:val="18"/>
              </w:rPr>
            </w:pPr>
            <w:r>
              <w:rPr>
                <w:rFonts w:ascii="Times New Roman" w:hAnsi="Times New Roman" w:eastAsia="宋体" w:cs="Times New Roman"/>
                <w:b/>
                <w:sz w:val="18"/>
                <w:szCs w:val="18"/>
              </w:rPr>
              <w:t>胸腔积液</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 (3.0%)</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(2.0%)</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 (2.5%)</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0.3650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bCs/>
                <w:sz w:val="18"/>
                <w:szCs w:val="18"/>
              </w:rPr>
            </w:pPr>
            <w:r>
              <w:rPr>
                <w:rFonts w:hint="eastAsia" w:ascii="宋体" w:hAnsi="宋体" w:eastAsia="宋体" w:cs="宋体"/>
                <w:b/>
                <w:bCs/>
                <w:sz w:val="18"/>
                <w:szCs w:val="18"/>
              </w:rPr>
              <w:t>憋气</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(1.5%)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(1.1%)</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0.5053</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sz w:val="18"/>
                <w:szCs w:val="18"/>
              </w:rPr>
            </w:pPr>
            <w:r>
              <w:rPr>
                <w:rFonts w:ascii="Times New Roman" w:hAnsi="Times New Roman" w:eastAsia="宋体" w:cs="Times New Roman"/>
                <w:b/>
                <w:sz w:val="18"/>
                <w:szCs w:val="18"/>
              </w:rPr>
              <w:t>神经毒性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b/>
                <w:sz w:val="18"/>
                <w:szCs w:val="18"/>
              </w:rPr>
            </w:pPr>
            <w:r>
              <w:rPr>
                <w:rFonts w:ascii="Times New Roman" w:hAnsi="Times New Roman" w:eastAsia="宋体" w:cs="Times New Roman"/>
                <w:b/>
                <w:sz w:val="18"/>
                <w:szCs w:val="18"/>
              </w:rPr>
              <w:t>发热</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51 (12.8%)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 (9.8%)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90 (11.3%)</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0.1793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24 (6.0%)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 (3.3%)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37 (4.6%)</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0.0641</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 (2.5%)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 (1.8%)</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0.1057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cs="Times New Roman"/>
                <w:b/>
                <w:bCs/>
                <w:sz w:val="18"/>
                <w:szCs w:val="18"/>
              </w:rPr>
            </w:pPr>
            <w:r>
              <w:rPr>
                <w:rFonts w:hint="eastAsia" w:ascii="宋体" w:hAnsi="宋体" w:eastAsia="宋体" w:cs="宋体"/>
                <w:b/>
                <w:bCs/>
                <w:sz w:val="18"/>
                <w:szCs w:val="18"/>
              </w:rPr>
              <w:t>寒战</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(1.5%)</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(1.1%)</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0.5053</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cs="Times New Roman"/>
                <w:b/>
                <w:bCs/>
                <w:sz w:val="18"/>
                <w:szCs w:val="18"/>
              </w:rPr>
            </w:pPr>
            <w:r>
              <w:rPr>
                <w:rFonts w:hint="eastAsia" w:ascii="宋体" w:hAnsi="宋体" w:eastAsia="宋体" w:cs="宋体"/>
                <w:b/>
                <w:bCs/>
                <w:sz w:val="18"/>
                <w:szCs w:val="18"/>
              </w:rPr>
              <w:t>静脉炎</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(0.6%)</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0.3734</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hint="eastAsia" w:ascii="宋体" w:hAnsi="宋体" w:eastAsia="宋体" w:cs="宋体"/>
                <w:sz w:val="18"/>
                <w:szCs w:val="18"/>
              </w:rPr>
              <w:t>级</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(0.1%)</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cs="Times New Roman"/>
                <w:b/>
                <w:bCs/>
                <w:sz w:val="18"/>
                <w:szCs w:val="18"/>
              </w:rPr>
            </w:pPr>
            <w:r>
              <w:rPr>
                <w:rFonts w:hint="eastAsia" w:ascii="宋体" w:hAnsi="宋体" w:eastAsia="宋体" w:cs="宋体"/>
                <w:b/>
                <w:bCs/>
                <w:sz w:val="18"/>
                <w:szCs w:val="18"/>
              </w:rPr>
              <w:t>皮疹</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6 (1.5%)</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(1.1%)</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0.5053</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hint="eastAsia" w:ascii="宋体" w:hAnsi="宋体" w:eastAsia="宋体" w:cs="宋体"/>
                <w:sz w:val="18"/>
                <w:szCs w:val="18"/>
              </w:rPr>
              <w:t>级</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 (0.0%)</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0.4994</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cs="Times New Roman"/>
                <w:b/>
                <w:bCs/>
                <w:sz w:val="18"/>
                <w:szCs w:val="18"/>
              </w:rPr>
            </w:pPr>
            <w:r>
              <w:rPr>
                <w:rFonts w:hint="eastAsia" w:ascii="宋体" w:hAnsi="宋体" w:eastAsia="宋体" w:cs="宋体"/>
                <w:b/>
                <w:bCs/>
                <w:sz w:val="18"/>
                <w:szCs w:val="18"/>
              </w:rPr>
              <w:t>瘙痒</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(1.0%)</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cs="Times New Roman"/>
                <w:b/>
                <w:bCs/>
                <w:sz w:val="18"/>
                <w:szCs w:val="18"/>
              </w:rPr>
            </w:pPr>
            <w:r>
              <w:rPr>
                <w:rFonts w:hint="eastAsia" w:ascii="宋体" w:hAnsi="宋体" w:eastAsia="宋体" w:cs="宋体"/>
                <w:b/>
                <w:bCs/>
                <w:sz w:val="18"/>
                <w:szCs w:val="18"/>
              </w:rPr>
              <w:t>过敏反应</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 (0.3%)</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(0.3%)</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cs="Times New Roman"/>
                <w:b/>
                <w:sz w:val="18"/>
                <w:szCs w:val="18"/>
              </w:rPr>
            </w:pPr>
            <w:r>
              <w:rPr>
                <w:rFonts w:ascii="Times New Roman" w:hAnsi="Times New Roman" w:eastAsia="宋体" w:cs="Times New Roman"/>
                <w:b/>
                <w:sz w:val="18"/>
                <w:szCs w:val="18"/>
              </w:rPr>
              <w:t>血糖高</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8 (2.0%)</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(1.8%)</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 (1.9%)</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0.7944</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cs="Times New Roman"/>
                <w:b/>
                <w:sz w:val="18"/>
                <w:szCs w:val="18"/>
              </w:rPr>
            </w:pPr>
            <w:r>
              <w:rPr>
                <w:rFonts w:ascii="Times New Roman" w:hAnsi="Times New Roman" w:eastAsia="宋体" w:cs="Times New Roman"/>
                <w:b/>
                <w:sz w:val="18"/>
                <w:szCs w:val="18"/>
              </w:rPr>
              <w:t>低钾血症</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4 (1.0%)</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7 (1.8%)</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11 (1.4%)</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0.3624</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cs="Times New Roman"/>
                <w:b/>
                <w:sz w:val="18"/>
                <w:szCs w:val="18"/>
              </w:rPr>
            </w:pPr>
            <w:r>
              <w:rPr>
                <w:rFonts w:ascii="Times New Roman" w:hAnsi="Times New Roman" w:eastAsia="宋体" w:cs="Times New Roman"/>
                <w:b/>
                <w:sz w:val="18"/>
                <w:szCs w:val="18"/>
              </w:rPr>
              <w:t>低钙血症</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 (0.5%)</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 (0.8%)</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5 (0.6%)</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r>
              <w:rPr>
                <w:rFonts w:ascii="Times New Roman" w:hAnsi="Times New Roman"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cs="Times New Roman"/>
                <w:b/>
                <w:sz w:val="18"/>
                <w:szCs w:val="18"/>
              </w:rPr>
            </w:pPr>
            <w:r>
              <w:rPr>
                <w:rFonts w:ascii="Times New Roman" w:hAnsi="Times New Roman" w:eastAsia="宋体" w:cs="Times New Roman"/>
                <w:b/>
                <w:sz w:val="18"/>
                <w:szCs w:val="18"/>
              </w:rPr>
              <w:t>低钠血症</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(2.3%)</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 (2.3%)</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18 (2.3%)</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1.0000</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cs="Times New Roman"/>
                <w:i/>
                <w:iCs/>
                <w:sz w:val="16"/>
                <w:szCs w:val="16"/>
              </w:rPr>
            </w:pPr>
            <w:r>
              <w:rPr>
                <w:rFonts w:ascii="Times New Roman" w:hAnsi="Times New Roman" w:eastAsia="宋体" w:cs="Times New Roman"/>
                <w:i/>
                <w:iCs/>
                <w:sz w:val="16"/>
                <w:szCs w:val="16"/>
              </w:rPr>
              <w:t>注：带</w:t>
            </w:r>
            <w:r>
              <w:rPr>
                <w:rFonts w:ascii="Times New Roman" w:hAnsi="Times New Roman" w:cs="Times New Roman"/>
                <w:i/>
                <w:iCs/>
                <w:sz w:val="16"/>
                <w:szCs w:val="16"/>
              </w:rPr>
              <w:t>*</w:t>
            </w:r>
            <w:r>
              <w:rPr>
                <w:rFonts w:ascii="Times New Roman" w:hAnsi="Times New Roman" w:eastAsia="宋体" w:cs="Times New Roman"/>
                <w:i/>
                <w:iCs/>
                <w:sz w:val="16"/>
                <w:szCs w:val="16"/>
              </w:rPr>
              <w:t>号</w:t>
            </w:r>
            <w:r>
              <w:rPr>
                <w:rFonts w:ascii="Times New Roman" w:hAnsi="Times New Roman" w:cs="Times New Roman"/>
                <w:i/>
                <w:iCs/>
                <w:sz w:val="16"/>
                <w:szCs w:val="16"/>
              </w:rPr>
              <w:t>P</w:t>
            </w:r>
            <w:r>
              <w:rPr>
                <w:rFonts w:ascii="Times New Roman" w:hAnsi="Times New Roman" w:eastAsia="宋体" w:cs="Times New Roman"/>
                <w:i/>
                <w:iCs/>
                <w:sz w:val="16"/>
                <w:szCs w:val="16"/>
              </w:rPr>
              <w:t>值来自</w:t>
            </w:r>
            <w:r>
              <w:rPr>
                <w:rFonts w:ascii="Times New Roman" w:hAnsi="Times New Roman" w:cs="Times New Roman"/>
                <w:i/>
                <w:iCs/>
                <w:sz w:val="16"/>
                <w:szCs w:val="16"/>
              </w:rPr>
              <w:t>Fisher</w:t>
            </w:r>
            <w:r>
              <w:rPr>
                <w:rFonts w:ascii="Times New Roman" w:hAnsi="Times New Roman" w:eastAsia="宋体" w:cs="Times New Roman"/>
                <w:i/>
                <w:iCs/>
                <w:sz w:val="16"/>
                <w:szCs w:val="16"/>
              </w:rPr>
              <w:t>精确检验，其他</w:t>
            </w:r>
            <w:r>
              <w:rPr>
                <w:rFonts w:ascii="Times New Roman" w:hAnsi="Times New Roman" w:cs="Times New Roman"/>
                <w:i/>
                <w:iCs/>
                <w:sz w:val="16"/>
                <w:szCs w:val="16"/>
              </w:rPr>
              <w:t>P</w:t>
            </w:r>
            <w:r>
              <w:rPr>
                <w:rFonts w:ascii="Times New Roman" w:hAnsi="Times New Roman" w:eastAsia="宋体" w:cs="Times New Roman"/>
                <w:i/>
                <w:iCs/>
                <w:sz w:val="16"/>
                <w:szCs w:val="16"/>
              </w:rPr>
              <w:t>值来自卡方检验。</w:t>
            </w:r>
          </w:p>
        </w:tc>
      </w:tr>
    </w:tbl>
    <w:p>
      <w:pPr>
        <w:adjustRightInd w:val="0"/>
        <w:rPr>
          <w:rFonts w:ascii="Times New Roman" w:hAnsi="Times New Roman" w:cs="Times New Roman" w:eastAsiaTheme="minorEastAsia"/>
          <w:i/>
          <w:iCs/>
          <w:sz w:val="16"/>
          <w:szCs w:val="16"/>
        </w:rPr>
      </w:pPr>
    </w:p>
    <w:p>
      <w:pPr>
        <w:pStyle w:val="3"/>
        <w:rPr>
          <w:rFonts w:ascii="Times New Roman" w:hAnsi="Times New Roman" w:eastAsia="宋体" w:cs="Times New Roman"/>
          <w:sz w:val="28"/>
        </w:rPr>
      </w:pPr>
      <w:bookmarkStart w:id="25" w:name="_Toc33465514"/>
      <w:r>
        <w:rPr>
          <w:rFonts w:ascii="Times New Roman" w:hAnsi="Times New Roman" w:eastAsia="宋体" w:cs="Times New Roman"/>
          <w:sz w:val="24"/>
          <w:szCs w:val="24"/>
        </w:rPr>
        <w:t>多因素回归调整后结果</w:t>
      </w:r>
      <w:bookmarkEnd w:id="25"/>
    </w:p>
    <w:p>
      <w:pPr>
        <w:adjustRightInd w:val="0"/>
        <w:spacing w:before="120" w:beforeLines="50" w:line="360" w:lineRule="auto"/>
        <w:ind w:firstLine="480" w:firstLineChars="200"/>
        <w:rPr>
          <w:rFonts w:ascii="Times New Roman" w:hAnsi="Times New Roman" w:eastAsia="宋体" w:cs="Times New Roman"/>
          <w:sz w:val="24"/>
        </w:rPr>
      </w:pPr>
      <w:r>
        <w:rPr>
          <w:rFonts w:ascii="Times New Roman" w:hAnsi="Times New Roman" w:eastAsia="宋体" w:cs="Times New Roman"/>
          <w:kern w:val="0"/>
          <w:sz w:val="24"/>
          <w:szCs w:val="24"/>
        </w:rPr>
        <w:t>本部分将对两组患者采用多因素logistic回归调整的方法来控制混杂因素对不良事件分析结果的影响。</w:t>
      </w:r>
      <w:r>
        <w:rPr>
          <w:rFonts w:ascii="Times New Roman" w:hAnsi="Times New Roman" w:eastAsia="宋体" w:cs="Times New Roman"/>
          <w:sz w:val="24"/>
        </w:rPr>
        <w:t>两组患者所有不良事件的结果描述如下。</w:t>
      </w:r>
    </w:p>
    <w:p>
      <w:pPr>
        <w:adjustRightInd w:val="0"/>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参芪扶正组总不良事件发生率比对照组略高，红细胞</w:t>
      </w:r>
      <w:r>
        <w:rPr>
          <w:rFonts w:hint="eastAsia" w:ascii="Times New Roman" w:hAnsi="Times New Roman" w:eastAsia="宋体" w:cs="Times New Roman"/>
          <w:sz w:val="24"/>
        </w:rPr>
        <w:t>减少</w:t>
      </w:r>
      <w:r>
        <w:rPr>
          <w:rFonts w:ascii="Times New Roman" w:hAnsi="Times New Roman" w:eastAsia="宋体" w:cs="Times New Roman"/>
          <w:sz w:val="24"/>
        </w:rPr>
        <w:t>发生率、贫血发生率、</w:t>
      </w:r>
      <w:r>
        <w:rPr>
          <w:rFonts w:hint="eastAsia" w:ascii="Times New Roman" w:hAnsi="Times New Roman" w:eastAsia="宋体" w:cs="Times New Roman"/>
          <w:sz w:val="24"/>
        </w:rPr>
        <w:t>谷丙转氨酶升高发生率、谷草转氨酶升高发生率、碱性磷酸酶升高发生率、直接胆红素升高发生率、肾功能</w:t>
      </w:r>
      <w:r>
        <w:rPr>
          <w:rFonts w:ascii="Times New Roman" w:hAnsi="Times New Roman" w:eastAsia="宋体" w:cs="Times New Roman"/>
          <w:sz w:val="24"/>
        </w:rPr>
        <w:t>损害发生率、恶心呕吐</w:t>
      </w:r>
      <w:r>
        <w:rPr>
          <w:rFonts w:hint="eastAsia" w:ascii="Times New Roman" w:hAnsi="Times New Roman" w:eastAsia="宋体" w:cs="Times New Roman"/>
          <w:sz w:val="24"/>
        </w:rPr>
        <w:t>发生率</w:t>
      </w:r>
      <w:r>
        <w:rPr>
          <w:rFonts w:ascii="Times New Roman" w:hAnsi="Times New Roman" w:eastAsia="宋体" w:cs="Times New Roman"/>
          <w:sz w:val="24"/>
        </w:rPr>
        <w:t>均较对照组略低，</w:t>
      </w:r>
      <w:r>
        <w:rPr>
          <w:rFonts w:hint="eastAsia" w:ascii="Times New Roman" w:hAnsi="Times New Roman" w:eastAsia="宋体" w:cs="Times New Roman"/>
          <w:sz w:val="24"/>
        </w:rPr>
        <w:t>但差异无统计学意义；而</w:t>
      </w:r>
      <w:r>
        <w:rPr>
          <w:rFonts w:hint="eastAsia" w:ascii="Times New Roman" w:hAnsi="Times New Roman" w:eastAsia="宋体" w:cs="Times New Roman"/>
          <w:sz w:val="24"/>
          <w:highlight w:val="yellow"/>
        </w:rPr>
        <w:t>参芪扶正组患者</w:t>
      </w:r>
      <w:r>
        <w:rPr>
          <w:rFonts w:ascii="Times New Roman" w:hAnsi="Times New Roman" w:eastAsia="宋体" w:cs="Times New Roman"/>
          <w:sz w:val="24"/>
          <w:highlight w:val="yellow"/>
        </w:rPr>
        <w:t>反酸发生率较对照组低，</w:t>
      </w:r>
      <w:r>
        <w:rPr>
          <w:rFonts w:hint="eastAsia" w:ascii="Times New Roman" w:hAnsi="Times New Roman" w:eastAsia="宋体" w:cs="Times New Roman"/>
          <w:sz w:val="24"/>
          <w:highlight w:val="yellow"/>
        </w:rPr>
        <w:t>且差异有统计学意义</w:t>
      </w:r>
      <w:r>
        <w:rPr>
          <w:rFonts w:ascii="Times New Roman" w:hAnsi="Times New Roman" w:eastAsia="宋体" w:cs="Times New Roman"/>
          <w:sz w:val="24"/>
          <w:highlight w:val="yellow"/>
        </w:rPr>
        <w:t>。</w:t>
      </w:r>
      <w:r>
        <w:rPr>
          <w:rFonts w:ascii="Times New Roman" w:hAnsi="Times New Roman" w:eastAsia="宋体" w:cs="Times New Roman"/>
          <w:sz w:val="24"/>
        </w:rPr>
        <w:t>详见下表4.3.1~4.3.5。</w:t>
      </w:r>
    </w:p>
    <w:p>
      <w:pPr>
        <w:adjustRightInd w:val="0"/>
        <w:jc w:val="center"/>
        <w:rPr>
          <w:rFonts w:ascii="Times New Roman" w:hAnsi="Times New Roman" w:cs="Times New Roman"/>
          <w:b/>
          <w:bCs/>
          <w:sz w:val="22"/>
          <w:szCs w:val="22"/>
        </w:rPr>
      </w:pPr>
      <w:r>
        <w:rPr>
          <w:rFonts w:ascii="Times New Roman" w:hAnsi="Times New Roman" w:eastAsia="宋体" w:cs="Times New Roman"/>
          <w:b/>
          <w:bCs/>
          <w:sz w:val="22"/>
          <w:szCs w:val="22"/>
          <w:shd w:val="clear" w:color="auto" w:fill="FFFFFF"/>
        </w:rPr>
        <w:t>表</w:t>
      </w:r>
      <w:r>
        <w:rPr>
          <w:rFonts w:ascii="Times New Roman" w:hAnsi="Times New Roman" w:cs="Times New Roman"/>
          <w:b/>
          <w:bCs/>
          <w:sz w:val="22"/>
          <w:szCs w:val="22"/>
          <w:shd w:val="clear" w:color="auto" w:fill="FFFFFF"/>
        </w:rPr>
        <w:t xml:space="preserve">4.3.1 </w:t>
      </w:r>
      <w:r>
        <w:rPr>
          <w:rFonts w:ascii="Times New Roman" w:hAnsi="Times New Roman" w:eastAsia="宋体" w:cs="Times New Roman"/>
          <w:b/>
          <w:bCs/>
          <w:sz w:val="22"/>
          <w:szCs w:val="22"/>
          <w:shd w:val="clear" w:color="auto" w:fill="FFFFFF"/>
        </w:rPr>
        <w:t>两组患者总不良事件发生情况</w:t>
      </w:r>
    </w:p>
    <w:tbl>
      <w:tblPr>
        <w:tblStyle w:val="22"/>
        <w:tblW w:w="0" w:type="auto"/>
        <w:jc w:val="center"/>
        <w:tblLayout w:type="fixed"/>
        <w:tblCellMar>
          <w:top w:w="0" w:type="dxa"/>
          <w:left w:w="0" w:type="dxa"/>
          <w:bottom w:w="0" w:type="dxa"/>
          <w:right w:w="0" w:type="dxa"/>
        </w:tblCellMar>
      </w:tblPr>
      <w:tblGrid>
        <w:gridCol w:w="3662"/>
        <w:gridCol w:w="2207"/>
        <w:gridCol w:w="2207"/>
        <w:gridCol w:w="2207"/>
      </w:tblGrid>
      <w:tr>
        <w:tblPrEx>
          <w:tblCellMar>
            <w:top w:w="0" w:type="dxa"/>
            <w:left w:w="0" w:type="dxa"/>
            <w:bottom w:w="0" w:type="dxa"/>
            <w:right w:w="0" w:type="dxa"/>
          </w:tblCellMar>
        </w:tblPrEx>
        <w:trPr>
          <w:cantSplit/>
          <w:tblHeader/>
          <w:jc w:val="center"/>
        </w:trPr>
        <w:tc>
          <w:tcPr>
            <w:tcW w:w="3662"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rPr>
                <w:rFonts w:ascii="Times New Roman" w:hAnsi="Times New Roman" w:cs="Times New Roman" w:eastAsiaTheme="minorEastAsia"/>
                <w:b/>
                <w:bCs/>
              </w:rPr>
            </w:pPr>
            <w:r>
              <w:rPr>
                <w:rFonts w:ascii="Times New Roman" w:hAnsi="Times New Roman" w:eastAsia="宋体" w:cs="Times New Roman"/>
                <w:b/>
                <w:bCs/>
              </w:rPr>
              <w:t>不良事件</w:t>
            </w:r>
          </w:p>
        </w:tc>
        <w:tc>
          <w:tcPr>
            <w:tcW w:w="2207"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2207"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(N=729)</w:t>
            </w:r>
          </w:p>
        </w:tc>
        <w:tc>
          <w:tcPr>
            <w:tcW w:w="2207"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3662" w:type="dxa"/>
            <w:tcBorders>
              <w:top w:val="nil"/>
              <w:left w:val="nil"/>
              <w:bottom w:val="double" w:color="000000" w:sz="6" w:space="0"/>
              <w:right w:val="nil"/>
            </w:tcBorders>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b/>
                <w:bCs/>
                <w:sz w:val="18"/>
                <w:szCs w:val="18"/>
              </w:rPr>
            </w:pPr>
            <w:r>
              <w:rPr>
                <w:rFonts w:ascii="Times New Roman" w:hAnsi="Times New Roman" w:eastAsia="宋体" w:cs="Times New Roman"/>
                <w:b/>
                <w:bCs/>
                <w:sz w:val="18"/>
                <w:szCs w:val="18"/>
              </w:rPr>
              <w:t>总不良事件</w:t>
            </w:r>
          </w:p>
        </w:tc>
        <w:tc>
          <w:tcPr>
            <w:tcW w:w="2207" w:type="dxa"/>
            <w:tcBorders>
              <w:top w:val="nil"/>
              <w:left w:val="nil"/>
              <w:bottom w:val="double" w:color="000000" w:sz="6" w:space="0"/>
              <w:right w:val="nil"/>
            </w:tcBorders>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94.1%</w:t>
            </w:r>
          </w:p>
        </w:tc>
        <w:tc>
          <w:tcPr>
            <w:tcW w:w="2207" w:type="dxa"/>
            <w:tcBorders>
              <w:top w:val="nil"/>
              <w:left w:val="nil"/>
              <w:bottom w:val="double" w:color="000000" w:sz="6" w:space="0"/>
              <w:right w:val="nil"/>
            </w:tcBorders>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84.9%</w:t>
            </w:r>
          </w:p>
        </w:tc>
        <w:tc>
          <w:tcPr>
            <w:tcW w:w="2207" w:type="dxa"/>
            <w:tcBorders>
              <w:top w:val="nil"/>
              <w:left w:val="nil"/>
              <w:bottom w:val="double" w:color="000000" w:sz="6" w:space="0"/>
              <w:right w:val="nil"/>
            </w:tcBorders>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0.0015</w:t>
            </w:r>
          </w:p>
        </w:tc>
      </w:tr>
    </w:tbl>
    <w:p>
      <w:pPr>
        <w:adjustRightInd w:val="0"/>
        <w:jc w:val="center"/>
        <w:rPr>
          <w:rFonts w:ascii="Times New Roman" w:hAnsi="Times New Roman" w:eastAsia="宋体" w:cs="Times New Roman"/>
          <w:b/>
          <w:bCs/>
          <w:sz w:val="22"/>
          <w:szCs w:val="22"/>
          <w:shd w:val="clear" w:color="auto" w:fill="FFFFFF"/>
        </w:rPr>
      </w:pPr>
    </w:p>
    <w:p>
      <w:pPr>
        <w:adjustRightInd w:val="0"/>
        <w:jc w:val="center"/>
        <w:rPr>
          <w:rFonts w:ascii="Times New Roman" w:hAnsi="Times New Roman" w:cs="Times New Roman"/>
          <w:b/>
          <w:bCs/>
          <w:color w:val="auto"/>
          <w:sz w:val="22"/>
          <w:szCs w:val="22"/>
        </w:rPr>
      </w:pPr>
      <w:r>
        <w:rPr>
          <w:rFonts w:ascii="Times New Roman" w:hAnsi="Times New Roman" w:eastAsia="宋体" w:cs="Times New Roman"/>
          <w:b/>
          <w:bCs/>
          <w:sz w:val="22"/>
          <w:szCs w:val="22"/>
          <w:shd w:val="clear" w:color="auto" w:fill="FFFFFF"/>
        </w:rPr>
        <w:t>表</w:t>
      </w:r>
      <w:r>
        <w:rPr>
          <w:rFonts w:ascii="Times New Roman" w:hAnsi="Times New Roman" w:cs="Times New Roman"/>
          <w:b/>
          <w:bCs/>
          <w:sz w:val="22"/>
          <w:szCs w:val="22"/>
          <w:shd w:val="clear" w:color="auto" w:fill="FFFFFF"/>
        </w:rPr>
        <w:t xml:space="preserve">4.3.2 </w:t>
      </w:r>
      <w:r>
        <w:rPr>
          <w:rFonts w:ascii="Times New Roman" w:hAnsi="Times New Roman" w:eastAsia="宋体" w:cs="Times New Roman"/>
          <w:b/>
          <w:bCs/>
          <w:sz w:val="22"/>
          <w:szCs w:val="22"/>
          <w:shd w:val="clear" w:color="auto" w:fill="FFFFFF"/>
        </w:rPr>
        <w:t>两组患者血液系统相关不良事件发生情况</w:t>
      </w:r>
    </w:p>
    <w:tbl>
      <w:tblPr>
        <w:tblStyle w:val="22"/>
        <w:tblW w:w="0" w:type="auto"/>
        <w:jc w:val="center"/>
        <w:tblLayout w:type="fixed"/>
        <w:tblCellMar>
          <w:top w:w="0" w:type="dxa"/>
          <w:left w:w="0" w:type="dxa"/>
          <w:bottom w:w="0" w:type="dxa"/>
          <w:right w:w="0" w:type="dxa"/>
        </w:tblCellMar>
      </w:tblPr>
      <w:tblGrid>
        <w:gridCol w:w="3662"/>
        <w:gridCol w:w="2207"/>
        <w:gridCol w:w="2207"/>
        <w:gridCol w:w="2207"/>
      </w:tblGrid>
      <w:tr>
        <w:tblPrEx>
          <w:tblCellMar>
            <w:top w:w="0" w:type="dxa"/>
            <w:left w:w="0" w:type="dxa"/>
            <w:bottom w:w="0" w:type="dxa"/>
            <w:right w:w="0" w:type="dxa"/>
          </w:tblCellMar>
        </w:tblPrEx>
        <w:trPr>
          <w:cantSplit/>
          <w:tblHeader/>
          <w:jc w:val="center"/>
        </w:trPr>
        <w:tc>
          <w:tcPr>
            <w:tcW w:w="3662"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rPr>
                <w:rFonts w:ascii="Times New Roman" w:hAnsi="Times New Roman" w:cs="Times New Roman" w:eastAsiaTheme="minorEastAsia"/>
                <w:b/>
                <w:bCs/>
              </w:rPr>
            </w:pPr>
            <w:r>
              <w:rPr>
                <w:rFonts w:hint="eastAsia" w:ascii="Times New Roman" w:hAnsi="Times New Roman" w:eastAsia="宋体" w:cs="Times New Roman"/>
                <w:b/>
                <w:bCs/>
              </w:rPr>
              <w:t>血液系统相关</w:t>
            </w:r>
            <w:r>
              <w:rPr>
                <w:rFonts w:ascii="Times New Roman" w:hAnsi="Times New Roman" w:eastAsia="宋体" w:cs="Times New Roman"/>
                <w:b/>
                <w:bCs/>
              </w:rPr>
              <w:t>不良事件</w:t>
            </w:r>
          </w:p>
        </w:tc>
        <w:tc>
          <w:tcPr>
            <w:tcW w:w="2207"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2207"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(N=729)</w:t>
            </w:r>
          </w:p>
        </w:tc>
        <w:tc>
          <w:tcPr>
            <w:tcW w:w="2207"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b/>
                <w:bCs/>
                <w:sz w:val="18"/>
                <w:szCs w:val="18"/>
              </w:rPr>
            </w:pPr>
            <w:r>
              <w:rPr>
                <w:rFonts w:ascii="Times New Roman" w:hAnsi="Times New Roman" w:eastAsia="宋体" w:cs="Times New Roman"/>
                <w:b/>
                <w:bCs/>
                <w:sz w:val="18"/>
                <w:szCs w:val="18"/>
              </w:rPr>
              <w:t>骨髓抑制</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75.8%</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73.7%</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0.4194</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50.7%</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48.7%</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0.5349</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48.4%</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39.3%</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0.0092</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6.5%</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5.0%</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0.1255</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2.8%</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0.8154</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白细胞异常</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50.5%</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40.5%</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0.0030</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9.0%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7.5%</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0.5085</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减少</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46.4%</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36.4%</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0.0026</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14.9%</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14.6%</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0.8961</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13.1%</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8.3%</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0.0082</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3.4%</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2.6%</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0.3029</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0.5%</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0.2186</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血小板异常</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23.4%</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19.8%</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0.2018</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4.2%</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5.0%</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0.7309</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减少</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16.4%</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12.0%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0.0426</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6.7%</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7.4%</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0.6748</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7.2%</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3.4%</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0.0069</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1.7%</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1.1%</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0.3705</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1.5%</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1.4%</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0.8712</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中性粒细胞异常</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35.7%</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32.9%</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0.3819</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2.6%</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4.5%</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0.1411</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减少</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28.2%</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25.0%</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0.2520</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13.4%</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11.7%</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0.4244</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9.6%</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10.2%</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0.7553</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2.8%</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2.1%</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0.2590</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1.3%</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1.7%</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0.5335</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血红蛋白异常</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65.5%</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60.5%</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0.1112</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0.5%</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0.9509</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减少</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61.2%</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55.8%</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0.0953</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25.4%</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25.1%</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0.9020</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22.5%</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21.7%</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0.8153</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6.7%</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3.3%</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0.0155</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0.6%</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0.4739</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红细胞异常</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3.0%</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4.5%</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0.2573</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1.6%</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0.9521</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减少</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2.9%</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4.2%</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0.3677</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0.7%</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0.9432</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贫血</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8.3%</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8.6%</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0.8795</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3.1%</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3.6%</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0.7108</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2.1%</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1.0%</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0.1653</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0.6%</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0.6%</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0.9754</w:t>
            </w:r>
          </w:p>
        </w:tc>
      </w:tr>
      <w:tr>
        <w:tblPrEx>
          <w:tblCellMar>
            <w:top w:w="0" w:type="dxa"/>
            <w:left w:w="0" w:type="dxa"/>
            <w:bottom w:w="0" w:type="dxa"/>
            <w:right w:w="0" w:type="dxa"/>
          </w:tblCellMar>
        </w:tblPrEx>
        <w:trPr>
          <w:cantSplit/>
          <w:jc w:val="center"/>
        </w:trPr>
        <w:tc>
          <w:tcPr>
            <w:tcW w:w="3662" w:type="dxa"/>
            <w:tcBorders>
              <w:top w:val="nil"/>
              <w:left w:val="nil"/>
              <w:bottom w:val="double" w:color="000000" w:sz="6" w:space="0"/>
              <w:right w:val="nil"/>
            </w:tcBorders>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2207" w:type="dxa"/>
            <w:tcBorders>
              <w:top w:val="nil"/>
              <w:left w:val="nil"/>
              <w:bottom w:val="double" w:color="000000" w:sz="6" w:space="0"/>
              <w:right w:val="nil"/>
            </w:tcBorders>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tcBorders>
              <w:top w:val="nil"/>
              <w:left w:val="nil"/>
              <w:bottom w:val="double" w:color="000000" w:sz="6" w:space="0"/>
              <w:right w:val="nil"/>
            </w:tcBorders>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w:t>
            </w:r>
          </w:p>
        </w:tc>
        <w:tc>
          <w:tcPr>
            <w:tcW w:w="2207" w:type="dxa"/>
            <w:tcBorders>
              <w:top w:val="nil"/>
              <w:left w:val="nil"/>
              <w:bottom w:val="double" w:color="000000" w:sz="6" w:space="0"/>
              <w:right w:val="nil"/>
            </w:tcBorders>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0.9503</w:t>
            </w:r>
          </w:p>
        </w:tc>
      </w:tr>
    </w:tbl>
    <w:p>
      <w:pPr>
        <w:adjustRightInd w:val="0"/>
        <w:rPr>
          <w:rFonts w:ascii="Times New Roman" w:hAnsi="Times New Roman" w:cs="Times New Roman" w:eastAsiaTheme="minorEastAsia"/>
          <w:sz w:val="18"/>
          <w:szCs w:val="18"/>
        </w:rPr>
      </w:pPr>
    </w:p>
    <w:p>
      <w:pPr>
        <w:adjustRightInd w:val="0"/>
        <w:jc w:val="center"/>
        <w:rPr>
          <w:rFonts w:ascii="Times New Roman" w:hAnsi="Times New Roman" w:cs="Times New Roman"/>
          <w:b/>
          <w:bCs/>
          <w:color w:val="auto"/>
          <w:sz w:val="22"/>
          <w:szCs w:val="22"/>
        </w:rPr>
      </w:pPr>
      <w:r>
        <w:rPr>
          <w:rFonts w:ascii="Times New Roman" w:hAnsi="Times New Roman" w:eastAsia="宋体" w:cs="Times New Roman"/>
          <w:b/>
          <w:bCs/>
          <w:sz w:val="22"/>
          <w:szCs w:val="22"/>
          <w:shd w:val="clear" w:color="auto" w:fill="FFFFFF"/>
        </w:rPr>
        <w:t>表</w:t>
      </w:r>
      <w:r>
        <w:rPr>
          <w:rFonts w:ascii="Times New Roman" w:hAnsi="Times New Roman" w:cs="Times New Roman"/>
          <w:b/>
          <w:bCs/>
          <w:sz w:val="22"/>
          <w:szCs w:val="22"/>
          <w:shd w:val="clear" w:color="auto" w:fill="FFFFFF"/>
        </w:rPr>
        <w:t xml:space="preserve">4.3.3 </w:t>
      </w:r>
      <w:r>
        <w:rPr>
          <w:rFonts w:ascii="Times New Roman" w:hAnsi="Times New Roman" w:eastAsia="宋体" w:cs="Times New Roman"/>
          <w:b/>
          <w:bCs/>
          <w:sz w:val="22"/>
          <w:szCs w:val="22"/>
          <w:shd w:val="clear" w:color="auto" w:fill="FFFFFF"/>
        </w:rPr>
        <w:t>两组患者肝肾功能相关不良事件发生情况</w:t>
      </w:r>
    </w:p>
    <w:tbl>
      <w:tblPr>
        <w:tblStyle w:val="22"/>
        <w:tblW w:w="0" w:type="auto"/>
        <w:jc w:val="center"/>
        <w:tblLayout w:type="fixed"/>
        <w:tblCellMar>
          <w:top w:w="0" w:type="dxa"/>
          <w:left w:w="0" w:type="dxa"/>
          <w:bottom w:w="0" w:type="dxa"/>
          <w:right w:w="0" w:type="dxa"/>
        </w:tblCellMar>
      </w:tblPr>
      <w:tblGrid>
        <w:gridCol w:w="3662"/>
        <w:gridCol w:w="2207"/>
        <w:gridCol w:w="2207"/>
        <w:gridCol w:w="2207"/>
      </w:tblGrid>
      <w:tr>
        <w:tblPrEx>
          <w:tblCellMar>
            <w:top w:w="0" w:type="dxa"/>
            <w:left w:w="0" w:type="dxa"/>
            <w:bottom w:w="0" w:type="dxa"/>
            <w:right w:w="0" w:type="dxa"/>
          </w:tblCellMar>
        </w:tblPrEx>
        <w:trPr>
          <w:cantSplit/>
          <w:tblHeader/>
          <w:jc w:val="center"/>
        </w:trPr>
        <w:tc>
          <w:tcPr>
            <w:tcW w:w="3662"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rPr>
                <w:rFonts w:ascii="Times New Roman" w:hAnsi="Times New Roman" w:cs="Times New Roman" w:eastAsiaTheme="minorEastAsia"/>
                <w:b/>
                <w:bCs/>
              </w:rPr>
            </w:pPr>
            <w:r>
              <w:rPr>
                <w:rFonts w:hint="eastAsia" w:ascii="Times New Roman" w:hAnsi="Times New Roman" w:eastAsia="宋体" w:cs="Times New Roman"/>
                <w:b/>
                <w:bCs/>
              </w:rPr>
              <w:t>肝肾功能相关</w:t>
            </w:r>
            <w:r>
              <w:rPr>
                <w:rFonts w:ascii="Times New Roman" w:hAnsi="Times New Roman" w:eastAsia="宋体" w:cs="Times New Roman"/>
                <w:b/>
                <w:bCs/>
              </w:rPr>
              <w:t>不良事件</w:t>
            </w:r>
          </w:p>
        </w:tc>
        <w:tc>
          <w:tcPr>
            <w:tcW w:w="2207"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2207"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(N=729)</w:t>
            </w:r>
          </w:p>
        </w:tc>
        <w:tc>
          <w:tcPr>
            <w:tcW w:w="2207"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b/>
                <w:bCs/>
                <w:sz w:val="18"/>
                <w:szCs w:val="18"/>
              </w:rPr>
            </w:pPr>
            <w:r>
              <w:rPr>
                <w:rFonts w:ascii="Times New Roman" w:hAnsi="Times New Roman" w:eastAsia="宋体" w:cs="Times New Roman"/>
                <w:b/>
                <w:bCs/>
                <w:sz w:val="18"/>
                <w:szCs w:val="18"/>
              </w:rPr>
              <w:t>肝功能损伤</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19.6%</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16.8%</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0.2470</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15.0%</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13.9%</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0.6040</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6.2%</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4.5%</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0.2514</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3.2%</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1.7%</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0.2799</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1.4%</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0.9588</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谷丙转氨酶异常</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8.2%</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7.2%</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0.5219</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8.2%</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7.2%</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0.5219</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5.0%</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4.1%</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0.4467</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2.3%</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1.6%</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0.3403</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0.8%</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0.8%</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0.8963</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0.9503</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谷草转氨酶异常</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4.5%</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5.3%</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0.5646</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0.9503</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4.5%</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5.3%</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0.5646</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3.3%</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3.8%</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0.6425</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1.1%</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0.8%</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0.4843</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1.4%</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0.9588</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碱性磷酸酶异常</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4.6%</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5.3%</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0.6715</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0.9503</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4.6%</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5.3%</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0.6715</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1.7%</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1.8%</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0.8686</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1.6%</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3.1%</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0.4051</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0.3%</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0.2950</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总胆红素异常</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10.4%</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4.8%</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0.0016</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0.4%</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0.9616</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10.4%</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4.8%</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0.0016</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7.2%</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3.3%</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0.0035</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1.2%</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0.5%</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0.1829</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直接胆红素异常</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2.5%</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3.3%</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0.4597</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0.4%</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0.9616</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2.5%</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3.3%</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0.4597</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2.3%</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2.4%</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0.8912</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0.5%</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0.9538</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0.3%</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0.9523</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间接胆红素异常</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0.3%</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0.9528</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0.9503</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0.9503</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b/>
                <w:bCs/>
                <w:sz w:val="18"/>
                <w:szCs w:val="18"/>
              </w:rPr>
            </w:pPr>
            <w:r>
              <w:rPr>
                <w:rFonts w:ascii="Times New Roman" w:hAnsi="Times New Roman" w:eastAsia="宋体" w:cs="Times New Roman"/>
                <w:b/>
                <w:bCs/>
                <w:sz w:val="18"/>
                <w:szCs w:val="18"/>
              </w:rPr>
              <w:t>肾功能损伤</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3.2%</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4.2%</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0.4807</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0.5%</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0.6%</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0.7828</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0.3%</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0.9523</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0.3%</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0.9523</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尿素氮异常</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1.3%</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1.6%</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0.6039</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0.2%</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0.5%</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0.4455</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0.8%</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1.3%</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0.4320</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0.2%</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0.6%</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0.2613</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0.3%</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0.9523</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0.3%</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0.9523</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肌酐异常</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2.5%</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2.1%</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0.7903</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0.6%</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0.9513</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0.6%</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0.3%</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0.6029</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尿素异常</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2.4%</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0.0779</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降低</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0.9503</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升高</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2.4%</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0.0779</w:t>
            </w:r>
          </w:p>
        </w:tc>
      </w:tr>
      <w:tr>
        <w:tblPrEx>
          <w:tblCellMar>
            <w:top w:w="0" w:type="dxa"/>
            <w:left w:w="0" w:type="dxa"/>
            <w:bottom w:w="0" w:type="dxa"/>
            <w:right w:w="0" w:type="dxa"/>
          </w:tblCellMar>
        </w:tblPrEx>
        <w:trPr>
          <w:cantSplit/>
          <w:jc w:val="center"/>
        </w:trPr>
        <w:tc>
          <w:tcPr>
            <w:tcW w:w="3662" w:type="dxa"/>
            <w:tcBorders>
              <w:top w:val="nil"/>
              <w:left w:val="nil"/>
              <w:bottom w:val="double" w:color="000000" w:sz="6" w:space="0"/>
              <w:right w:val="nil"/>
            </w:tcBorders>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2207" w:type="dxa"/>
            <w:tcBorders>
              <w:top w:val="nil"/>
              <w:left w:val="nil"/>
              <w:bottom w:val="double" w:color="000000" w:sz="6" w:space="0"/>
              <w:right w:val="nil"/>
            </w:tcBorders>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tcBorders>
              <w:top w:val="nil"/>
              <w:left w:val="nil"/>
              <w:bottom w:val="double" w:color="000000" w:sz="6" w:space="0"/>
              <w:right w:val="nil"/>
            </w:tcBorders>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w:t>
            </w:r>
          </w:p>
        </w:tc>
        <w:tc>
          <w:tcPr>
            <w:tcW w:w="2207" w:type="dxa"/>
            <w:tcBorders>
              <w:top w:val="nil"/>
              <w:left w:val="nil"/>
              <w:bottom w:val="double" w:color="000000" w:sz="6" w:space="0"/>
              <w:right w:val="nil"/>
            </w:tcBorders>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0.9503</w:t>
            </w:r>
          </w:p>
        </w:tc>
      </w:tr>
    </w:tbl>
    <w:p>
      <w:pPr>
        <w:adjustRightInd w:val="0"/>
        <w:rPr>
          <w:rFonts w:ascii="Times New Roman" w:hAnsi="Times New Roman" w:cs="Times New Roman" w:eastAsiaTheme="minorEastAsia"/>
          <w:sz w:val="18"/>
          <w:szCs w:val="18"/>
        </w:rPr>
      </w:pPr>
    </w:p>
    <w:p>
      <w:pPr>
        <w:adjustRightInd w:val="0"/>
        <w:jc w:val="center"/>
        <w:rPr>
          <w:rFonts w:ascii="Times New Roman" w:hAnsi="Times New Roman" w:cs="Times New Roman"/>
          <w:b/>
          <w:bCs/>
          <w:color w:val="auto"/>
          <w:sz w:val="22"/>
          <w:szCs w:val="22"/>
        </w:rPr>
      </w:pPr>
      <w:r>
        <w:rPr>
          <w:rFonts w:ascii="Times New Roman" w:hAnsi="Times New Roman" w:eastAsia="宋体" w:cs="Times New Roman"/>
          <w:b/>
          <w:bCs/>
          <w:sz w:val="22"/>
          <w:szCs w:val="22"/>
          <w:shd w:val="clear" w:color="auto" w:fill="FFFFFF"/>
        </w:rPr>
        <w:t>表</w:t>
      </w:r>
      <w:r>
        <w:rPr>
          <w:rFonts w:ascii="Times New Roman" w:hAnsi="Times New Roman" w:cs="Times New Roman"/>
          <w:b/>
          <w:bCs/>
          <w:sz w:val="22"/>
          <w:szCs w:val="22"/>
          <w:shd w:val="clear" w:color="auto" w:fill="FFFFFF"/>
        </w:rPr>
        <w:t xml:space="preserve">4.3.4 </w:t>
      </w:r>
      <w:r>
        <w:rPr>
          <w:rFonts w:ascii="Times New Roman" w:hAnsi="Times New Roman" w:eastAsia="宋体" w:cs="Times New Roman"/>
          <w:b/>
          <w:bCs/>
          <w:sz w:val="22"/>
          <w:szCs w:val="22"/>
          <w:shd w:val="clear" w:color="auto" w:fill="FFFFFF"/>
        </w:rPr>
        <w:t>两组患者胃肠消化道相关不良事件发生情况</w:t>
      </w:r>
    </w:p>
    <w:tbl>
      <w:tblPr>
        <w:tblStyle w:val="22"/>
        <w:tblW w:w="0" w:type="auto"/>
        <w:jc w:val="center"/>
        <w:tblLayout w:type="fixed"/>
        <w:tblCellMar>
          <w:top w:w="0" w:type="dxa"/>
          <w:left w:w="0" w:type="dxa"/>
          <w:bottom w:w="0" w:type="dxa"/>
          <w:right w:w="0" w:type="dxa"/>
        </w:tblCellMar>
      </w:tblPr>
      <w:tblGrid>
        <w:gridCol w:w="3662"/>
        <w:gridCol w:w="2207"/>
        <w:gridCol w:w="2207"/>
        <w:gridCol w:w="2207"/>
      </w:tblGrid>
      <w:tr>
        <w:tblPrEx>
          <w:tblCellMar>
            <w:top w:w="0" w:type="dxa"/>
            <w:left w:w="0" w:type="dxa"/>
            <w:bottom w:w="0" w:type="dxa"/>
            <w:right w:w="0" w:type="dxa"/>
          </w:tblCellMar>
        </w:tblPrEx>
        <w:trPr>
          <w:cantSplit/>
          <w:tblHeader/>
          <w:jc w:val="center"/>
        </w:trPr>
        <w:tc>
          <w:tcPr>
            <w:tcW w:w="3662"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rPr>
                <w:rFonts w:ascii="Times New Roman" w:hAnsi="Times New Roman" w:cs="Times New Roman" w:eastAsiaTheme="minorEastAsia"/>
                <w:b/>
                <w:bCs/>
              </w:rPr>
            </w:pPr>
            <w:r>
              <w:rPr>
                <w:rFonts w:hint="eastAsia" w:ascii="Times New Roman" w:hAnsi="Times New Roman" w:eastAsia="宋体" w:cs="Times New Roman"/>
                <w:b/>
                <w:bCs/>
              </w:rPr>
              <w:t>胃肠消化道相关</w:t>
            </w:r>
            <w:r>
              <w:rPr>
                <w:rFonts w:ascii="Times New Roman" w:hAnsi="Times New Roman" w:eastAsia="宋体" w:cs="Times New Roman"/>
                <w:b/>
                <w:bCs/>
              </w:rPr>
              <w:t>不良事件</w:t>
            </w:r>
          </w:p>
        </w:tc>
        <w:tc>
          <w:tcPr>
            <w:tcW w:w="2207"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2207"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(N=729)</w:t>
            </w:r>
          </w:p>
        </w:tc>
        <w:tc>
          <w:tcPr>
            <w:tcW w:w="2207" w:type="dxa"/>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b/>
                <w:bCs/>
                <w:sz w:val="18"/>
                <w:szCs w:val="18"/>
              </w:rPr>
            </w:pPr>
            <w:r>
              <w:rPr>
                <w:rFonts w:ascii="Times New Roman" w:hAnsi="Times New Roman" w:eastAsia="宋体" w:cs="Times New Roman"/>
                <w:b/>
                <w:bCs/>
                <w:sz w:val="18"/>
                <w:szCs w:val="18"/>
              </w:rPr>
              <w:t>恶心呕吐</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31.9%</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32.4%</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0.8759</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2.1%</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2.3%</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0.8352</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1.5%</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0.5331</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2.1%</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0.6%</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0.1521</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b/>
                <w:bCs/>
                <w:sz w:val="18"/>
                <w:szCs w:val="18"/>
              </w:rPr>
            </w:pPr>
            <w:r>
              <w:rPr>
                <w:rFonts w:ascii="Times New Roman" w:hAnsi="Times New Roman" w:eastAsia="宋体" w:cs="Times New Roman"/>
                <w:b/>
                <w:bCs/>
                <w:sz w:val="18"/>
                <w:szCs w:val="18"/>
              </w:rPr>
              <w:t>腹泻</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1.6%</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1.6%</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0.9389</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0.3%</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0.5%</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0.4817</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0.3%</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0.9528</w:t>
            </w:r>
          </w:p>
        </w:tc>
      </w:tr>
      <w:tr>
        <w:tblPrEx>
          <w:tblCellMar>
            <w:top w:w="0" w:type="dxa"/>
            <w:left w:w="0" w:type="dxa"/>
            <w:bottom w:w="0" w:type="dxa"/>
            <w:right w:w="0" w:type="dxa"/>
          </w:tblCellMar>
        </w:tblPrEx>
        <w:trPr>
          <w:cantSplit/>
          <w:jc w:val="center"/>
        </w:trPr>
        <w:tc>
          <w:tcPr>
            <w:tcW w:w="3662" w:type="dxa"/>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b/>
                <w:bCs/>
                <w:sz w:val="18"/>
                <w:szCs w:val="18"/>
              </w:rPr>
            </w:pPr>
            <w:r>
              <w:rPr>
                <w:rFonts w:ascii="Times New Roman" w:hAnsi="Times New Roman" w:eastAsia="宋体" w:cs="Times New Roman"/>
                <w:b/>
                <w:bCs/>
                <w:sz w:val="18"/>
                <w:szCs w:val="18"/>
              </w:rPr>
              <w:t>反酸</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0.8%</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2.4%</w:t>
            </w:r>
          </w:p>
        </w:tc>
        <w:tc>
          <w:tcPr>
            <w:tcW w:w="2207" w:type="dxa"/>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0.0051</w:t>
            </w:r>
          </w:p>
        </w:tc>
      </w:tr>
      <w:tr>
        <w:tblPrEx>
          <w:tblCellMar>
            <w:top w:w="0" w:type="dxa"/>
            <w:left w:w="0" w:type="dxa"/>
            <w:bottom w:w="0" w:type="dxa"/>
            <w:right w:w="0" w:type="dxa"/>
          </w:tblCellMar>
        </w:tblPrEx>
        <w:trPr>
          <w:cantSplit/>
          <w:jc w:val="center"/>
        </w:trPr>
        <w:tc>
          <w:tcPr>
            <w:tcW w:w="3662" w:type="dxa"/>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b/>
                <w:bCs/>
                <w:sz w:val="18"/>
                <w:szCs w:val="18"/>
              </w:rPr>
            </w:pPr>
            <w:r>
              <w:rPr>
                <w:rFonts w:ascii="Times New Roman" w:hAnsi="Times New Roman" w:eastAsia="宋体" w:cs="Times New Roman"/>
                <w:b/>
                <w:bCs/>
                <w:sz w:val="18"/>
                <w:szCs w:val="18"/>
              </w:rPr>
              <w:t>食欲胃纳不佳</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20.9%</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17.6%</w:t>
            </w:r>
          </w:p>
        </w:tc>
        <w:tc>
          <w:tcPr>
            <w:tcW w:w="2207" w:type="dxa"/>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0.1841</w:t>
            </w:r>
          </w:p>
        </w:tc>
      </w:tr>
      <w:tr>
        <w:tblPrEx>
          <w:tblCellMar>
            <w:top w:w="0" w:type="dxa"/>
            <w:left w:w="0" w:type="dxa"/>
            <w:bottom w:w="0" w:type="dxa"/>
            <w:right w:w="0" w:type="dxa"/>
          </w:tblCellMar>
        </w:tblPrEx>
        <w:trPr>
          <w:cantSplit/>
          <w:jc w:val="center"/>
        </w:trPr>
        <w:tc>
          <w:tcPr>
            <w:tcW w:w="3662" w:type="dxa"/>
            <w:tcBorders>
              <w:top w:val="nil"/>
              <w:left w:val="nil"/>
              <w:bottom w:val="double" w:color="000000" w:sz="6" w:space="0"/>
              <w:right w:val="nil"/>
            </w:tcBorders>
            <w:shd w:val="clear" w:color="auto" w:fill="FFFFFF"/>
            <w:tcMar>
              <w:top w:w="0" w:type="dxa"/>
              <w:left w:w="20" w:type="dxa"/>
              <w:bottom w:w="0" w:type="dxa"/>
              <w:right w:w="20" w:type="dxa"/>
            </w:tcMar>
          </w:tcPr>
          <w:p>
            <w:pPr>
              <w:autoSpaceDE w:val="0"/>
              <w:autoSpaceDN w:val="0"/>
              <w:adjustRightInd w:val="0"/>
              <w:spacing w:before="20" w:after="20"/>
              <w:rPr>
                <w:rFonts w:ascii="Times New Roman" w:hAnsi="Times New Roman" w:cs="Times New Roman" w:eastAsiaTheme="minorEastAsia"/>
                <w:b/>
                <w:bCs/>
                <w:sz w:val="18"/>
                <w:szCs w:val="18"/>
              </w:rPr>
            </w:pPr>
            <w:r>
              <w:rPr>
                <w:rFonts w:ascii="Times New Roman" w:hAnsi="Times New Roman" w:eastAsia="宋体" w:cs="Times New Roman"/>
                <w:b/>
                <w:bCs/>
                <w:sz w:val="18"/>
                <w:szCs w:val="18"/>
              </w:rPr>
              <w:t>其他胃肠消化道反应</w:t>
            </w:r>
          </w:p>
        </w:tc>
        <w:tc>
          <w:tcPr>
            <w:tcW w:w="2207" w:type="dxa"/>
            <w:tcBorders>
              <w:top w:val="nil"/>
              <w:left w:val="nil"/>
              <w:bottom w:val="double" w:color="000000" w:sz="6" w:space="0"/>
              <w:right w:val="nil"/>
            </w:tcBorders>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28.4%</w:t>
            </w:r>
          </w:p>
        </w:tc>
        <w:tc>
          <w:tcPr>
            <w:tcW w:w="2207" w:type="dxa"/>
            <w:tcBorders>
              <w:top w:val="nil"/>
              <w:left w:val="nil"/>
              <w:bottom w:val="double" w:color="000000" w:sz="6" w:space="0"/>
              <w:right w:val="nil"/>
            </w:tcBorders>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24.0%</w:t>
            </w:r>
          </w:p>
        </w:tc>
        <w:tc>
          <w:tcPr>
            <w:tcW w:w="2207" w:type="dxa"/>
            <w:tcBorders>
              <w:top w:val="nil"/>
              <w:left w:val="nil"/>
              <w:bottom w:val="double" w:color="000000" w:sz="6" w:space="0"/>
              <w:right w:val="nil"/>
            </w:tcBorders>
            <w:shd w:val="clear" w:color="auto" w:fill="FFFFFF"/>
            <w:tcMar>
              <w:top w:w="0" w:type="dxa"/>
              <w:left w:w="20" w:type="dxa"/>
              <w:bottom w:w="0" w:type="dxa"/>
              <w:right w:w="20" w:type="dxa"/>
            </w:tcMa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0.1294</w:t>
            </w:r>
          </w:p>
        </w:tc>
      </w:tr>
    </w:tbl>
    <w:p>
      <w:pPr>
        <w:adjustRightInd w:val="0"/>
        <w:rPr>
          <w:rFonts w:ascii="Times New Roman" w:hAnsi="Times New Roman" w:cs="Times New Roman" w:eastAsiaTheme="minorEastAsia"/>
          <w:sz w:val="18"/>
          <w:szCs w:val="18"/>
        </w:rPr>
      </w:pPr>
    </w:p>
    <w:p>
      <w:pPr>
        <w:adjustRightInd w:val="0"/>
        <w:jc w:val="center"/>
        <w:rPr>
          <w:rFonts w:ascii="Times New Roman" w:hAnsi="Times New Roman" w:cs="Times New Roman"/>
          <w:b/>
          <w:bCs/>
          <w:color w:val="auto"/>
          <w:sz w:val="22"/>
          <w:szCs w:val="22"/>
        </w:rPr>
      </w:pPr>
      <w:r>
        <w:rPr>
          <w:rFonts w:ascii="Times New Roman" w:hAnsi="Times New Roman" w:eastAsia="宋体" w:cs="Times New Roman"/>
          <w:b/>
          <w:bCs/>
          <w:sz w:val="22"/>
          <w:szCs w:val="22"/>
          <w:shd w:val="clear" w:color="auto" w:fill="FFFFFF"/>
        </w:rPr>
        <w:t>表</w:t>
      </w:r>
      <w:r>
        <w:rPr>
          <w:rFonts w:ascii="Times New Roman" w:hAnsi="Times New Roman" w:cs="Times New Roman"/>
          <w:b/>
          <w:bCs/>
          <w:sz w:val="22"/>
          <w:szCs w:val="22"/>
          <w:shd w:val="clear" w:color="auto" w:fill="FFFFFF"/>
        </w:rPr>
        <w:t xml:space="preserve">4.3.5 </w:t>
      </w:r>
      <w:r>
        <w:rPr>
          <w:rFonts w:ascii="Times New Roman" w:hAnsi="Times New Roman" w:eastAsia="宋体" w:cs="Times New Roman"/>
          <w:b/>
          <w:bCs/>
          <w:sz w:val="22"/>
          <w:szCs w:val="22"/>
          <w:shd w:val="clear" w:color="auto" w:fill="FFFFFF"/>
        </w:rPr>
        <w:t>两组患者其他不良事件发生情况</w:t>
      </w:r>
    </w:p>
    <w:tbl>
      <w:tblPr>
        <w:tblStyle w:val="22"/>
        <w:tblW w:w="5000" w:type="pct"/>
        <w:jc w:val="center"/>
        <w:tblLayout w:type="autofit"/>
        <w:tblCellMar>
          <w:top w:w="0" w:type="dxa"/>
          <w:left w:w="0" w:type="dxa"/>
          <w:bottom w:w="0" w:type="dxa"/>
          <w:right w:w="0" w:type="dxa"/>
        </w:tblCellMar>
      </w:tblPr>
      <w:tblGrid>
        <w:gridCol w:w="3742"/>
        <w:gridCol w:w="2233"/>
        <w:gridCol w:w="21"/>
        <w:gridCol w:w="2254"/>
        <w:gridCol w:w="2196"/>
        <w:gridCol w:w="59"/>
      </w:tblGrid>
      <w:tr>
        <w:tblPrEx>
          <w:tblCellMar>
            <w:top w:w="0" w:type="dxa"/>
            <w:left w:w="0" w:type="dxa"/>
            <w:bottom w:w="0" w:type="dxa"/>
            <w:right w:w="0" w:type="dxa"/>
          </w:tblCellMar>
        </w:tblPrEx>
        <w:trPr>
          <w:cantSplit/>
          <w:tblHeader/>
          <w:jc w:val="center"/>
        </w:trPr>
        <w:tc>
          <w:tcPr>
            <w:tcW w:w="1781"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rPr>
                <w:rFonts w:ascii="Times New Roman" w:hAnsi="Times New Roman" w:cs="Times New Roman" w:eastAsiaTheme="minorEastAsia"/>
                <w:b/>
                <w:bCs/>
              </w:rPr>
            </w:pPr>
            <w:r>
              <w:rPr>
                <w:rFonts w:ascii="Times New Roman" w:hAnsi="Times New Roman" w:eastAsia="宋体" w:cs="Times New Roman"/>
                <w:b/>
                <w:bCs/>
              </w:rPr>
              <w:t>其他不良事件</w:t>
            </w:r>
          </w:p>
        </w:tc>
        <w:tc>
          <w:tcPr>
            <w:tcW w:w="1073" w:type="pct"/>
            <w:gridSpan w:val="2"/>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参芪扶正组</w:t>
            </w:r>
            <w:r>
              <w:rPr>
                <w:rFonts w:ascii="Times New Roman" w:hAnsi="Times New Roman" w:cs="Times New Roman"/>
                <w:b/>
                <w:bCs/>
              </w:rPr>
              <w:br w:type="textWrapping"/>
            </w:r>
            <w:r>
              <w:rPr>
                <w:rFonts w:ascii="Times New Roman" w:hAnsi="Times New Roman" w:cs="Times New Roman"/>
                <w:b/>
                <w:bCs/>
              </w:rPr>
              <w:t>(N=399)</w:t>
            </w:r>
          </w:p>
        </w:tc>
        <w:tc>
          <w:tcPr>
            <w:tcW w:w="1073"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eastAsia="宋体" w:cs="Times New Roman"/>
                <w:b/>
                <w:bCs/>
              </w:rPr>
              <w:t>对照组</w:t>
            </w:r>
            <w:r>
              <w:rPr>
                <w:rFonts w:ascii="Times New Roman" w:hAnsi="Times New Roman" w:cs="Times New Roman"/>
                <w:b/>
                <w:bCs/>
              </w:rPr>
              <w:br w:type="textWrapping"/>
            </w:r>
            <w:r>
              <w:rPr>
                <w:rFonts w:ascii="Times New Roman" w:hAnsi="Times New Roman" w:cs="Times New Roman"/>
                <w:b/>
                <w:bCs/>
              </w:rPr>
              <w:t>(N=729)</w:t>
            </w:r>
          </w:p>
        </w:tc>
        <w:tc>
          <w:tcPr>
            <w:tcW w:w="1073" w:type="pct"/>
            <w:gridSpan w:val="2"/>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b/>
                <w:bCs/>
              </w:rPr>
            </w:pPr>
            <w:r>
              <w:rPr>
                <w:rFonts w:ascii="Times New Roman" w:hAnsi="Times New Roman" w:cs="Times New Roman"/>
                <w:b/>
                <w:bCs/>
              </w:rPr>
              <w:t>P</w:t>
            </w:r>
            <w:r>
              <w:rPr>
                <w:rFonts w:ascii="Times New Roman" w:hAnsi="Times New Roman" w:eastAsia="宋体" w:cs="Times New Roman"/>
                <w:b/>
                <w:bCs/>
              </w:rPr>
              <w:t>值</w:t>
            </w:r>
          </w:p>
        </w:tc>
      </w:tr>
      <w:tr>
        <w:tblPrEx>
          <w:tblCellMar>
            <w:top w:w="0" w:type="dxa"/>
            <w:left w:w="0" w:type="dxa"/>
            <w:bottom w:w="0" w:type="dxa"/>
            <w:right w:w="0" w:type="dxa"/>
          </w:tblCellMar>
        </w:tblPrEx>
        <w:trPr>
          <w:cantSplit/>
          <w:jc w:val="center"/>
        </w:trPr>
        <w:tc>
          <w:tcPr>
            <w:tcW w:w="1781" w:type="pct"/>
            <w:shd w:val="clear" w:color="auto" w:fill="F0F0F0"/>
            <w:tcMar>
              <w:top w:w="0" w:type="dxa"/>
              <w:left w:w="20" w:type="dxa"/>
              <w:bottom w:w="0" w:type="dxa"/>
              <w:right w:w="20" w:type="dxa"/>
            </w:tcMar>
            <w:vAlign w:val="center"/>
          </w:tcPr>
          <w:p>
            <w:pPr>
              <w:autoSpaceDE w:val="0"/>
              <w:autoSpaceDN w:val="0"/>
              <w:adjustRightInd w:val="0"/>
              <w:spacing w:before="20" w:after="20"/>
              <w:rPr>
                <w:rFonts w:ascii="Times New Roman" w:hAnsi="Times New Roman" w:cs="Times New Roman" w:eastAsiaTheme="minorEastAsia"/>
                <w:b/>
                <w:sz w:val="18"/>
                <w:szCs w:val="18"/>
              </w:rPr>
            </w:pPr>
            <w:r>
              <w:rPr>
                <w:rFonts w:ascii="Times New Roman" w:hAnsi="Times New Roman" w:eastAsia="宋体" w:cs="Times New Roman"/>
                <w:b/>
                <w:sz w:val="18"/>
                <w:szCs w:val="18"/>
              </w:rPr>
              <w:t>心功能异常</w:t>
            </w:r>
          </w:p>
        </w:tc>
        <w:tc>
          <w:tcPr>
            <w:tcW w:w="1073" w:type="pct"/>
            <w:gridSpan w:val="2"/>
            <w:shd w:val="clear" w:color="auto" w:fill="F0F0F0"/>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41.0%</w:t>
            </w:r>
          </w:p>
        </w:tc>
        <w:tc>
          <w:tcPr>
            <w:tcW w:w="1073" w:type="pct"/>
            <w:shd w:val="clear" w:color="auto" w:fill="F0F0F0"/>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36.9%</w:t>
            </w:r>
          </w:p>
        </w:tc>
        <w:tc>
          <w:tcPr>
            <w:tcW w:w="1073" w:type="pct"/>
            <w:gridSpan w:val="2"/>
            <w:shd w:val="clear" w:color="auto" w:fill="F0F0F0"/>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0.1822</w:t>
            </w:r>
          </w:p>
        </w:tc>
      </w:tr>
      <w:tr>
        <w:tblPrEx>
          <w:tblCellMar>
            <w:top w:w="0" w:type="dxa"/>
            <w:left w:w="0" w:type="dxa"/>
            <w:bottom w:w="0" w:type="dxa"/>
            <w:right w:w="0" w:type="dxa"/>
          </w:tblCellMar>
        </w:tblPrEx>
        <w:trPr>
          <w:cantSplit/>
          <w:jc w:val="center"/>
        </w:trPr>
        <w:tc>
          <w:tcPr>
            <w:tcW w:w="1781" w:type="pct"/>
            <w:shd w:val="clear" w:color="auto" w:fill="FFFFFF"/>
            <w:tcMar>
              <w:top w:w="0" w:type="dxa"/>
              <w:left w:w="20" w:type="dxa"/>
              <w:bottom w:w="0" w:type="dxa"/>
              <w:right w:w="20" w:type="dxa"/>
            </w:tcMar>
            <w:vAlign w:val="cente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1073" w:type="pct"/>
            <w:gridSpan w:val="2"/>
            <w:shd w:val="clear" w:color="auto" w:fill="FFFFFF"/>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0.3%</w:t>
            </w:r>
          </w:p>
        </w:tc>
        <w:tc>
          <w:tcPr>
            <w:tcW w:w="1073" w:type="pct"/>
            <w:shd w:val="clear" w:color="auto" w:fill="FFFFFF"/>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0.4%</w:t>
            </w:r>
          </w:p>
        </w:tc>
        <w:tc>
          <w:tcPr>
            <w:tcW w:w="1073" w:type="pct"/>
            <w:gridSpan w:val="2"/>
            <w:shd w:val="clear" w:color="auto" w:fill="FFFFFF"/>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0.9209</w:t>
            </w:r>
          </w:p>
        </w:tc>
      </w:tr>
      <w:tr>
        <w:tblPrEx>
          <w:tblCellMar>
            <w:top w:w="0" w:type="dxa"/>
            <w:left w:w="0" w:type="dxa"/>
            <w:bottom w:w="0" w:type="dxa"/>
            <w:right w:w="0" w:type="dxa"/>
          </w:tblCellMar>
        </w:tblPrEx>
        <w:trPr>
          <w:cantSplit/>
          <w:jc w:val="center"/>
        </w:trPr>
        <w:tc>
          <w:tcPr>
            <w:tcW w:w="1781" w:type="pct"/>
            <w:shd w:val="clear" w:color="auto" w:fill="F1F1F1" w:themeFill="background1" w:themeFillShade="F2"/>
            <w:tcMar>
              <w:top w:w="0" w:type="dxa"/>
              <w:left w:w="20" w:type="dxa"/>
              <w:bottom w:w="0" w:type="dxa"/>
              <w:right w:w="20" w:type="dxa"/>
            </w:tcMar>
            <w:vAlign w:val="center"/>
          </w:tcPr>
          <w:p>
            <w:pPr>
              <w:autoSpaceDE w:val="0"/>
              <w:autoSpaceDN w:val="0"/>
              <w:adjustRightInd w:val="0"/>
              <w:spacing w:before="20" w:after="20"/>
              <w:rPr>
                <w:rFonts w:ascii="Times New Roman" w:hAnsi="Times New Roman" w:eastAsia="宋体" w:cs="Times New Roman"/>
                <w:sz w:val="18"/>
                <w:szCs w:val="18"/>
              </w:rPr>
            </w:pPr>
            <w:r>
              <w:rPr>
                <w:rFonts w:ascii="Times New Roman" w:hAnsi="Times New Roman" w:cs="Times New Roman"/>
                <w:sz w:val="18"/>
                <w:szCs w:val="18"/>
              </w:rPr>
              <w:t xml:space="preserve"> </w:t>
            </w:r>
            <w:r>
              <w:rPr>
                <w:rFonts w:ascii="Times New Roman" w:hAnsi="Times New Roman" w:eastAsia="宋体" w:cs="Times New Roman"/>
                <w:sz w:val="18"/>
                <w:szCs w:val="18"/>
              </w:rPr>
              <w:t xml:space="preserve"> 心悸</w:t>
            </w:r>
          </w:p>
        </w:tc>
        <w:tc>
          <w:tcPr>
            <w:tcW w:w="1073" w:type="pct"/>
            <w:gridSpan w:val="2"/>
            <w:shd w:val="clear" w:color="auto" w:fill="F1F1F1" w:themeFill="background1" w:themeFillShade="F2"/>
            <w:tcMar>
              <w:top w:w="0" w:type="dxa"/>
              <w:left w:w="20" w:type="dxa"/>
              <w:bottom w:w="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12.3%</w:t>
            </w:r>
          </w:p>
        </w:tc>
        <w:tc>
          <w:tcPr>
            <w:tcW w:w="1073" w:type="pct"/>
            <w:shd w:val="clear" w:color="auto" w:fill="F1F1F1" w:themeFill="background1" w:themeFillShade="F2"/>
            <w:tcMar>
              <w:top w:w="0" w:type="dxa"/>
              <w:left w:w="20" w:type="dxa"/>
              <w:bottom w:w="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9.7%</w:t>
            </w:r>
          </w:p>
        </w:tc>
        <w:tc>
          <w:tcPr>
            <w:tcW w:w="1073" w:type="pct"/>
            <w:gridSpan w:val="2"/>
            <w:shd w:val="clear" w:color="auto" w:fill="F1F1F1" w:themeFill="background1" w:themeFillShade="F2"/>
            <w:tcMar>
              <w:top w:w="0" w:type="dxa"/>
              <w:left w:w="20" w:type="dxa"/>
              <w:bottom w:w="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0.7304</w:t>
            </w:r>
          </w:p>
        </w:tc>
      </w:tr>
      <w:tr>
        <w:tblPrEx>
          <w:tblCellMar>
            <w:top w:w="0" w:type="dxa"/>
            <w:left w:w="0" w:type="dxa"/>
            <w:bottom w:w="0" w:type="dxa"/>
            <w:right w:w="0" w:type="dxa"/>
          </w:tblCellMar>
        </w:tblPrEx>
        <w:trPr>
          <w:cantSplit/>
          <w:jc w:val="center"/>
        </w:trPr>
        <w:tc>
          <w:tcPr>
            <w:tcW w:w="1781" w:type="pct"/>
            <w:shd w:val="clear" w:color="auto" w:fill="auto"/>
            <w:tcMar>
              <w:top w:w="0" w:type="dxa"/>
              <w:left w:w="20" w:type="dxa"/>
              <w:bottom w:w="0" w:type="dxa"/>
              <w:right w:w="20" w:type="dxa"/>
            </w:tcMar>
            <w:vAlign w:val="center"/>
          </w:tcPr>
          <w:p>
            <w:pPr>
              <w:autoSpaceDE w:val="0"/>
              <w:autoSpaceDN w:val="0"/>
              <w:adjustRightInd w:val="0"/>
              <w:spacing w:before="20" w:after="20"/>
              <w:rPr>
                <w:rFonts w:ascii="Times New Roman" w:hAnsi="Times New Roman" w:cs="Times New Roman" w:eastAsiaTheme="minorEastAsia"/>
                <w:b/>
                <w:sz w:val="18"/>
                <w:szCs w:val="18"/>
              </w:rPr>
            </w:pPr>
            <w:r>
              <w:rPr>
                <w:rFonts w:ascii="Times New Roman" w:hAnsi="Times New Roman" w:eastAsia="宋体" w:cs="Times New Roman"/>
                <w:b/>
                <w:sz w:val="18"/>
                <w:szCs w:val="18"/>
              </w:rPr>
              <w:t>胸腔积液</w:t>
            </w:r>
          </w:p>
        </w:tc>
        <w:tc>
          <w:tcPr>
            <w:tcW w:w="1073" w:type="pct"/>
            <w:gridSpan w:val="2"/>
            <w:shd w:val="clear" w:color="auto" w:fill="auto"/>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4.1%</w:t>
            </w:r>
          </w:p>
        </w:tc>
        <w:tc>
          <w:tcPr>
            <w:tcW w:w="1073" w:type="pct"/>
            <w:shd w:val="clear" w:color="auto" w:fill="auto"/>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2.2%</w:t>
            </w:r>
          </w:p>
        </w:tc>
        <w:tc>
          <w:tcPr>
            <w:tcW w:w="1073" w:type="pct"/>
            <w:gridSpan w:val="2"/>
            <w:shd w:val="clear" w:color="auto" w:fill="auto"/>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0.1242</w:t>
            </w:r>
          </w:p>
        </w:tc>
      </w:tr>
      <w:tr>
        <w:tblPrEx>
          <w:tblCellMar>
            <w:top w:w="0" w:type="dxa"/>
            <w:left w:w="0" w:type="dxa"/>
            <w:bottom w:w="0" w:type="dxa"/>
            <w:right w:w="0" w:type="dxa"/>
          </w:tblCellMar>
        </w:tblPrEx>
        <w:trPr>
          <w:cantSplit/>
          <w:jc w:val="center"/>
        </w:trPr>
        <w:tc>
          <w:tcPr>
            <w:tcW w:w="1781" w:type="pct"/>
            <w:shd w:val="clear" w:color="auto" w:fill="F0F0F0"/>
            <w:tcMar>
              <w:top w:w="0" w:type="dxa"/>
              <w:left w:w="20" w:type="dxa"/>
              <w:bottom w:w="0" w:type="dxa"/>
              <w:right w:w="20" w:type="dxa"/>
            </w:tcMar>
            <w:vAlign w:val="center"/>
          </w:tcPr>
          <w:p>
            <w:pPr>
              <w:adjustRightInd w:val="0"/>
              <w:spacing w:before="20" w:after="20"/>
              <w:rPr>
                <w:rFonts w:ascii="Times New Roman" w:hAnsi="Times New Roman" w:cs="Times New Roman"/>
                <w:b/>
                <w:bCs/>
                <w:sz w:val="18"/>
                <w:szCs w:val="18"/>
              </w:rPr>
            </w:pPr>
            <w:r>
              <w:rPr>
                <w:rFonts w:hint="eastAsia" w:ascii="宋体" w:hAnsi="宋体" w:eastAsia="宋体" w:cs="宋体"/>
                <w:b/>
                <w:bCs/>
                <w:sz w:val="18"/>
                <w:szCs w:val="18"/>
              </w:rPr>
              <w:t>憋气</w:t>
            </w:r>
          </w:p>
        </w:tc>
        <w:tc>
          <w:tcPr>
            <w:tcW w:w="1073" w:type="pct"/>
            <w:gridSpan w:val="2"/>
            <w:shd w:val="clear" w:color="auto" w:fill="F0F0F0"/>
            <w:tcMar>
              <w:top w:w="0" w:type="dxa"/>
              <w:left w:w="20" w:type="dxa"/>
              <w:bottom w:w="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w:t>
            </w:r>
          </w:p>
        </w:tc>
        <w:tc>
          <w:tcPr>
            <w:tcW w:w="1073" w:type="pct"/>
            <w:shd w:val="clear" w:color="auto" w:fill="F0F0F0"/>
            <w:tcMar>
              <w:top w:w="0" w:type="dxa"/>
              <w:left w:w="20" w:type="dxa"/>
              <w:bottom w:w="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0.9%</w:t>
            </w:r>
          </w:p>
        </w:tc>
        <w:tc>
          <w:tcPr>
            <w:tcW w:w="1073" w:type="pct"/>
            <w:gridSpan w:val="2"/>
            <w:shd w:val="clear" w:color="auto" w:fill="F0F0F0"/>
            <w:tcMar>
              <w:top w:w="0" w:type="dxa"/>
              <w:left w:w="20" w:type="dxa"/>
              <w:bottom w:w="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0.3489</w:t>
            </w:r>
          </w:p>
        </w:tc>
      </w:tr>
      <w:tr>
        <w:tblPrEx>
          <w:tblCellMar>
            <w:top w:w="0" w:type="dxa"/>
            <w:left w:w="0" w:type="dxa"/>
            <w:bottom w:w="0" w:type="dxa"/>
            <w:right w:w="0" w:type="dxa"/>
          </w:tblCellMar>
        </w:tblPrEx>
        <w:trPr>
          <w:cantSplit/>
          <w:jc w:val="center"/>
        </w:trPr>
        <w:tc>
          <w:tcPr>
            <w:tcW w:w="1781" w:type="pct"/>
            <w:shd w:val="clear" w:color="auto" w:fill="FFFFFF"/>
            <w:tcMar>
              <w:top w:w="0" w:type="dxa"/>
              <w:left w:w="20" w:type="dxa"/>
              <w:bottom w:w="0" w:type="dxa"/>
              <w:right w:w="20" w:type="dxa"/>
            </w:tcMar>
            <w:vAlign w:val="center"/>
          </w:tcPr>
          <w:p>
            <w:pPr>
              <w:autoSpaceDE w:val="0"/>
              <w:autoSpaceDN w:val="0"/>
              <w:adjustRightInd w:val="0"/>
              <w:spacing w:before="20" w:after="20"/>
              <w:rPr>
                <w:rFonts w:ascii="Times New Roman" w:hAnsi="Times New Roman" w:cs="Times New Roman" w:eastAsiaTheme="minorEastAsia"/>
                <w:b/>
                <w:sz w:val="18"/>
                <w:szCs w:val="18"/>
              </w:rPr>
            </w:pPr>
            <w:r>
              <w:rPr>
                <w:rFonts w:ascii="Times New Roman" w:hAnsi="Times New Roman" w:eastAsia="宋体" w:cs="Times New Roman"/>
                <w:b/>
                <w:sz w:val="18"/>
                <w:szCs w:val="18"/>
              </w:rPr>
              <w:t>神经毒性</w:t>
            </w:r>
          </w:p>
        </w:tc>
        <w:tc>
          <w:tcPr>
            <w:tcW w:w="1073" w:type="pct"/>
            <w:gridSpan w:val="2"/>
            <w:shd w:val="clear" w:color="auto" w:fill="FFFFFF"/>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1073" w:type="pct"/>
            <w:shd w:val="clear" w:color="auto" w:fill="FFFFFF"/>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w:t>
            </w:r>
          </w:p>
        </w:tc>
        <w:tc>
          <w:tcPr>
            <w:tcW w:w="1073" w:type="pct"/>
            <w:gridSpan w:val="2"/>
            <w:shd w:val="clear" w:color="auto" w:fill="FFFFFF"/>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0.9503</w:t>
            </w:r>
          </w:p>
        </w:tc>
      </w:tr>
      <w:tr>
        <w:tblPrEx>
          <w:tblCellMar>
            <w:top w:w="0" w:type="dxa"/>
            <w:left w:w="0" w:type="dxa"/>
            <w:bottom w:w="0" w:type="dxa"/>
            <w:right w:w="0" w:type="dxa"/>
          </w:tblCellMar>
        </w:tblPrEx>
        <w:trPr>
          <w:cantSplit/>
          <w:jc w:val="center"/>
        </w:trPr>
        <w:tc>
          <w:tcPr>
            <w:tcW w:w="1781" w:type="pct"/>
            <w:shd w:val="clear" w:color="auto" w:fill="F0F0F0"/>
            <w:tcMar>
              <w:top w:w="0" w:type="dxa"/>
              <w:left w:w="20" w:type="dxa"/>
              <w:bottom w:w="0" w:type="dxa"/>
              <w:right w:w="20" w:type="dxa"/>
            </w:tcMar>
            <w:vAlign w:val="center"/>
          </w:tcPr>
          <w:p>
            <w:pPr>
              <w:autoSpaceDE w:val="0"/>
              <w:autoSpaceDN w:val="0"/>
              <w:adjustRightInd w:val="0"/>
              <w:spacing w:before="20" w:after="20"/>
              <w:rPr>
                <w:rFonts w:ascii="Times New Roman" w:hAnsi="Times New Roman" w:cs="Times New Roman" w:eastAsiaTheme="minorEastAsia"/>
                <w:b/>
                <w:sz w:val="18"/>
                <w:szCs w:val="18"/>
              </w:rPr>
            </w:pPr>
            <w:r>
              <w:rPr>
                <w:rFonts w:ascii="Times New Roman" w:hAnsi="Times New Roman" w:eastAsia="宋体" w:cs="Times New Roman"/>
                <w:b/>
                <w:sz w:val="18"/>
                <w:szCs w:val="18"/>
              </w:rPr>
              <w:t>发热</w:t>
            </w:r>
          </w:p>
        </w:tc>
        <w:tc>
          <w:tcPr>
            <w:tcW w:w="1073" w:type="pct"/>
            <w:gridSpan w:val="2"/>
            <w:shd w:val="clear" w:color="auto" w:fill="F0F0F0"/>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11.6%</w:t>
            </w:r>
          </w:p>
        </w:tc>
        <w:tc>
          <w:tcPr>
            <w:tcW w:w="1073" w:type="pct"/>
            <w:shd w:val="clear" w:color="auto" w:fill="F0F0F0"/>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8.4%</w:t>
            </w:r>
          </w:p>
        </w:tc>
        <w:tc>
          <w:tcPr>
            <w:tcW w:w="1073" w:type="pct"/>
            <w:gridSpan w:val="2"/>
            <w:shd w:val="clear" w:color="auto" w:fill="F0F0F0"/>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0.0750</w:t>
            </w:r>
          </w:p>
        </w:tc>
      </w:tr>
      <w:tr>
        <w:tblPrEx>
          <w:tblCellMar>
            <w:top w:w="0" w:type="dxa"/>
            <w:left w:w="0" w:type="dxa"/>
            <w:bottom w:w="0" w:type="dxa"/>
            <w:right w:w="0" w:type="dxa"/>
          </w:tblCellMar>
        </w:tblPrEx>
        <w:trPr>
          <w:cantSplit/>
          <w:jc w:val="center"/>
        </w:trPr>
        <w:tc>
          <w:tcPr>
            <w:tcW w:w="1781" w:type="pct"/>
            <w:shd w:val="clear" w:color="auto" w:fill="FFFFFF"/>
            <w:tcMar>
              <w:top w:w="0" w:type="dxa"/>
              <w:left w:w="20" w:type="dxa"/>
              <w:bottom w:w="0" w:type="dxa"/>
              <w:right w:w="20" w:type="dxa"/>
            </w:tcMar>
            <w:vAlign w:val="cente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1</w:t>
            </w:r>
            <w:r>
              <w:rPr>
                <w:rFonts w:ascii="Times New Roman" w:hAnsi="Times New Roman" w:eastAsia="宋体" w:cs="Times New Roman"/>
                <w:sz w:val="18"/>
                <w:szCs w:val="18"/>
              </w:rPr>
              <w:t>级</w:t>
            </w:r>
          </w:p>
        </w:tc>
        <w:tc>
          <w:tcPr>
            <w:tcW w:w="1073" w:type="pct"/>
            <w:gridSpan w:val="2"/>
            <w:shd w:val="clear" w:color="auto" w:fill="FFFFFF"/>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2.5%</w:t>
            </w:r>
          </w:p>
        </w:tc>
        <w:tc>
          <w:tcPr>
            <w:tcW w:w="1073" w:type="pct"/>
            <w:shd w:val="clear" w:color="auto" w:fill="FFFFFF"/>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1.2%</w:t>
            </w:r>
          </w:p>
        </w:tc>
        <w:tc>
          <w:tcPr>
            <w:tcW w:w="1073" w:type="pct"/>
            <w:gridSpan w:val="2"/>
            <w:shd w:val="clear" w:color="auto" w:fill="FFFFFF"/>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0.0149</w:t>
            </w:r>
          </w:p>
        </w:tc>
      </w:tr>
      <w:tr>
        <w:tblPrEx>
          <w:tblCellMar>
            <w:top w:w="0" w:type="dxa"/>
            <w:left w:w="0" w:type="dxa"/>
            <w:bottom w:w="0" w:type="dxa"/>
            <w:right w:w="0" w:type="dxa"/>
          </w:tblCellMar>
        </w:tblPrEx>
        <w:trPr>
          <w:cantSplit/>
          <w:jc w:val="center"/>
        </w:trPr>
        <w:tc>
          <w:tcPr>
            <w:tcW w:w="1781" w:type="pct"/>
            <w:shd w:val="clear" w:color="auto" w:fill="F0F0F0"/>
            <w:tcMar>
              <w:top w:w="0" w:type="dxa"/>
              <w:left w:w="20" w:type="dxa"/>
              <w:bottom w:w="0" w:type="dxa"/>
              <w:right w:w="20" w:type="dxa"/>
            </w:tcMar>
            <w:vAlign w:val="cente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2</w:t>
            </w:r>
            <w:r>
              <w:rPr>
                <w:rFonts w:ascii="Times New Roman" w:hAnsi="Times New Roman" w:eastAsia="宋体" w:cs="Times New Roman"/>
                <w:sz w:val="18"/>
                <w:szCs w:val="18"/>
              </w:rPr>
              <w:t>级</w:t>
            </w:r>
          </w:p>
        </w:tc>
        <w:tc>
          <w:tcPr>
            <w:tcW w:w="1073" w:type="pct"/>
            <w:gridSpan w:val="2"/>
            <w:shd w:val="clear" w:color="auto" w:fill="F0F0F0"/>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2.5%</w:t>
            </w:r>
          </w:p>
        </w:tc>
        <w:tc>
          <w:tcPr>
            <w:tcW w:w="1073" w:type="pct"/>
            <w:shd w:val="clear" w:color="auto" w:fill="F0F0F0"/>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5.5%</w:t>
            </w:r>
          </w:p>
        </w:tc>
        <w:tc>
          <w:tcPr>
            <w:tcW w:w="1073" w:type="pct"/>
            <w:gridSpan w:val="2"/>
            <w:shd w:val="clear" w:color="auto" w:fill="F0F0F0"/>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0.1636</w:t>
            </w:r>
          </w:p>
        </w:tc>
      </w:tr>
      <w:tr>
        <w:tblPrEx>
          <w:tblCellMar>
            <w:top w:w="0" w:type="dxa"/>
            <w:left w:w="0" w:type="dxa"/>
            <w:bottom w:w="0" w:type="dxa"/>
            <w:right w:w="0" w:type="dxa"/>
          </w:tblCellMar>
        </w:tblPrEx>
        <w:trPr>
          <w:cantSplit/>
          <w:jc w:val="center"/>
        </w:trPr>
        <w:tc>
          <w:tcPr>
            <w:tcW w:w="1781" w:type="pct"/>
            <w:shd w:val="clear" w:color="auto" w:fill="FFFFFF"/>
            <w:tcMar>
              <w:top w:w="0" w:type="dxa"/>
              <w:left w:w="20" w:type="dxa"/>
              <w:bottom w:w="0" w:type="dxa"/>
              <w:right w:w="20" w:type="dxa"/>
            </w:tcMar>
            <w:vAlign w:val="cente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3</w:t>
            </w:r>
            <w:r>
              <w:rPr>
                <w:rFonts w:ascii="Times New Roman" w:hAnsi="Times New Roman" w:eastAsia="宋体" w:cs="Times New Roman"/>
                <w:sz w:val="18"/>
                <w:szCs w:val="18"/>
              </w:rPr>
              <w:t>级</w:t>
            </w:r>
          </w:p>
        </w:tc>
        <w:tc>
          <w:tcPr>
            <w:tcW w:w="1073" w:type="pct"/>
            <w:gridSpan w:val="2"/>
            <w:shd w:val="clear" w:color="auto" w:fill="FFFFFF"/>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0.3%</w:t>
            </w:r>
          </w:p>
        </w:tc>
        <w:tc>
          <w:tcPr>
            <w:tcW w:w="1073" w:type="pct"/>
            <w:shd w:val="clear" w:color="auto" w:fill="FFFFFF"/>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1073" w:type="pct"/>
            <w:gridSpan w:val="2"/>
            <w:shd w:val="clear" w:color="auto" w:fill="FFFFFF"/>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0.9523</w:t>
            </w:r>
          </w:p>
        </w:tc>
      </w:tr>
      <w:tr>
        <w:tblPrEx>
          <w:tblCellMar>
            <w:top w:w="0" w:type="dxa"/>
            <w:left w:w="0" w:type="dxa"/>
            <w:bottom w:w="0" w:type="dxa"/>
            <w:right w:w="0" w:type="dxa"/>
          </w:tblCellMar>
        </w:tblPrEx>
        <w:trPr>
          <w:cantSplit/>
          <w:jc w:val="center"/>
        </w:trPr>
        <w:tc>
          <w:tcPr>
            <w:tcW w:w="1781" w:type="pct"/>
            <w:shd w:val="clear" w:color="auto" w:fill="F0F0F0"/>
            <w:tcMar>
              <w:top w:w="0" w:type="dxa"/>
              <w:left w:w="20" w:type="dxa"/>
              <w:bottom w:w="0" w:type="dxa"/>
              <w:right w:w="20" w:type="dxa"/>
            </w:tcMar>
            <w:vAlign w:val="center"/>
          </w:tcPr>
          <w:p>
            <w:pPr>
              <w:autoSpaceDE w:val="0"/>
              <w:autoSpaceDN w:val="0"/>
              <w:adjustRightInd w:val="0"/>
              <w:spacing w:before="20" w:after="20"/>
              <w:rPr>
                <w:rFonts w:ascii="Times New Roman" w:hAnsi="Times New Roman" w:cs="Times New Roman" w:eastAsiaTheme="minorEastAsia"/>
                <w:sz w:val="18"/>
                <w:szCs w:val="18"/>
              </w:rPr>
            </w:pPr>
            <w:r>
              <w:rPr>
                <w:rFonts w:ascii="Times New Roman" w:hAnsi="Times New Roman" w:cs="Times New Roman"/>
                <w:sz w:val="18"/>
                <w:szCs w:val="18"/>
              </w:rPr>
              <w:t xml:space="preserve">  4</w:t>
            </w:r>
            <w:r>
              <w:rPr>
                <w:rFonts w:ascii="Times New Roman" w:hAnsi="Times New Roman" w:eastAsia="宋体" w:cs="Times New Roman"/>
                <w:sz w:val="18"/>
                <w:szCs w:val="18"/>
              </w:rPr>
              <w:t>级</w:t>
            </w:r>
          </w:p>
        </w:tc>
        <w:tc>
          <w:tcPr>
            <w:tcW w:w="1073" w:type="pct"/>
            <w:gridSpan w:val="2"/>
            <w:shd w:val="clear" w:color="auto" w:fill="F0F0F0"/>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1073" w:type="pct"/>
            <w:shd w:val="clear" w:color="auto" w:fill="F0F0F0"/>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w:t>
            </w:r>
          </w:p>
        </w:tc>
        <w:tc>
          <w:tcPr>
            <w:tcW w:w="1073" w:type="pct"/>
            <w:gridSpan w:val="2"/>
            <w:shd w:val="clear" w:color="auto" w:fill="F0F0F0"/>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0.9503</w:t>
            </w:r>
          </w:p>
        </w:tc>
      </w:tr>
      <w:tr>
        <w:tblPrEx>
          <w:tblCellMar>
            <w:top w:w="0" w:type="dxa"/>
            <w:left w:w="0" w:type="dxa"/>
            <w:bottom w:w="0" w:type="dxa"/>
            <w:right w:w="0" w:type="dxa"/>
          </w:tblCellMar>
        </w:tblPrEx>
        <w:trPr>
          <w:cantSplit/>
          <w:jc w:val="center"/>
        </w:trPr>
        <w:tc>
          <w:tcPr>
            <w:tcW w:w="1781" w:type="pct"/>
            <w:shd w:val="clear" w:color="auto" w:fill="auto"/>
            <w:tcMar>
              <w:top w:w="0" w:type="dxa"/>
              <w:left w:w="20" w:type="dxa"/>
              <w:bottom w:w="0" w:type="dxa"/>
              <w:right w:w="20" w:type="dxa"/>
            </w:tcMar>
            <w:vAlign w:val="center"/>
          </w:tcPr>
          <w:p>
            <w:pPr>
              <w:adjustRightInd w:val="0"/>
              <w:spacing w:before="20" w:after="20"/>
              <w:rPr>
                <w:rFonts w:ascii="Times New Roman" w:hAnsi="Times New Roman" w:cs="Times New Roman"/>
                <w:b/>
                <w:bCs/>
                <w:sz w:val="18"/>
                <w:szCs w:val="18"/>
              </w:rPr>
            </w:pPr>
            <w:r>
              <w:rPr>
                <w:rFonts w:hint="eastAsia" w:ascii="宋体" w:hAnsi="宋体" w:eastAsia="宋体" w:cs="宋体"/>
                <w:b/>
                <w:bCs/>
                <w:sz w:val="18"/>
                <w:szCs w:val="18"/>
              </w:rPr>
              <w:t>寒战</w:t>
            </w:r>
          </w:p>
        </w:tc>
        <w:tc>
          <w:tcPr>
            <w:tcW w:w="1073" w:type="pct"/>
            <w:gridSpan w:val="2"/>
            <w:shd w:val="clear" w:color="auto" w:fill="auto"/>
            <w:tcMar>
              <w:top w:w="0" w:type="dxa"/>
              <w:left w:w="20" w:type="dxa"/>
              <w:bottom w:w="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w:t>
            </w:r>
          </w:p>
        </w:tc>
        <w:tc>
          <w:tcPr>
            <w:tcW w:w="1073" w:type="pct"/>
            <w:shd w:val="clear" w:color="auto" w:fill="auto"/>
            <w:tcMar>
              <w:top w:w="0" w:type="dxa"/>
              <w:left w:w="20" w:type="dxa"/>
              <w:bottom w:w="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0.9%</w:t>
            </w:r>
          </w:p>
        </w:tc>
        <w:tc>
          <w:tcPr>
            <w:tcW w:w="1073" w:type="pct"/>
            <w:gridSpan w:val="2"/>
            <w:shd w:val="clear" w:color="auto" w:fill="auto"/>
            <w:tcMar>
              <w:top w:w="0" w:type="dxa"/>
              <w:left w:w="20" w:type="dxa"/>
              <w:bottom w:w="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0.3755</w:t>
            </w:r>
          </w:p>
        </w:tc>
      </w:tr>
      <w:tr>
        <w:tblPrEx>
          <w:tblCellMar>
            <w:top w:w="0" w:type="dxa"/>
            <w:left w:w="0" w:type="dxa"/>
            <w:bottom w:w="0" w:type="dxa"/>
            <w:right w:w="0" w:type="dxa"/>
          </w:tblCellMar>
        </w:tblPrEx>
        <w:trPr>
          <w:cantSplit/>
          <w:jc w:val="center"/>
        </w:trPr>
        <w:tc>
          <w:tcPr>
            <w:tcW w:w="1781" w:type="pct"/>
            <w:shd w:val="clear" w:color="auto" w:fill="F0F0F0"/>
            <w:tcMar>
              <w:top w:w="0" w:type="dxa"/>
              <w:left w:w="20" w:type="dxa"/>
              <w:bottom w:w="0" w:type="dxa"/>
              <w:right w:w="20" w:type="dxa"/>
            </w:tcMar>
            <w:vAlign w:val="center"/>
          </w:tcPr>
          <w:p>
            <w:pPr>
              <w:adjustRightInd w:val="0"/>
              <w:spacing w:before="20" w:after="20"/>
              <w:rPr>
                <w:rFonts w:ascii="Times New Roman" w:hAnsi="Times New Roman" w:cs="Times New Roman"/>
                <w:b/>
                <w:bCs/>
                <w:sz w:val="18"/>
                <w:szCs w:val="18"/>
              </w:rPr>
            </w:pPr>
            <w:r>
              <w:rPr>
                <w:rFonts w:hint="eastAsia" w:ascii="宋体" w:hAnsi="宋体" w:eastAsia="宋体" w:cs="宋体"/>
                <w:b/>
                <w:bCs/>
                <w:sz w:val="18"/>
                <w:szCs w:val="18"/>
              </w:rPr>
              <w:t>静脉炎</w:t>
            </w:r>
          </w:p>
        </w:tc>
        <w:tc>
          <w:tcPr>
            <w:tcW w:w="1073" w:type="pct"/>
            <w:gridSpan w:val="2"/>
            <w:shd w:val="clear" w:color="auto" w:fill="F0F0F0"/>
            <w:tcMar>
              <w:top w:w="0" w:type="dxa"/>
              <w:left w:w="20" w:type="dxa"/>
              <w:bottom w:w="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3.9%</w:t>
            </w:r>
          </w:p>
        </w:tc>
        <w:tc>
          <w:tcPr>
            <w:tcW w:w="1073" w:type="pct"/>
            <w:shd w:val="clear" w:color="auto" w:fill="F0F0F0"/>
            <w:tcMar>
              <w:top w:w="0" w:type="dxa"/>
              <w:left w:w="20" w:type="dxa"/>
              <w:bottom w:w="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1.7%</w:t>
            </w:r>
          </w:p>
        </w:tc>
        <w:tc>
          <w:tcPr>
            <w:tcW w:w="1073" w:type="pct"/>
            <w:gridSpan w:val="2"/>
            <w:shd w:val="clear" w:color="auto" w:fill="F0F0F0"/>
            <w:tcMar>
              <w:top w:w="0" w:type="dxa"/>
              <w:left w:w="20" w:type="dxa"/>
              <w:bottom w:w="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0.2777</w:t>
            </w:r>
          </w:p>
        </w:tc>
      </w:tr>
      <w:tr>
        <w:tblPrEx>
          <w:tblCellMar>
            <w:top w:w="0" w:type="dxa"/>
            <w:left w:w="0" w:type="dxa"/>
            <w:bottom w:w="0" w:type="dxa"/>
            <w:right w:w="0" w:type="dxa"/>
          </w:tblCellMar>
        </w:tblPrEx>
        <w:trPr>
          <w:cantSplit/>
          <w:jc w:val="center"/>
        </w:trPr>
        <w:tc>
          <w:tcPr>
            <w:tcW w:w="1781" w:type="pct"/>
            <w:shd w:val="clear" w:color="auto" w:fill="auto"/>
            <w:tcMar>
              <w:top w:w="0" w:type="dxa"/>
              <w:left w:w="20" w:type="dxa"/>
              <w:bottom w:w="0" w:type="dxa"/>
              <w:right w:w="20" w:type="dxa"/>
            </w:tcMar>
            <w:vAlign w:val="cente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hint="eastAsia" w:ascii="宋体" w:hAnsi="宋体" w:eastAsia="宋体" w:cs="宋体"/>
                <w:sz w:val="18"/>
                <w:szCs w:val="18"/>
              </w:rPr>
              <w:t>级</w:t>
            </w:r>
          </w:p>
        </w:tc>
        <w:tc>
          <w:tcPr>
            <w:tcW w:w="1073" w:type="pct"/>
            <w:gridSpan w:val="2"/>
            <w:shd w:val="clear" w:color="auto" w:fill="auto"/>
            <w:tcMar>
              <w:top w:w="0" w:type="dxa"/>
              <w:left w:w="20" w:type="dxa"/>
              <w:bottom w:w="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w:t>
            </w:r>
          </w:p>
        </w:tc>
        <w:tc>
          <w:tcPr>
            <w:tcW w:w="1073" w:type="pct"/>
            <w:shd w:val="clear" w:color="auto" w:fill="auto"/>
            <w:tcMar>
              <w:top w:w="0" w:type="dxa"/>
              <w:left w:w="20" w:type="dxa"/>
              <w:bottom w:w="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w:t>
            </w:r>
          </w:p>
        </w:tc>
        <w:tc>
          <w:tcPr>
            <w:tcW w:w="1073" w:type="pct"/>
            <w:gridSpan w:val="2"/>
            <w:shd w:val="clear" w:color="auto" w:fill="auto"/>
            <w:tcMar>
              <w:top w:w="0" w:type="dxa"/>
              <w:left w:w="20" w:type="dxa"/>
              <w:bottom w:w="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0.6795</w:t>
            </w:r>
          </w:p>
        </w:tc>
      </w:tr>
      <w:tr>
        <w:tblPrEx>
          <w:tblCellMar>
            <w:top w:w="0" w:type="dxa"/>
            <w:left w:w="0" w:type="dxa"/>
            <w:bottom w:w="0" w:type="dxa"/>
            <w:right w:w="0" w:type="dxa"/>
          </w:tblCellMar>
        </w:tblPrEx>
        <w:trPr>
          <w:gridAfter w:val="1"/>
          <w:wAfter w:w="28" w:type="pct"/>
          <w:cantSplit/>
          <w:jc w:val="center"/>
        </w:trPr>
        <w:tc>
          <w:tcPr>
            <w:tcW w:w="1781" w:type="pct"/>
            <w:tcBorders>
              <w:top w:val="nil"/>
              <w:left w:val="nil"/>
              <w:bottom w:val="nil"/>
              <w:right w:val="nil"/>
            </w:tcBorders>
            <w:shd w:val="clear" w:color="auto" w:fill="auto"/>
            <w:tcMar>
              <w:left w:w="20" w:type="dxa"/>
              <w:right w:w="20" w:type="dxa"/>
            </w:tcMar>
            <w:vAlign w:val="center"/>
          </w:tcPr>
          <w:p>
            <w:pPr>
              <w:adjustRightInd w:val="0"/>
              <w:spacing w:before="20" w:after="20"/>
              <w:rPr>
                <w:rFonts w:ascii="Times New Roman" w:hAnsi="Times New Roman" w:cs="Times New Roman"/>
                <w:b/>
                <w:bCs/>
                <w:sz w:val="18"/>
                <w:szCs w:val="18"/>
              </w:rPr>
            </w:pPr>
            <w:r>
              <w:rPr>
                <w:rFonts w:hint="eastAsia" w:ascii="宋体" w:hAnsi="宋体" w:eastAsia="宋体" w:cs="宋体"/>
                <w:b/>
                <w:bCs/>
                <w:sz w:val="18"/>
                <w:szCs w:val="18"/>
              </w:rPr>
              <w:t>皮疹</w:t>
            </w:r>
          </w:p>
        </w:tc>
        <w:tc>
          <w:tcPr>
            <w:tcW w:w="1063" w:type="pct"/>
            <w:tcBorders>
              <w:top w:val="nil"/>
              <w:left w:val="nil"/>
              <w:bottom w:val="nil"/>
              <w:right w:val="nil"/>
            </w:tcBorders>
            <w:shd w:val="clear" w:color="auto" w:fill="auto"/>
            <w:tcMar>
              <w:left w:w="2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2.0%</w:t>
            </w:r>
          </w:p>
        </w:tc>
        <w:tc>
          <w:tcPr>
            <w:tcW w:w="1083" w:type="pct"/>
            <w:gridSpan w:val="2"/>
            <w:tcBorders>
              <w:top w:val="nil"/>
              <w:left w:val="nil"/>
              <w:bottom w:val="nil"/>
              <w:right w:val="nil"/>
            </w:tcBorders>
            <w:shd w:val="clear" w:color="auto" w:fill="auto"/>
            <w:tcMar>
              <w:left w:w="2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1.4%</w:t>
            </w:r>
          </w:p>
        </w:tc>
        <w:tc>
          <w:tcPr>
            <w:tcW w:w="1045" w:type="pct"/>
            <w:tcBorders>
              <w:top w:val="nil"/>
              <w:left w:val="nil"/>
              <w:bottom w:val="nil"/>
              <w:right w:val="nil"/>
            </w:tcBorders>
            <w:shd w:val="clear" w:color="auto" w:fill="auto"/>
            <w:tcMar>
              <w:left w:w="2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0.4886</w:t>
            </w:r>
          </w:p>
        </w:tc>
      </w:tr>
      <w:tr>
        <w:tblPrEx>
          <w:tblCellMar>
            <w:top w:w="0" w:type="dxa"/>
            <w:left w:w="0" w:type="dxa"/>
            <w:bottom w:w="0" w:type="dxa"/>
            <w:right w:w="0" w:type="dxa"/>
          </w:tblCellMar>
        </w:tblPrEx>
        <w:trPr>
          <w:gridAfter w:val="1"/>
          <w:wAfter w:w="28" w:type="pct"/>
          <w:cantSplit/>
          <w:jc w:val="center"/>
        </w:trPr>
        <w:tc>
          <w:tcPr>
            <w:tcW w:w="1781" w:type="pct"/>
            <w:tcBorders>
              <w:top w:val="nil"/>
              <w:left w:val="nil"/>
              <w:bottom w:val="nil"/>
              <w:right w:val="nil"/>
            </w:tcBorders>
            <w:shd w:val="clear" w:color="auto" w:fill="F1F1F1" w:themeFill="background1" w:themeFillShade="F2"/>
            <w:tcMar>
              <w:left w:w="20" w:type="dxa"/>
              <w:right w:w="20" w:type="dxa"/>
            </w:tcMar>
            <w:vAlign w:val="center"/>
          </w:tcPr>
          <w:p>
            <w:pPr>
              <w:adjustRightInd w:val="0"/>
              <w:spacing w:before="20" w:after="20"/>
              <w:rPr>
                <w:rFonts w:ascii="Times New Roman" w:hAnsi="Times New Roman" w:cs="Times New Roman"/>
                <w:sz w:val="18"/>
                <w:szCs w:val="18"/>
              </w:rPr>
            </w:pPr>
            <w:r>
              <w:rPr>
                <w:rFonts w:ascii="Times New Roman" w:hAnsi="Times New Roman" w:cs="Times New Roman"/>
                <w:sz w:val="18"/>
                <w:szCs w:val="18"/>
              </w:rPr>
              <w:t xml:space="preserve">  1</w:t>
            </w:r>
            <w:r>
              <w:rPr>
                <w:rFonts w:hint="eastAsia" w:ascii="宋体" w:hAnsi="宋体" w:eastAsia="宋体" w:cs="宋体"/>
                <w:sz w:val="18"/>
                <w:szCs w:val="18"/>
              </w:rPr>
              <w:t>级</w:t>
            </w:r>
          </w:p>
        </w:tc>
        <w:tc>
          <w:tcPr>
            <w:tcW w:w="1063" w:type="pct"/>
            <w:tcBorders>
              <w:top w:val="nil"/>
              <w:left w:val="nil"/>
              <w:bottom w:val="nil"/>
              <w:right w:val="nil"/>
            </w:tcBorders>
            <w:shd w:val="clear" w:color="auto" w:fill="F1F1F1" w:themeFill="background1" w:themeFillShade="F2"/>
            <w:tcMar>
              <w:left w:w="2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1.3%</w:t>
            </w:r>
          </w:p>
        </w:tc>
        <w:tc>
          <w:tcPr>
            <w:tcW w:w="1083" w:type="pct"/>
            <w:gridSpan w:val="2"/>
            <w:tcBorders>
              <w:top w:val="nil"/>
              <w:left w:val="nil"/>
              <w:bottom w:val="nil"/>
              <w:right w:val="nil"/>
            </w:tcBorders>
            <w:shd w:val="clear" w:color="auto" w:fill="F1F1F1" w:themeFill="background1" w:themeFillShade="F2"/>
            <w:tcMar>
              <w:left w:w="2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0.0%</w:t>
            </w:r>
          </w:p>
        </w:tc>
        <w:tc>
          <w:tcPr>
            <w:tcW w:w="1045" w:type="pct"/>
            <w:tcBorders>
              <w:top w:val="nil"/>
              <w:left w:val="nil"/>
              <w:bottom w:val="nil"/>
              <w:right w:val="nil"/>
            </w:tcBorders>
            <w:shd w:val="clear" w:color="auto" w:fill="F1F1F1" w:themeFill="background1" w:themeFillShade="F2"/>
            <w:tcMar>
              <w:left w:w="2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0.9457</w:t>
            </w:r>
          </w:p>
        </w:tc>
      </w:tr>
      <w:tr>
        <w:tblPrEx>
          <w:tblCellMar>
            <w:top w:w="0" w:type="dxa"/>
            <w:left w:w="0" w:type="dxa"/>
            <w:bottom w:w="0" w:type="dxa"/>
            <w:right w:w="0" w:type="dxa"/>
          </w:tblCellMar>
        </w:tblPrEx>
        <w:trPr>
          <w:gridAfter w:val="1"/>
          <w:wAfter w:w="28" w:type="pct"/>
          <w:cantSplit/>
          <w:jc w:val="center"/>
        </w:trPr>
        <w:tc>
          <w:tcPr>
            <w:tcW w:w="1781" w:type="pct"/>
            <w:tcBorders>
              <w:top w:val="nil"/>
              <w:left w:val="nil"/>
              <w:bottom w:val="nil"/>
              <w:right w:val="nil"/>
            </w:tcBorders>
            <w:shd w:val="clear" w:color="auto" w:fill="auto"/>
            <w:tcMar>
              <w:left w:w="20" w:type="dxa"/>
              <w:right w:w="20" w:type="dxa"/>
            </w:tcMar>
            <w:vAlign w:val="center"/>
          </w:tcPr>
          <w:p>
            <w:pPr>
              <w:adjustRightInd w:val="0"/>
              <w:spacing w:before="20" w:after="20"/>
              <w:rPr>
                <w:rFonts w:ascii="Times New Roman" w:hAnsi="Times New Roman" w:cs="Times New Roman"/>
                <w:b/>
                <w:bCs/>
                <w:sz w:val="18"/>
                <w:szCs w:val="18"/>
              </w:rPr>
            </w:pPr>
            <w:r>
              <w:rPr>
                <w:rFonts w:hint="eastAsia" w:ascii="宋体" w:hAnsi="宋体" w:eastAsia="宋体" w:cs="宋体"/>
                <w:b/>
                <w:bCs/>
                <w:sz w:val="18"/>
                <w:szCs w:val="18"/>
              </w:rPr>
              <w:t>瘙痒</w:t>
            </w:r>
          </w:p>
        </w:tc>
        <w:tc>
          <w:tcPr>
            <w:tcW w:w="1063" w:type="pct"/>
            <w:tcBorders>
              <w:top w:val="nil"/>
              <w:left w:val="nil"/>
              <w:bottom w:val="nil"/>
              <w:right w:val="nil"/>
            </w:tcBorders>
            <w:shd w:val="clear" w:color="auto" w:fill="auto"/>
            <w:tcMar>
              <w:left w:w="2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w:t>
            </w:r>
          </w:p>
        </w:tc>
        <w:tc>
          <w:tcPr>
            <w:tcW w:w="1083" w:type="pct"/>
            <w:gridSpan w:val="2"/>
            <w:tcBorders>
              <w:top w:val="nil"/>
              <w:left w:val="nil"/>
              <w:bottom w:val="nil"/>
              <w:right w:val="nil"/>
            </w:tcBorders>
            <w:shd w:val="clear" w:color="auto" w:fill="auto"/>
            <w:tcMar>
              <w:left w:w="2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1.5%</w:t>
            </w:r>
          </w:p>
        </w:tc>
        <w:tc>
          <w:tcPr>
            <w:tcW w:w="1045" w:type="pct"/>
            <w:tcBorders>
              <w:top w:val="nil"/>
              <w:left w:val="nil"/>
              <w:bottom w:val="nil"/>
              <w:right w:val="nil"/>
            </w:tcBorders>
            <w:shd w:val="clear" w:color="auto" w:fill="auto"/>
            <w:tcMar>
              <w:left w:w="2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0.9677</w:t>
            </w:r>
          </w:p>
        </w:tc>
      </w:tr>
      <w:tr>
        <w:tblPrEx>
          <w:tblCellMar>
            <w:top w:w="0" w:type="dxa"/>
            <w:left w:w="0" w:type="dxa"/>
            <w:bottom w:w="0" w:type="dxa"/>
            <w:right w:w="0" w:type="dxa"/>
          </w:tblCellMar>
        </w:tblPrEx>
        <w:trPr>
          <w:gridAfter w:val="1"/>
          <w:wAfter w:w="28" w:type="pct"/>
          <w:cantSplit/>
          <w:jc w:val="center"/>
        </w:trPr>
        <w:tc>
          <w:tcPr>
            <w:tcW w:w="1781" w:type="pct"/>
            <w:tcBorders>
              <w:top w:val="nil"/>
              <w:left w:val="nil"/>
              <w:bottom w:val="nil"/>
              <w:right w:val="nil"/>
            </w:tcBorders>
            <w:shd w:val="clear" w:color="auto" w:fill="F1F1F1" w:themeFill="background1" w:themeFillShade="F2"/>
            <w:tcMar>
              <w:left w:w="20" w:type="dxa"/>
              <w:right w:w="20" w:type="dxa"/>
            </w:tcMar>
            <w:vAlign w:val="center"/>
          </w:tcPr>
          <w:p>
            <w:pPr>
              <w:adjustRightInd w:val="0"/>
              <w:spacing w:before="20" w:after="20"/>
              <w:rPr>
                <w:rFonts w:ascii="Times New Roman" w:hAnsi="Times New Roman" w:cs="Times New Roman"/>
                <w:b/>
                <w:bCs/>
                <w:sz w:val="18"/>
                <w:szCs w:val="18"/>
              </w:rPr>
            </w:pPr>
            <w:r>
              <w:rPr>
                <w:rFonts w:hint="eastAsia" w:ascii="宋体" w:hAnsi="宋体" w:eastAsia="宋体" w:cs="宋体"/>
                <w:b/>
                <w:bCs/>
                <w:sz w:val="18"/>
                <w:szCs w:val="18"/>
              </w:rPr>
              <w:t>过敏反应</w:t>
            </w:r>
          </w:p>
        </w:tc>
        <w:tc>
          <w:tcPr>
            <w:tcW w:w="1063" w:type="pct"/>
            <w:tcBorders>
              <w:top w:val="nil"/>
              <w:left w:val="nil"/>
              <w:bottom w:val="nil"/>
              <w:right w:val="nil"/>
            </w:tcBorders>
            <w:shd w:val="clear" w:color="auto" w:fill="F1F1F1" w:themeFill="background1" w:themeFillShade="F2"/>
            <w:tcMar>
              <w:left w:w="2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0.2%</w:t>
            </w:r>
          </w:p>
        </w:tc>
        <w:tc>
          <w:tcPr>
            <w:tcW w:w="1083" w:type="pct"/>
            <w:gridSpan w:val="2"/>
            <w:tcBorders>
              <w:top w:val="nil"/>
              <w:left w:val="nil"/>
              <w:bottom w:val="nil"/>
              <w:right w:val="nil"/>
            </w:tcBorders>
            <w:shd w:val="clear" w:color="auto" w:fill="F1F1F1" w:themeFill="background1" w:themeFillShade="F2"/>
            <w:tcMar>
              <w:left w:w="2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0.5%</w:t>
            </w:r>
          </w:p>
        </w:tc>
        <w:tc>
          <w:tcPr>
            <w:tcW w:w="1045" w:type="pct"/>
            <w:tcBorders>
              <w:top w:val="nil"/>
              <w:left w:val="nil"/>
              <w:bottom w:val="nil"/>
              <w:right w:val="nil"/>
            </w:tcBorders>
            <w:shd w:val="clear" w:color="auto" w:fill="F1F1F1" w:themeFill="background1" w:themeFillShade="F2"/>
            <w:tcMar>
              <w:left w:w="20" w:type="dxa"/>
              <w:right w:w="20" w:type="dxa"/>
            </w:tcMar>
            <w:vAlign w:val="center"/>
          </w:tcPr>
          <w:p>
            <w:pPr>
              <w:adjustRightInd w:val="0"/>
              <w:spacing w:before="20" w:after="20"/>
              <w:jc w:val="center"/>
              <w:rPr>
                <w:rFonts w:ascii="Times New Roman" w:hAnsi="Times New Roman" w:cs="Times New Roman"/>
                <w:sz w:val="18"/>
                <w:szCs w:val="18"/>
              </w:rPr>
            </w:pPr>
            <w:r>
              <w:rPr>
                <w:rFonts w:ascii="Times New Roman" w:hAnsi="Times New Roman" w:cs="Times New Roman"/>
                <w:sz w:val="18"/>
                <w:szCs w:val="18"/>
              </w:rPr>
              <w:t>0.3937</w:t>
            </w:r>
          </w:p>
        </w:tc>
      </w:tr>
      <w:tr>
        <w:tblPrEx>
          <w:tblCellMar>
            <w:top w:w="0" w:type="dxa"/>
            <w:left w:w="0" w:type="dxa"/>
            <w:bottom w:w="0" w:type="dxa"/>
            <w:right w:w="0" w:type="dxa"/>
          </w:tblCellMar>
        </w:tblPrEx>
        <w:trPr>
          <w:cantSplit/>
          <w:jc w:val="center"/>
        </w:trPr>
        <w:tc>
          <w:tcPr>
            <w:tcW w:w="1781" w:type="pct"/>
            <w:shd w:val="clear" w:color="auto" w:fill="auto"/>
            <w:tcMar>
              <w:top w:w="0" w:type="dxa"/>
              <w:left w:w="20" w:type="dxa"/>
              <w:bottom w:w="0" w:type="dxa"/>
              <w:right w:w="20" w:type="dxa"/>
            </w:tcMar>
            <w:vAlign w:val="center"/>
          </w:tcPr>
          <w:p>
            <w:pPr>
              <w:autoSpaceDE w:val="0"/>
              <w:autoSpaceDN w:val="0"/>
              <w:adjustRightInd w:val="0"/>
              <w:spacing w:before="20" w:after="20"/>
              <w:rPr>
                <w:rFonts w:ascii="Times New Roman" w:hAnsi="Times New Roman" w:cs="Times New Roman" w:eastAsiaTheme="minorEastAsia"/>
                <w:b/>
                <w:sz w:val="18"/>
                <w:szCs w:val="18"/>
              </w:rPr>
            </w:pPr>
            <w:r>
              <w:rPr>
                <w:rFonts w:ascii="Times New Roman" w:hAnsi="Times New Roman" w:eastAsia="宋体" w:cs="Times New Roman"/>
                <w:b/>
                <w:sz w:val="18"/>
                <w:szCs w:val="18"/>
              </w:rPr>
              <w:t>血糖高</w:t>
            </w:r>
          </w:p>
        </w:tc>
        <w:tc>
          <w:tcPr>
            <w:tcW w:w="1073" w:type="pct"/>
            <w:gridSpan w:val="2"/>
            <w:shd w:val="clear" w:color="auto" w:fill="auto"/>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1.7%</w:t>
            </w:r>
          </w:p>
        </w:tc>
        <w:tc>
          <w:tcPr>
            <w:tcW w:w="1073" w:type="pct"/>
            <w:shd w:val="clear" w:color="auto" w:fill="auto"/>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2.0%</w:t>
            </w:r>
          </w:p>
        </w:tc>
        <w:tc>
          <w:tcPr>
            <w:tcW w:w="1073" w:type="pct"/>
            <w:gridSpan w:val="2"/>
            <w:shd w:val="clear" w:color="auto" w:fill="auto"/>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0.7190</w:t>
            </w:r>
          </w:p>
        </w:tc>
      </w:tr>
      <w:tr>
        <w:tblPrEx>
          <w:tblCellMar>
            <w:top w:w="0" w:type="dxa"/>
            <w:left w:w="0" w:type="dxa"/>
            <w:bottom w:w="0" w:type="dxa"/>
            <w:right w:w="0" w:type="dxa"/>
          </w:tblCellMar>
        </w:tblPrEx>
        <w:trPr>
          <w:cantSplit/>
          <w:jc w:val="center"/>
        </w:trPr>
        <w:tc>
          <w:tcPr>
            <w:tcW w:w="1781" w:type="pct"/>
            <w:shd w:val="clear" w:color="auto" w:fill="F1F1F1" w:themeFill="background1" w:themeFillShade="F2"/>
            <w:tcMar>
              <w:top w:w="0" w:type="dxa"/>
              <w:left w:w="20" w:type="dxa"/>
              <w:bottom w:w="0" w:type="dxa"/>
              <w:right w:w="20" w:type="dxa"/>
            </w:tcMar>
            <w:vAlign w:val="center"/>
          </w:tcPr>
          <w:p>
            <w:pPr>
              <w:autoSpaceDE w:val="0"/>
              <w:autoSpaceDN w:val="0"/>
              <w:adjustRightInd w:val="0"/>
              <w:spacing w:before="20" w:after="20"/>
              <w:rPr>
                <w:rFonts w:ascii="Times New Roman" w:hAnsi="Times New Roman" w:cs="Times New Roman" w:eastAsiaTheme="minorEastAsia"/>
                <w:b/>
                <w:sz w:val="18"/>
                <w:szCs w:val="18"/>
              </w:rPr>
            </w:pPr>
            <w:r>
              <w:rPr>
                <w:rFonts w:ascii="Times New Roman" w:hAnsi="Times New Roman" w:eastAsia="宋体" w:cs="Times New Roman"/>
                <w:b/>
                <w:sz w:val="18"/>
                <w:szCs w:val="18"/>
              </w:rPr>
              <w:t>血糖低</w:t>
            </w:r>
          </w:p>
        </w:tc>
        <w:tc>
          <w:tcPr>
            <w:tcW w:w="1073" w:type="pct"/>
            <w:gridSpan w:val="2"/>
            <w:shd w:val="clear" w:color="auto" w:fill="F1F1F1" w:themeFill="background1" w:themeFillShade="F2"/>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0.0%</w:t>
            </w:r>
          </w:p>
        </w:tc>
        <w:tc>
          <w:tcPr>
            <w:tcW w:w="1073" w:type="pct"/>
            <w:shd w:val="clear" w:color="auto" w:fill="F1F1F1" w:themeFill="background1" w:themeFillShade="F2"/>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0.1%</w:t>
            </w:r>
          </w:p>
        </w:tc>
        <w:tc>
          <w:tcPr>
            <w:tcW w:w="1073" w:type="pct"/>
            <w:gridSpan w:val="2"/>
            <w:shd w:val="clear" w:color="auto" w:fill="F1F1F1" w:themeFill="background1" w:themeFillShade="F2"/>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0.9503</w:t>
            </w:r>
          </w:p>
        </w:tc>
      </w:tr>
      <w:tr>
        <w:tblPrEx>
          <w:tblCellMar>
            <w:top w:w="0" w:type="dxa"/>
            <w:left w:w="0" w:type="dxa"/>
            <w:bottom w:w="0" w:type="dxa"/>
            <w:right w:w="0" w:type="dxa"/>
          </w:tblCellMar>
        </w:tblPrEx>
        <w:trPr>
          <w:cantSplit/>
          <w:jc w:val="center"/>
        </w:trPr>
        <w:tc>
          <w:tcPr>
            <w:tcW w:w="1781" w:type="pct"/>
            <w:shd w:val="clear" w:color="auto" w:fill="auto"/>
            <w:tcMar>
              <w:top w:w="0" w:type="dxa"/>
              <w:left w:w="20" w:type="dxa"/>
              <w:bottom w:w="0" w:type="dxa"/>
              <w:right w:w="20" w:type="dxa"/>
            </w:tcMar>
            <w:vAlign w:val="center"/>
          </w:tcPr>
          <w:p>
            <w:pPr>
              <w:autoSpaceDE w:val="0"/>
              <w:autoSpaceDN w:val="0"/>
              <w:adjustRightInd w:val="0"/>
              <w:spacing w:before="20" w:after="20"/>
              <w:rPr>
                <w:rFonts w:ascii="Times New Roman" w:hAnsi="Times New Roman" w:cs="Times New Roman" w:eastAsiaTheme="minorEastAsia"/>
                <w:b/>
                <w:sz w:val="18"/>
                <w:szCs w:val="18"/>
              </w:rPr>
            </w:pPr>
            <w:r>
              <w:rPr>
                <w:rFonts w:ascii="Times New Roman" w:hAnsi="Times New Roman" w:eastAsia="宋体" w:cs="Times New Roman"/>
                <w:b/>
                <w:sz w:val="18"/>
                <w:szCs w:val="18"/>
              </w:rPr>
              <w:t>低钾血症</w:t>
            </w:r>
          </w:p>
        </w:tc>
        <w:tc>
          <w:tcPr>
            <w:tcW w:w="1073" w:type="pct"/>
            <w:gridSpan w:val="2"/>
            <w:shd w:val="clear" w:color="auto" w:fill="auto"/>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1.3%</w:t>
            </w:r>
          </w:p>
        </w:tc>
        <w:tc>
          <w:tcPr>
            <w:tcW w:w="1073" w:type="pct"/>
            <w:shd w:val="clear" w:color="auto" w:fill="auto"/>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2.5%</w:t>
            </w:r>
          </w:p>
        </w:tc>
        <w:tc>
          <w:tcPr>
            <w:tcW w:w="1073" w:type="pct"/>
            <w:gridSpan w:val="2"/>
            <w:shd w:val="clear" w:color="auto" w:fill="auto"/>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0.2537</w:t>
            </w:r>
          </w:p>
        </w:tc>
      </w:tr>
      <w:tr>
        <w:tblPrEx>
          <w:tblCellMar>
            <w:top w:w="0" w:type="dxa"/>
            <w:left w:w="0" w:type="dxa"/>
            <w:bottom w:w="0" w:type="dxa"/>
            <w:right w:w="0" w:type="dxa"/>
          </w:tblCellMar>
        </w:tblPrEx>
        <w:trPr>
          <w:cantSplit/>
          <w:trHeight w:val="80" w:hRule="atLeast"/>
          <w:jc w:val="center"/>
        </w:trPr>
        <w:tc>
          <w:tcPr>
            <w:tcW w:w="1781" w:type="pct"/>
            <w:shd w:val="clear" w:color="auto" w:fill="F1F1F1" w:themeFill="background1" w:themeFillShade="F2"/>
            <w:tcMar>
              <w:top w:w="0" w:type="dxa"/>
              <w:left w:w="20" w:type="dxa"/>
              <w:bottom w:w="0" w:type="dxa"/>
              <w:right w:w="20" w:type="dxa"/>
            </w:tcMar>
            <w:vAlign w:val="center"/>
          </w:tcPr>
          <w:p>
            <w:pPr>
              <w:autoSpaceDE w:val="0"/>
              <w:autoSpaceDN w:val="0"/>
              <w:adjustRightInd w:val="0"/>
              <w:spacing w:before="20" w:after="20"/>
              <w:rPr>
                <w:rFonts w:ascii="Times New Roman" w:hAnsi="Times New Roman" w:cs="Times New Roman" w:eastAsiaTheme="minorEastAsia"/>
                <w:b/>
                <w:sz w:val="18"/>
                <w:szCs w:val="18"/>
              </w:rPr>
            </w:pPr>
            <w:r>
              <w:rPr>
                <w:rFonts w:ascii="Times New Roman" w:hAnsi="Times New Roman" w:eastAsia="宋体" w:cs="Times New Roman"/>
                <w:b/>
                <w:sz w:val="18"/>
                <w:szCs w:val="18"/>
              </w:rPr>
              <w:t>低钙血症</w:t>
            </w:r>
          </w:p>
        </w:tc>
        <w:tc>
          <w:tcPr>
            <w:tcW w:w="1073" w:type="pct"/>
            <w:gridSpan w:val="2"/>
            <w:shd w:val="clear" w:color="auto" w:fill="F1F1F1" w:themeFill="background1" w:themeFillShade="F2"/>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0.6%</w:t>
            </w:r>
          </w:p>
        </w:tc>
        <w:tc>
          <w:tcPr>
            <w:tcW w:w="1073" w:type="pct"/>
            <w:shd w:val="clear" w:color="auto" w:fill="F1F1F1" w:themeFill="background1" w:themeFillShade="F2"/>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0.9%</w:t>
            </w:r>
          </w:p>
        </w:tc>
        <w:tc>
          <w:tcPr>
            <w:tcW w:w="1073" w:type="pct"/>
            <w:gridSpan w:val="2"/>
            <w:shd w:val="clear" w:color="auto" w:fill="F1F1F1" w:themeFill="background1" w:themeFillShade="F2"/>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0.5870</w:t>
            </w:r>
          </w:p>
        </w:tc>
      </w:tr>
      <w:tr>
        <w:tblPrEx>
          <w:tblCellMar>
            <w:top w:w="0" w:type="dxa"/>
            <w:left w:w="0" w:type="dxa"/>
            <w:bottom w:w="0" w:type="dxa"/>
            <w:right w:w="0" w:type="dxa"/>
          </w:tblCellMar>
        </w:tblPrEx>
        <w:trPr>
          <w:cantSplit/>
          <w:jc w:val="center"/>
        </w:trPr>
        <w:tc>
          <w:tcPr>
            <w:tcW w:w="1781" w:type="pct"/>
            <w:tcBorders>
              <w:top w:val="nil"/>
              <w:left w:val="nil"/>
              <w:bottom w:val="double" w:color="000000" w:sz="6" w:space="0"/>
              <w:right w:val="nil"/>
            </w:tcBorders>
            <w:shd w:val="clear" w:color="auto" w:fill="auto"/>
            <w:tcMar>
              <w:top w:w="0" w:type="dxa"/>
              <w:left w:w="20" w:type="dxa"/>
              <w:bottom w:w="0" w:type="dxa"/>
              <w:right w:w="20" w:type="dxa"/>
            </w:tcMar>
            <w:vAlign w:val="center"/>
          </w:tcPr>
          <w:p>
            <w:pPr>
              <w:autoSpaceDE w:val="0"/>
              <w:autoSpaceDN w:val="0"/>
              <w:adjustRightInd w:val="0"/>
              <w:spacing w:before="20" w:after="20"/>
              <w:rPr>
                <w:rFonts w:ascii="Times New Roman" w:hAnsi="Times New Roman" w:cs="Times New Roman" w:eastAsiaTheme="minorEastAsia"/>
                <w:b/>
                <w:sz w:val="18"/>
                <w:szCs w:val="18"/>
              </w:rPr>
            </w:pPr>
            <w:r>
              <w:rPr>
                <w:rFonts w:ascii="Times New Roman" w:hAnsi="Times New Roman" w:eastAsia="宋体" w:cs="Times New Roman"/>
                <w:b/>
                <w:sz w:val="18"/>
                <w:szCs w:val="18"/>
              </w:rPr>
              <w:t>低钠血症</w:t>
            </w:r>
          </w:p>
        </w:tc>
        <w:tc>
          <w:tcPr>
            <w:tcW w:w="1073" w:type="pct"/>
            <w:gridSpan w:val="2"/>
            <w:tcBorders>
              <w:top w:val="nil"/>
              <w:left w:val="nil"/>
              <w:bottom w:val="double" w:color="000000" w:sz="6" w:space="0"/>
              <w:right w:val="nil"/>
            </w:tcBorders>
            <w:shd w:val="clear" w:color="auto" w:fill="auto"/>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2.3%</w:t>
            </w:r>
          </w:p>
        </w:tc>
        <w:tc>
          <w:tcPr>
            <w:tcW w:w="1073" w:type="pct"/>
            <w:tcBorders>
              <w:top w:val="nil"/>
              <w:left w:val="nil"/>
              <w:bottom w:val="double" w:color="000000" w:sz="6" w:space="0"/>
              <w:right w:val="nil"/>
            </w:tcBorders>
            <w:shd w:val="clear" w:color="auto" w:fill="auto"/>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1.8%</w:t>
            </w:r>
          </w:p>
        </w:tc>
        <w:tc>
          <w:tcPr>
            <w:tcW w:w="1073" w:type="pct"/>
            <w:gridSpan w:val="2"/>
            <w:tcBorders>
              <w:top w:val="nil"/>
              <w:left w:val="nil"/>
              <w:bottom w:val="double" w:color="000000" w:sz="6" w:space="0"/>
              <w:right w:val="nil"/>
            </w:tcBorders>
            <w:shd w:val="clear" w:color="auto" w:fill="auto"/>
            <w:tcMar>
              <w:top w:w="0" w:type="dxa"/>
              <w:left w:w="20" w:type="dxa"/>
              <w:bottom w:w="0" w:type="dxa"/>
              <w:right w:w="20" w:type="dxa"/>
            </w:tcMar>
            <w:vAlign w:val="center"/>
          </w:tcPr>
          <w:p>
            <w:pPr>
              <w:autoSpaceDE w:val="0"/>
              <w:autoSpaceDN w:val="0"/>
              <w:adjustRightInd w:val="0"/>
              <w:spacing w:before="20" w:after="20"/>
              <w:jc w:val="center"/>
              <w:rPr>
                <w:rFonts w:ascii="Times New Roman" w:hAnsi="Times New Roman" w:cs="Times New Roman" w:eastAsiaTheme="minorEastAsia"/>
                <w:sz w:val="18"/>
                <w:szCs w:val="18"/>
              </w:rPr>
            </w:pPr>
            <w:r>
              <w:rPr>
                <w:rFonts w:ascii="Times New Roman" w:hAnsi="Times New Roman" w:cs="Times New Roman"/>
                <w:sz w:val="18"/>
                <w:szCs w:val="18"/>
              </w:rPr>
              <w:t>0.5863</w:t>
            </w:r>
          </w:p>
        </w:tc>
      </w:tr>
    </w:tbl>
    <w:p>
      <w:pPr>
        <w:adjustRightInd w:val="0"/>
        <w:rPr>
          <w:rFonts w:ascii="Times New Roman" w:hAnsi="Times New Roman" w:cs="Times New Roman" w:eastAsiaTheme="minorEastAsia"/>
          <w:sz w:val="18"/>
          <w:szCs w:val="18"/>
        </w:rPr>
      </w:pPr>
    </w:p>
    <w:p>
      <w:pPr>
        <w:pStyle w:val="2"/>
        <w:spacing w:before="240" w:after="120" w:line="360" w:lineRule="auto"/>
        <w:rPr>
          <w:rFonts w:ascii="Times New Roman" w:hAnsi="Times New Roman" w:eastAsia="宋体" w:cs="Times New Roman"/>
          <w:sz w:val="36"/>
        </w:rPr>
      </w:pPr>
      <w:bookmarkStart w:id="26" w:name="_Toc33465515"/>
      <w:r>
        <w:rPr>
          <w:rFonts w:hint="eastAsia" w:ascii="Times New Roman" w:hAnsi="Times New Roman" w:eastAsia="宋体" w:cs="Times New Roman"/>
          <w:sz w:val="36"/>
        </w:rPr>
        <w:t>化疗相关A</w:t>
      </w:r>
      <w:r>
        <w:rPr>
          <w:rFonts w:ascii="Times New Roman" w:hAnsi="Times New Roman" w:eastAsia="宋体" w:cs="Times New Roman"/>
          <w:sz w:val="36"/>
        </w:rPr>
        <w:t>DR</w:t>
      </w:r>
      <w:bookmarkEnd w:id="26"/>
    </w:p>
    <w:p>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该</w:t>
      </w:r>
      <w:r>
        <w:rPr>
          <w:rFonts w:ascii="Times New Roman" w:hAnsi="Times New Roman" w:eastAsia="宋体" w:cs="Times New Roman"/>
          <w:sz w:val="24"/>
        </w:rPr>
        <w:t>部分将主要描述</w:t>
      </w:r>
      <w:r>
        <w:rPr>
          <w:rFonts w:hint="eastAsia" w:ascii="Times New Roman" w:hAnsi="Times New Roman" w:eastAsia="宋体" w:cs="Times New Roman"/>
          <w:sz w:val="24"/>
        </w:rPr>
        <w:t>病历中记录的</w:t>
      </w:r>
      <w:r>
        <w:rPr>
          <w:rFonts w:ascii="Times New Roman" w:hAnsi="Times New Roman" w:eastAsia="宋体" w:cs="Times New Roman"/>
          <w:sz w:val="24"/>
        </w:rPr>
        <w:t>两组患者</w:t>
      </w:r>
      <w:r>
        <w:rPr>
          <w:rFonts w:hint="eastAsia" w:ascii="Times New Roman" w:hAnsi="Times New Roman" w:eastAsia="宋体" w:cs="Times New Roman"/>
          <w:sz w:val="24"/>
        </w:rPr>
        <w:t>化疗相关A</w:t>
      </w:r>
      <w:r>
        <w:rPr>
          <w:rFonts w:ascii="Times New Roman" w:hAnsi="Times New Roman" w:eastAsia="宋体" w:cs="Times New Roman"/>
          <w:sz w:val="24"/>
        </w:rPr>
        <w:t>DR的发生情况</w:t>
      </w:r>
      <w:r>
        <w:rPr>
          <w:rFonts w:hint="eastAsia" w:ascii="Times New Roman" w:hAnsi="Times New Roman" w:eastAsia="宋体" w:cs="Times New Roman"/>
          <w:sz w:val="24"/>
        </w:rPr>
        <w:t>。此处的化疗相关A</w:t>
      </w:r>
      <w:r>
        <w:rPr>
          <w:rFonts w:ascii="Times New Roman" w:hAnsi="Times New Roman" w:eastAsia="宋体" w:cs="Times New Roman"/>
          <w:sz w:val="24"/>
        </w:rPr>
        <w:t>DR</w:t>
      </w:r>
      <w:r>
        <w:rPr>
          <w:rFonts w:hint="eastAsia" w:ascii="Times New Roman" w:hAnsi="Times New Roman" w:eastAsia="宋体" w:cs="Times New Roman"/>
          <w:sz w:val="24"/>
        </w:rPr>
        <w:t>是指患者基线化疗方案期间病历中记录的与化疗相关的不良事件，因为两组患者基线化疗方案之后的治疗方式（方案和周期数等）较复杂，较难使其在两组间完全均衡，故在此对基线化疗方案期间发生的化疗相关A</w:t>
      </w:r>
      <w:r>
        <w:rPr>
          <w:rFonts w:ascii="Times New Roman" w:hAnsi="Times New Roman" w:eastAsia="宋体" w:cs="Times New Roman"/>
          <w:sz w:val="24"/>
        </w:rPr>
        <w:t>DR</w:t>
      </w:r>
      <w:r>
        <w:rPr>
          <w:rFonts w:hint="eastAsia" w:ascii="Times New Roman" w:hAnsi="Times New Roman" w:eastAsia="宋体" w:cs="Times New Roman"/>
          <w:sz w:val="24"/>
        </w:rPr>
        <w:t>进行描述。</w:t>
      </w:r>
    </w:p>
    <w:p>
      <w:pPr>
        <w:pStyle w:val="3"/>
        <w:rPr>
          <w:rFonts w:ascii="Times New Roman" w:hAnsi="Times New Roman" w:eastAsia="宋体" w:cs="Times New Roman"/>
          <w:sz w:val="28"/>
        </w:rPr>
      </w:pPr>
      <w:bookmarkStart w:id="27" w:name="_Toc33465516"/>
      <w:r>
        <w:rPr>
          <w:rFonts w:ascii="Times New Roman" w:hAnsi="Times New Roman" w:eastAsia="宋体" w:cs="Times New Roman"/>
          <w:sz w:val="28"/>
        </w:rPr>
        <w:t>原始结果</w:t>
      </w:r>
      <w:bookmarkEnd w:id="27"/>
    </w:p>
    <w:p>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两组患者</w:t>
      </w:r>
      <w:r>
        <w:rPr>
          <w:rFonts w:hint="eastAsia" w:ascii="Times New Roman" w:hAnsi="Times New Roman" w:eastAsia="宋体" w:cs="Times New Roman"/>
          <w:sz w:val="24"/>
        </w:rPr>
        <w:t>化疗相关A</w:t>
      </w:r>
      <w:r>
        <w:rPr>
          <w:rFonts w:ascii="Times New Roman" w:hAnsi="Times New Roman" w:eastAsia="宋体" w:cs="Times New Roman"/>
          <w:sz w:val="24"/>
        </w:rPr>
        <w:t>DR的结果描述如下。参芪扶正组患者总</w:t>
      </w:r>
      <w:r>
        <w:rPr>
          <w:rFonts w:hint="eastAsia" w:ascii="Times New Roman" w:hAnsi="Times New Roman" w:eastAsia="宋体" w:cs="Times New Roman"/>
          <w:sz w:val="24"/>
        </w:rPr>
        <w:t>化疗相关A</w:t>
      </w:r>
      <w:r>
        <w:rPr>
          <w:rFonts w:ascii="Times New Roman" w:hAnsi="Times New Roman" w:eastAsia="宋体" w:cs="Times New Roman"/>
          <w:sz w:val="24"/>
        </w:rPr>
        <w:t>DR发生率略高于对照组，参芪扶正组</w:t>
      </w:r>
      <w:r>
        <w:rPr>
          <w:rFonts w:hint="eastAsia" w:ascii="Times New Roman" w:hAnsi="Times New Roman" w:eastAsia="宋体" w:cs="Times New Roman"/>
          <w:sz w:val="24"/>
        </w:rPr>
        <w:t>患者与化疗相关的</w:t>
      </w:r>
      <w:r>
        <w:rPr>
          <w:rFonts w:ascii="Times New Roman" w:hAnsi="Times New Roman" w:eastAsia="宋体" w:cs="Times New Roman"/>
          <w:sz w:val="24"/>
        </w:rPr>
        <w:t>血小板异常发生率</w:t>
      </w:r>
      <w:r>
        <w:rPr>
          <w:rFonts w:hint="eastAsia" w:ascii="Times New Roman" w:hAnsi="Times New Roman" w:eastAsia="宋体" w:cs="Times New Roman"/>
          <w:sz w:val="24"/>
        </w:rPr>
        <w:t>、</w:t>
      </w:r>
      <w:r>
        <w:rPr>
          <w:rFonts w:ascii="Times New Roman" w:hAnsi="Times New Roman" w:eastAsia="宋体" w:cs="Times New Roman"/>
          <w:sz w:val="24"/>
        </w:rPr>
        <w:t>中性粒细胞减少发生率</w:t>
      </w:r>
      <w:r>
        <w:rPr>
          <w:rFonts w:hint="eastAsia" w:ascii="Times New Roman" w:hAnsi="Times New Roman" w:eastAsia="宋体" w:cs="Times New Roman"/>
          <w:sz w:val="24"/>
        </w:rPr>
        <w:t>、红细胞减少</w:t>
      </w:r>
      <w:r>
        <w:rPr>
          <w:rFonts w:ascii="Times New Roman" w:hAnsi="Times New Roman" w:eastAsia="宋体" w:cs="Times New Roman"/>
          <w:sz w:val="24"/>
        </w:rPr>
        <w:t>发生率</w:t>
      </w:r>
      <w:r>
        <w:rPr>
          <w:rFonts w:hint="eastAsia" w:ascii="Times New Roman" w:hAnsi="Times New Roman" w:eastAsia="宋体" w:cs="Times New Roman"/>
          <w:sz w:val="24"/>
        </w:rPr>
        <w:t>、</w:t>
      </w:r>
      <w:r>
        <w:rPr>
          <w:rFonts w:ascii="Times New Roman" w:hAnsi="Times New Roman" w:eastAsia="宋体" w:cs="Times New Roman"/>
          <w:sz w:val="24"/>
        </w:rPr>
        <w:t>贫血发生率、</w:t>
      </w:r>
      <w:r>
        <w:rPr>
          <w:rFonts w:hint="eastAsia" w:ascii="Times New Roman" w:hAnsi="Times New Roman" w:eastAsia="宋体" w:cs="Times New Roman"/>
          <w:sz w:val="24"/>
        </w:rPr>
        <w:t>肝功能损伤发生率、</w:t>
      </w:r>
      <w:r>
        <w:rPr>
          <w:rFonts w:ascii="Times New Roman" w:hAnsi="Times New Roman" w:eastAsia="宋体" w:cs="Times New Roman"/>
          <w:sz w:val="24"/>
        </w:rPr>
        <w:t>肾功能损伤发</w:t>
      </w:r>
      <w:r>
        <w:rPr>
          <w:rFonts w:ascii="Times New Roman" w:hAnsi="Times New Roman" w:eastAsia="宋体" w:cs="Times New Roman"/>
          <w:sz w:val="24"/>
          <w:highlight w:val="yellow"/>
        </w:rPr>
        <w:t>生率、恶心呕吐</w:t>
      </w:r>
      <w:r>
        <w:rPr>
          <w:rFonts w:hint="eastAsia" w:ascii="Times New Roman" w:hAnsi="Times New Roman" w:eastAsia="宋体" w:cs="Times New Roman"/>
          <w:sz w:val="24"/>
          <w:highlight w:val="yellow"/>
        </w:rPr>
        <w:t>发生率、腹泻发生率、心功能异常发生率</w:t>
      </w:r>
      <w:r>
        <w:rPr>
          <w:rFonts w:ascii="Times New Roman" w:hAnsi="Times New Roman" w:eastAsia="宋体" w:cs="Times New Roman"/>
          <w:sz w:val="24"/>
          <w:highlight w:val="yellow"/>
        </w:rPr>
        <w:t>均较对照组略低，</w:t>
      </w:r>
      <w:r>
        <w:rPr>
          <w:rFonts w:hint="eastAsia" w:ascii="Times New Roman" w:hAnsi="Times New Roman" w:eastAsia="宋体" w:cs="Times New Roman"/>
          <w:sz w:val="24"/>
          <w:highlight w:val="yellow"/>
        </w:rPr>
        <w:t>但差异无统计学意</w:t>
      </w:r>
      <w:r>
        <w:rPr>
          <w:rFonts w:hint="eastAsia" w:ascii="Times New Roman" w:hAnsi="Times New Roman" w:eastAsia="宋体" w:cs="Times New Roman"/>
          <w:sz w:val="24"/>
        </w:rPr>
        <w:t>义；而参芪扶正组患者与化疗相关的</w:t>
      </w:r>
      <w:r>
        <w:rPr>
          <w:rFonts w:ascii="Times New Roman" w:hAnsi="Times New Roman" w:eastAsia="宋体" w:cs="Times New Roman"/>
          <w:sz w:val="24"/>
          <w:highlight w:val="yellow"/>
        </w:rPr>
        <w:t>反酸发生率较对照组低，</w:t>
      </w:r>
      <w:r>
        <w:rPr>
          <w:rFonts w:hint="eastAsia" w:ascii="Times New Roman" w:hAnsi="Times New Roman" w:eastAsia="宋体" w:cs="Times New Roman"/>
          <w:sz w:val="24"/>
          <w:highlight w:val="yellow"/>
        </w:rPr>
        <w:t>且差异有统计学意</w:t>
      </w:r>
      <w:r>
        <w:rPr>
          <w:rFonts w:hint="eastAsia" w:ascii="Times New Roman" w:hAnsi="Times New Roman" w:eastAsia="宋体" w:cs="Times New Roman"/>
          <w:sz w:val="24"/>
        </w:rPr>
        <w:t>义</w:t>
      </w:r>
      <w:r>
        <w:rPr>
          <w:rFonts w:ascii="Times New Roman" w:hAnsi="Times New Roman" w:eastAsia="宋体" w:cs="Times New Roman"/>
          <w:sz w:val="24"/>
        </w:rPr>
        <w:t>。详见下表5.1.1~5.1.5。</w:t>
      </w:r>
    </w:p>
    <w:p>
      <w:pPr>
        <w:adjustRightInd w:val="0"/>
        <w:jc w:val="center"/>
        <w:rPr>
          <w:rFonts w:ascii="Times New Roman" w:hAnsi="Times New Roman" w:eastAsia="宋体" w:cs="Times New Roman"/>
          <w:b/>
          <w:bCs/>
          <w:sz w:val="22"/>
          <w:szCs w:val="22"/>
        </w:rPr>
      </w:pPr>
      <w:r>
        <w:rPr>
          <w:rFonts w:ascii="Times New Roman" w:hAnsi="Times New Roman" w:eastAsia="宋体" w:cs="Times New Roman"/>
          <w:b/>
          <w:bCs/>
          <w:sz w:val="22"/>
          <w:szCs w:val="22"/>
          <w:shd w:val="clear" w:color="auto" w:fill="FFFFFF"/>
        </w:rPr>
        <w:t>表5.1.1 两组患者总化疗相关ADR发生情况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化疗相关ADR</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(N=729)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r>
              <w:rPr>
                <w:rFonts w:ascii="Times New Roman" w:hAnsi="Times New Roman" w:eastAsia="宋体" w:cs="Times New Roman"/>
                <w:b/>
                <w:bCs/>
              </w:rPr>
              <w:br w:type="textWrapping"/>
            </w:r>
            <w:r>
              <w:rPr>
                <w:rFonts w:ascii="Times New Roman" w:hAnsi="Times New Roman" w:eastAsia="宋体" w:cs="Times New Roman"/>
                <w:b/>
                <w:bCs/>
              </w:rPr>
              <w:t>(N=1128)</w:t>
            </w:r>
          </w:p>
        </w:tc>
        <w:tc>
          <w:tcPr>
            <w:tcW w:w="88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总化疗相关ADR</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264 (66.2%)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447 (61.3%)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711 (63.0%)</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0.1068</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eastAsia="宋体" w:cs="Times New Roman"/>
                <w:i/>
                <w:iCs/>
                <w:sz w:val="16"/>
                <w:szCs w:val="16"/>
              </w:rPr>
            </w:pPr>
            <w:r>
              <w:rPr>
                <w:rFonts w:ascii="Times New Roman" w:hAnsi="Times New Roman" w:eastAsia="宋体" w:cs="Times New Roman"/>
                <w:i/>
                <w:iCs/>
                <w:sz w:val="16"/>
                <w:szCs w:val="16"/>
              </w:rPr>
              <w:t>注：带*号P值来自Fisher精确检验，其他P值来自卡方检验。</w:t>
            </w:r>
          </w:p>
        </w:tc>
      </w:tr>
    </w:tbl>
    <w:p>
      <w:pPr>
        <w:adjustRightInd w:val="0"/>
        <w:jc w:val="center"/>
        <w:rPr>
          <w:rFonts w:ascii="Times New Roman" w:hAnsi="Times New Roman" w:eastAsia="宋体" w:cs="Times New Roman"/>
          <w:b/>
          <w:bCs/>
          <w:sz w:val="22"/>
          <w:szCs w:val="22"/>
          <w:shd w:val="clear" w:color="auto" w:fill="FFFFFF"/>
        </w:rPr>
      </w:pPr>
    </w:p>
    <w:p>
      <w:pPr>
        <w:adjustRightInd w:val="0"/>
        <w:jc w:val="center"/>
        <w:rPr>
          <w:rFonts w:ascii="Times New Roman" w:hAnsi="Times New Roman" w:eastAsia="宋体" w:cs="Times New Roman"/>
          <w:b/>
          <w:bCs/>
          <w:sz w:val="22"/>
          <w:szCs w:val="22"/>
        </w:rPr>
      </w:pPr>
      <w:r>
        <w:rPr>
          <w:rFonts w:ascii="Times New Roman" w:hAnsi="Times New Roman" w:eastAsia="宋体" w:cs="Times New Roman"/>
          <w:b/>
          <w:bCs/>
          <w:sz w:val="22"/>
          <w:szCs w:val="22"/>
          <w:shd w:val="clear" w:color="auto" w:fill="FFFFFF"/>
        </w:rPr>
        <w:t>表5.1.2 两组患者血液系统化疗相关ADR发生情况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血液系统化疗相关ADR</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(N=729)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r>
              <w:rPr>
                <w:rFonts w:ascii="Times New Roman" w:hAnsi="Times New Roman" w:eastAsia="宋体" w:cs="Times New Roman"/>
                <w:b/>
                <w:bCs/>
              </w:rPr>
              <w:br w:type="textWrapping"/>
            </w:r>
            <w:r>
              <w:rPr>
                <w:rFonts w:ascii="Times New Roman" w:hAnsi="Times New Roman" w:eastAsia="宋体" w:cs="Times New Roman"/>
                <w:b/>
                <w:bCs/>
              </w:rPr>
              <w:t>(N=1128)</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骨髓抑制</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121 (30.3%)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208 (28.5%)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329 (29.2%)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0.5263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31 (7.8%)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79 (10.8%)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110 (9.8%)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0.0968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35 (8.8%)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84 (11.5%)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119 (10.5%)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0.1505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20 (5.0%)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32 (4.4%)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52 (4.6%)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0.6333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4级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(3.8%)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25 (3.4%)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40 (3.5%)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0.7744</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白细胞异常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48 (12.0%)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77 (10.6%)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125 (11.1%)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0.4528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(2.1%)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 (1.7%)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0.1880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减少</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44 (11.0%)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65 (8.9%)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109 (9.7%)</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0.2512</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 (2.6%)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24 (2.1%)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0.1321</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 (1.5%)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16 (1.4%)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0.7283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(0.6%)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0.7031</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4级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血小板异常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23 (5.8%)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44 (6.0%)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67 (5.9%)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0.8538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0.6615</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减少</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23 (5.8%)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40 (5.5%)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63 (5.6%)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0.8462</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(1.2%)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0.3457</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(1.8%)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(0.7%)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 (1.1%)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0.1274</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0.5562</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4级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0.6176</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中性粒细胞异常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(3.8%)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37 (5.1%)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52 (4.6%)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0.3136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(1.8%)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18 (2.5%)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25 (2.2%)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0.4356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减少</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 (2.0%)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26 (3.6%)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34 (3.0%)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0.1425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(0.7%)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0.4324</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 (0.7%)</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0.7196</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(0.6%)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0.7031</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4级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(0.6%)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0.4320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血红蛋白异常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(3.8%)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 (2.6%)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34 (3.0%)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0.2788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减少</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(3.8%)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18 (2.5%)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33 (2.9%)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0.2189</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(1.5%)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 (1.2%)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0.3998</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0.1249</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红细胞异常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21 (2.9%)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26 (2.3%)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0.0816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0.5562</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减少</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 (2.6%)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24 (2.1%)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0.1321</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0.3036</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贫血</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(3.8%)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39 (5.3%)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54 (4.8%)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0.2316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21 (2.9%)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25 (2.2%)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0.0405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(1.5%)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0.0749</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0.6176</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eastAsia="宋体" w:cs="Times New Roman"/>
                <w:i/>
                <w:iCs/>
                <w:sz w:val="16"/>
                <w:szCs w:val="16"/>
              </w:rPr>
            </w:pPr>
            <w:r>
              <w:rPr>
                <w:rFonts w:ascii="Times New Roman" w:hAnsi="Times New Roman" w:eastAsia="宋体" w:cs="Times New Roman"/>
                <w:i/>
                <w:iCs/>
                <w:sz w:val="16"/>
                <w:szCs w:val="16"/>
              </w:rPr>
              <w:t>注：带*号P值来自Fisher精确检验，其他P值来自卡方检验。</w:t>
            </w:r>
          </w:p>
        </w:tc>
      </w:tr>
    </w:tbl>
    <w:p>
      <w:pPr>
        <w:adjustRightInd w:val="0"/>
        <w:jc w:val="center"/>
        <w:rPr>
          <w:rFonts w:ascii="Times New Roman" w:hAnsi="Times New Roman" w:eastAsia="宋体" w:cs="Times New Roman"/>
          <w:b/>
          <w:bCs/>
          <w:sz w:val="22"/>
          <w:szCs w:val="22"/>
          <w:shd w:val="clear" w:color="auto" w:fill="FFFFFF"/>
        </w:rPr>
      </w:pPr>
    </w:p>
    <w:p>
      <w:pPr>
        <w:adjustRightInd w:val="0"/>
        <w:jc w:val="center"/>
        <w:rPr>
          <w:rFonts w:ascii="Times New Roman" w:hAnsi="Times New Roman" w:eastAsia="宋体" w:cs="Times New Roman"/>
          <w:b/>
          <w:bCs/>
          <w:sz w:val="22"/>
          <w:szCs w:val="22"/>
        </w:rPr>
      </w:pPr>
      <w:r>
        <w:rPr>
          <w:rFonts w:ascii="Times New Roman" w:hAnsi="Times New Roman" w:eastAsia="宋体" w:cs="Times New Roman"/>
          <w:b/>
          <w:bCs/>
          <w:sz w:val="22"/>
          <w:szCs w:val="22"/>
          <w:shd w:val="clear" w:color="auto" w:fill="FFFFFF"/>
        </w:rPr>
        <w:t>表5.1.3 两组患者肝肾功能化疗相关ADR发生情况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肝肾功能化疗相关ADR</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(N=729)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r>
              <w:rPr>
                <w:rFonts w:ascii="Times New Roman" w:hAnsi="Times New Roman" w:eastAsia="宋体" w:cs="Times New Roman"/>
                <w:b/>
                <w:bCs/>
              </w:rPr>
              <w:br w:type="textWrapping"/>
            </w:r>
            <w:r>
              <w:rPr>
                <w:rFonts w:ascii="Times New Roman" w:hAnsi="Times New Roman" w:eastAsia="宋体" w:cs="Times New Roman"/>
                <w:b/>
                <w:bCs/>
              </w:rPr>
              <w:t>(N=1128)</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肝功能损伤</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 (3.0%)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35 (4.8%)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47 (4.2%)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0.1495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 (1.5%)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 (1.2%)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0.4008</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0.5424</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谷丙转氨酶异常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0.0955</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0.0955</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谷草转氨酶异常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0.5562</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0.5562</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碱性磷酸酶异常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降低</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总胆红素异常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0.3036</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降低</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0.5562</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0.5562</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0.5562</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直接胆红素异常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0.0955</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降低</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0.5562</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0.0955</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0.5424</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间接胆红素异常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0.5424</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降低</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肾功能损伤</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 (1.9%)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16 (1.4%)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0.0540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尿素氮异常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(0.6%)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0.4320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降低</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0.5424</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0.6615</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肌酐异常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0.6615</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降低</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0.5424</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尿素异常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(0.7%)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0.4324</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降低</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eastAsia="宋体" w:cs="Times New Roman"/>
                <w:i/>
                <w:iCs/>
                <w:sz w:val="16"/>
                <w:szCs w:val="16"/>
              </w:rPr>
            </w:pPr>
            <w:r>
              <w:rPr>
                <w:rFonts w:ascii="Times New Roman" w:hAnsi="Times New Roman" w:eastAsia="宋体" w:cs="Times New Roman"/>
                <w:i/>
                <w:iCs/>
                <w:sz w:val="16"/>
                <w:szCs w:val="16"/>
              </w:rPr>
              <w:t>注：带*号P值来自Fisher精确检验，其他P值来自卡方检验。</w:t>
            </w:r>
          </w:p>
        </w:tc>
      </w:tr>
    </w:tbl>
    <w:p>
      <w:pPr>
        <w:adjustRightInd w:val="0"/>
        <w:rPr>
          <w:rFonts w:ascii="Times New Roman" w:hAnsi="Times New Roman" w:eastAsia="宋体" w:cs="Times New Roman"/>
          <w:i/>
          <w:iCs/>
          <w:sz w:val="16"/>
          <w:szCs w:val="16"/>
        </w:rPr>
      </w:pPr>
    </w:p>
    <w:p>
      <w:pPr>
        <w:adjustRightInd w:val="0"/>
        <w:jc w:val="center"/>
        <w:rPr>
          <w:rFonts w:ascii="Times New Roman" w:hAnsi="Times New Roman" w:eastAsia="宋体" w:cs="Times New Roman"/>
          <w:b/>
          <w:bCs/>
          <w:sz w:val="22"/>
          <w:szCs w:val="22"/>
        </w:rPr>
      </w:pPr>
      <w:r>
        <w:rPr>
          <w:rFonts w:ascii="Times New Roman" w:hAnsi="Times New Roman" w:eastAsia="宋体" w:cs="Times New Roman"/>
          <w:b/>
          <w:bCs/>
          <w:sz w:val="22"/>
          <w:szCs w:val="22"/>
          <w:shd w:val="clear" w:color="auto" w:fill="FFFFFF"/>
        </w:rPr>
        <w:t>表5.1.4 两组患者胃肠消化道化疗相关ADR发生情况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胃肠消化道化疗相关ADR</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(N=729)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r>
              <w:rPr>
                <w:rFonts w:ascii="Times New Roman" w:hAnsi="Times New Roman" w:eastAsia="宋体" w:cs="Times New Roman"/>
                <w:b/>
                <w:bCs/>
              </w:rPr>
              <w:br w:type="textWrapping"/>
            </w:r>
            <w:r>
              <w:rPr>
                <w:rFonts w:ascii="Times New Roman" w:hAnsi="Times New Roman" w:eastAsia="宋体" w:cs="Times New Roman"/>
                <w:b/>
                <w:bCs/>
              </w:rPr>
              <w:t>(N=1128)</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恶心呕吐</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104 (26.1%)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228 (31.3%)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332 (29.4%)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0.0664</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(2.3%)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24 (3.3%)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33 (2.9%)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0.3233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 (0.7%)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0.7196</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0.1932</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腹泻</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(1.2%)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 (1.2%)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0.6615</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0.5424</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反酸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(1.5%)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30 (4.1%)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36 (3.2%)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0.0170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食欲胃纳不佳</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57 (14.3%)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85 (11.7%)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142 (12.6%)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0.2037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其他胃肠消化道反应</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116 (29.1%)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201 (27.6%)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317 (28.1%)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0.5919</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eastAsia="宋体" w:cs="Times New Roman"/>
                <w:i/>
                <w:iCs/>
                <w:sz w:val="16"/>
                <w:szCs w:val="16"/>
              </w:rPr>
            </w:pPr>
            <w:r>
              <w:rPr>
                <w:rFonts w:ascii="Times New Roman" w:hAnsi="Times New Roman" w:eastAsia="宋体" w:cs="Times New Roman"/>
                <w:i/>
                <w:iCs/>
                <w:sz w:val="16"/>
                <w:szCs w:val="16"/>
              </w:rPr>
              <w:t>注：带*号P值来自Fisher精确检验，其他P值来自卡方检验。</w:t>
            </w:r>
          </w:p>
        </w:tc>
      </w:tr>
    </w:tbl>
    <w:p>
      <w:pPr>
        <w:adjustRightInd w:val="0"/>
        <w:rPr>
          <w:rFonts w:ascii="Times New Roman" w:hAnsi="Times New Roman" w:eastAsia="宋体" w:cs="Times New Roman"/>
          <w:i/>
          <w:iCs/>
          <w:sz w:val="16"/>
          <w:szCs w:val="16"/>
        </w:rPr>
      </w:pPr>
    </w:p>
    <w:p>
      <w:pPr>
        <w:adjustRightInd w:val="0"/>
        <w:jc w:val="center"/>
        <w:rPr>
          <w:rFonts w:ascii="Times New Roman" w:hAnsi="Times New Roman" w:eastAsia="宋体" w:cs="Times New Roman"/>
          <w:b/>
          <w:bCs/>
          <w:sz w:val="22"/>
          <w:szCs w:val="22"/>
        </w:rPr>
      </w:pPr>
      <w:r>
        <w:rPr>
          <w:rFonts w:ascii="Times New Roman" w:hAnsi="Times New Roman" w:eastAsia="宋体" w:cs="Times New Roman"/>
          <w:b/>
          <w:bCs/>
          <w:sz w:val="22"/>
          <w:szCs w:val="22"/>
          <w:shd w:val="clear" w:color="auto" w:fill="FFFFFF"/>
        </w:rPr>
        <w:t>表5.1.5 两组患者其他化疗相关ADR发生情况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其他化疗相关ADR</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(N=729)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r>
              <w:rPr>
                <w:rFonts w:ascii="Times New Roman" w:hAnsi="Times New Roman" w:eastAsia="宋体" w:cs="Times New Roman"/>
                <w:b/>
                <w:bCs/>
              </w:rPr>
              <w:br w:type="textWrapping"/>
            </w:r>
            <w:r>
              <w:rPr>
                <w:rFonts w:ascii="Times New Roman" w:hAnsi="Times New Roman" w:eastAsia="宋体" w:cs="Times New Roman"/>
                <w:b/>
                <w:bCs/>
              </w:rPr>
              <w:t>(N=1128)</w:t>
            </w:r>
          </w:p>
        </w:tc>
        <w:tc>
          <w:tcPr>
            <w:tcW w:w="88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心功能异常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18 (2.5%)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22 (2.0%)</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0.0886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b/>
                <w:sz w:val="18"/>
                <w:szCs w:val="18"/>
              </w:rPr>
              <w:t xml:space="preserve">  </w:t>
            </w:r>
            <w:r>
              <w:rPr>
                <w:rFonts w:ascii="Times New Roman" w:hAnsi="Times New Roman" w:eastAsia="宋体" w:cs="Times New Roman"/>
                <w:sz w:val="18"/>
                <w:szCs w:val="18"/>
              </w:rPr>
              <w:t>2级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(0.2%)</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ind w:firstLine="180" w:firstLineChars="100"/>
              <w:rPr>
                <w:rFonts w:ascii="Times New Roman" w:hAnsi="Times New Roman" w:eastAsia="宋体" w:cs="Times New Roman"/>
                <w:sz w:val="18"/>
                <w:szCs w:val="18"/>
              </w:rPr>
            </w:pPr>
            <w:r>
              <w:rPr>
                <w:rFonts w:ascii="Times New Roman" w:hAnsi="Times New Roman" w:eastAsia="宋体" w:cs="Times New Roman"/>
                <w:bCs/>
                <w:sz w:val="18"/>
                <w:szCs w:val="18"/>
              </w:rPr>
              <w:t>心悸</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(0.3%)</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(0.4%)</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0.6176</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胸腔积液</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(0.4%)</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bCs/>
                <w:sz w:val="18"/>
                <w:szCs w:val="18"/>
              </w:rPr>
              <w:t>憋气</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(0.2%)</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0.5424</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神经毒性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发热</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 (3.0%)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23 (3.2%)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35 (3.1%)</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0.8914</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(0.8%)</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(0.7%)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 (0.7%)</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b/>
                <w:bCs/>
                <w:sz w:val="18"/>
                <w:szCs w:val="18"/>
              </w:rPr>
              <w:t>寒战</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(0.2%)</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0.1249</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b/>
                <w:bCs/>
                <w:sz w:val="18"/>
                <w:szCs w:val="18"/>
              </w:rPr>
              <w:t>静脉炎</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(0.5%)</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0.6717</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bCs/>
                <w:sz w:val="18"/>
                <w:szCs w:val="18"/>
              </w:rPr>
              <w:t>皮疹</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(0.5%)</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0.3537</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b/>
                <w:bCs/>
                <w:sz w:val="18"/>
                <w:szCs w:val="18"/>
              </w:rPr>
              <w:t>瘙痒</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(0.5%)</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b/>
                <w:bCs/>
                <w:sz w:val="18"/>
                <w:szCs w:val="18"/>
              </w:rPr>
              <w:t>过敏反应</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(0.3%)</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0.5562</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血糖高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 (1.4%)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 (1.0%)</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0.1090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血糖低</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低钾血症</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(0.8%)</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0.5050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低钙血症</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(0.7%)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(0.6%)</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低钠血症</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(0.7%)</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 (0.7%)</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eastAsia="宋体" w:cs="Times New Roman"/>
                <w:i/>
                <w:iCs/>
                <w:sz w:val="16"/>
                <w:szCs w:val="16"/>
              </w:rPr>
            </w:pPr>
            <w:r>
              <w:rPr>
                <w:rFonts w:ascii="Times New Roman" w:hAnsi="Times New Roman" w:eastAsia="宋体" w:cs="Times New Roman"/>
                <w:i/>
                <w:iCs/>
                <w:sz w:val="16"/>
                <w:szCs w:val="16"/>
              </w:rPr>
              <w:t>注：带*号P值来自Fisher精确检验，其他P值来自卡方检验。</w:t>
            </w:r>
          </w:p>
        </w:tc>
      </w:tr>
    </w:tbl>
    <w:p>
      <w:pPr>
        <w:adjustRightInd w:val="0"/>
        <w:rPr>
          <w:rFonts w:ascii="Times New Roman" w:hAnsi="Times New Roman" w:cs="Times New Roman" w:eastAsiaTheme="minorEastAsia"/>
          <w:i/>
          <w:iCs/>
          <w:sz w:val="16"/>
          <w:szCs w:val="16"/>
        </w:rPr>
      </w:pPr>
    </w:p>
    <w:p>
      <w:pPr>
        <w:adjustRightInd w:val="0"/>
        <w:rPr>
          <w:rFonts w:ascii="Times New Roman" w:hAnsi="Times New Roman" w:cs="Times New Roman" w:eastAsiaTheme="minorEastAsia"/>
          <w:i/>
          <w:iCs/>
          <w:sz w:val="16"/>
          <w:szCs w:val="16"/>
        </w:rPr>
      </w:pPr>
    </w:p>
    <w:p>
      <w:pPr>
        <w:pStyle w:val="3"/>
        <w:rPr>
          <w:rFonts w:ascii="Times New Roman" w:hAnsi="Times New Roman" w:eastAsia="宋体" w:cs="Times New Roman"/>
          <w:sz w:val="28"/>
        </w:rPr>
      </w:pPr>
      <w:bookmarkStart w:id="28" w:name="_Toc33465517"/>
      <w:r>
        <w:rPr>
          <w:rFonts w:ascii="Times New Roman" w:hAnsi="Times New Roman" w:eastAsia="宋体" w:cs="Times New Roman"/>
          <w:sz w:val="28"/>
        </w:rPr>
        <w:t>倾</w:t>
      </w:r>
      <w:r>
        <w:rPr>
          <w:rFonts w:ascii="Times New Roman" w:hAnsi="Times New Roman" w:eastAsia="宋体" w:cs="Times New Roman"/>
          <w:sz w:val="24"/>
          <w:szCs w:val="24"/>
        </w:rPr>
        <w:t>向性评分匹配后结果</w:t>
      </w:r>
      <w:bookmarkEnd w:id="28"/>
    </w:p>
    <w:p>
      <w:pPr>
        <w:adjustRightInd w:val="0"/>
        <w:spacing w:before="120" w:beforeLines="50"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匹配后两组患者</w:t>
      </w:r>
      <w:r>
        <w:rPr>
          <w:rFonts w:hint="eastAsia" w:ascii="Times New Roman" w:hAnsi="Times New Roman" w:eastAsia="宋体" w:cs="Times New Roman"/>
          <w:sz w:val="24"/>
        </w:rPr>
        <w:t>化疗相关</w:t>
      </w:r>
      <w:r>
        <w:rPr>
          <w:rFonts w:ascii="Times New Roman" w:hAnsi="Times New Roman" w:eastAsia="宋体" w:cs="Times New Roman"/>
          <w:sz w:val="24"/>
        </w:rPr>
        <w:t>ADR的结果描述如下。</w:t>
      </w:r>
    </w:p>
    <w:p>
      <w:pPr>
        <w:adjustRightInd w:val="0"/>
        <w:spacing w:before="120" w:beforeLines="50"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参芪扶正组总</w:t>
      </w:r>
      <w:r>
        <w:rPr>
          <w:rFonts w:hint="eastAsia" w:ascii="Times New Roman" w:hAnsi="Times New Roman" w:eastAsia="宋体" w:cs="Times New Roman"/>
          <w:sz w:val="24"/>
        </w:rPr>
        <w:t>化疗相关</w:t>
      </w:r>
      <w:r>
        <w:rPr>
          <w:rFonts w:ascii="Times New Roman" w:hAnsi="Times New Roman" w:eastAsia="宋体" w:cs="Times New Roman"/>
          <w:sz w:val="24"/>
        </w:rPr>
        <w:t>ADR发生率比对照组略高，</w:t>
      </w:r>
      <w:r>
        <w:rPr>
          <w:rFonts w:hint="eastAsia" w:ascii="Times New Roman" w:hAnsi="Times New Roman" w:eastAsia="宋体" w:cs="Times New Roman"/>
          <w:sz w:val="24"/>
        </w:rPr>
        <w:t>而</w:t>
      </w:r>
      <w:r>
        <w:rPr>
          <w:rFonts w:ascii="Times New Roman" w:hAnsi="Times New Roman" w:eastAsia="宋体" w:cs="Times New Roman"/>
          <w:sz w:val="24"/>
        </w:rPr>
        <w:t>血小板减少发生率</w:t>
      </w:r>
      <w:r>
        <w:rPr>
          <w:rFonts w:hint="eastAsia" w:ascii="Times New Roman" w:hAnsi="Times New Roman" w:eastAsia="宋体" w:cs="Times New Roman"/>
          <w:sz w:val="24"/>
        </w:rPr>
        <w:t>、中性粒细胞减少发生率、</w:t>
      </w:r>
      <w:r>
        <w:rPr>
          <w:rFonts w:ascii="Times New Roman" w:hAnsi="Times New Roman" w:eastAsia="宋体" w:cs="Times New Roman"/>
          <w:sz w:val="24"/>
        </w:rPr>
        <w:t>红细胞</w:t>
      </w:r>
      <w:r>
        <w:rPr>
          <w:rFonts w:hint="eastAsia" w:ascii="Times New Roman" w:hAnsi="Times New Roman" w:eastAsia="宋体" w:cs="Times New Roman"/>
          <w:sz w:val="24"/>
        </w:rPr>
        <w:t>减少发生率</w:t>
      </w:r>
      <w:r>
        <w:rPr>
          <w:rFonts w:ascii="Times New Roman" w:hAnsi="Times New Roman" w:eastAsia="宋体" w:cs="Times New Roman"/>
          <w:sz w:val="24"/>
        </w:rPr>
        <w:t>、贫血发生率、</w:t>
      </w:r>
      <w:r>
        <w:rPr>
          <w:rFonts w:hint="eastAsia" w:ascii="Times New Roman" w:hAnsi="Times New Roman" w:eastAsia="宋体" w:cs="Times New Roman"/>
          <w:sz w:val="24"/>
        </w:rPr>
        <w:t>肝功能损伤发生率</w:t>
      </w:r>
      <w:r>
        <w:rPr>
          <w:rFonts w:ascii="Times New Roman" w:hAnsi="Times New Roman" w:eastAsia="宋体" w:cs="Times New Roman"/>
          <w:sz w:val="24"/>
        </w:rPr>
        <w:t>、</w:t>
      </w:r>
      <w:r>
        <w:rPr>
          <w:rFonts w:hint="eastAsia" w:ascii="Times New Roman" w:hAnsi="Times New Roman" w:eastAsia="宋体" w:cs="Times New Roman"/>
          <w:sz w:val="24"/>
        </w:rPr>
        <w:t>恶心</w:t>
      </w:r>
      <w:r>
        <w:rPr>
          <w:rFonts w:ascii="Times New Roman" w:hAnsi="Times New Roman" w:eastAsia="宋体" w:cs="Times New Roman"/>
          <w:sz w:val="24"/>
        </w:rPr>
        <w:t>呕吐</w:t>
      </w:r>
      <w:r>
        <w:rPr>
          <w:rFonts w:hint="eastAsia" w:ascii="Times New Roman" w:hAnsi="Times New Roman" w:eastAsia="宋体" w:cs="Times New Roman"/>
          <w:sz w:val="24"/>
        </w:rPr>
        <w:t>、</w:t>
      </w:r>
      <w:r>
        <w:rPr>
          <w:rFonts w:ascii="Times New Roman" w:hAnsi="Times New Roman" w:eastAsia="宋体" w:cs="Times New Roman"/>
          <w:sz w:val="24"/>
        </w:rPr>
        <w:t>腹泻</w:t>
      </w:r>
      <w:r>
        <w:rPr>
          <w:rFonts w:hint="eastAsia" w:ascii="Times New Roman" w:hAnsi="Times New Roman" w:eastAsia="宋体" w:cs="Times New Roman"/>
          <w:sz w:val="24"/>
        </w:rPr>
        <w:t>、</w:t>
      </w:r>
      <w:r>
        <w:rPr>
          <w:rFonts w:hint="eastAsia" w:ascii="Times New Roman" w:hAnsi="Times New Roman" w:eastAsia="宋体" w:cs="Times New Roman"/>
          <w:sz w:val="24"/>
          <w:highlight w:val="yellow"/>
        </w:rPr>
        <w:t>反酸</w:t>
      </w:r>
      <w:r>
        <w:rPr>
          <w:rFonts w:ascii="Times New Roman" w:hAnsi="Times New Roman" w:eastAsia="宋体" w:cs="Times New Roman"/>
          <w:sz w:val="24"/>
        </w:rPr>
        <w:t>发生率等比对照组略低，</w:t>
      </w:r>
      <w:r>
        <w:rPr>
          <w:rFonts w:hint="eastAsia" w:ascii="Times New Roman" w:hAnsi="Times New Roman" w:eastAsia="宋体" w:cs="Times New Roman"/>
          <w:sz w:val="24"/>
        </w:rPr>
        <w:t>但差异无统计学意义；且参芪扶正组患</w:t>
      </w:r>
      <w:r>
        <w:rPr>
          <w:rFonts w:hint="eastAsia" w:ascii="Times New Roman" w:hAnsi="Times New Roman" w:eastAsia="宋体" w:cs="Times New Roman"/>
          <w:sz w:val="24"/>
          <w:highlight w:val="yellow"/>
        </w:rPr>
        <w:t>者与化疗相关的肾功能</w:t>
      </w:r>
      <w:r>
        <w:rPr>
          <w:rFonts w:ascii="Times New Roman" w:hAnsi="Times New Roman" w:eastAsia="宋体" w:cs="Times New Roman"/>
          <w:sz w:val="24"/>
          <w:highlight w:val="yellow"/>
        </w:rPr>
        <w:t>损伤发生率、</w:t>
      </w:r>
      <w:r>
        <w:rPr>
          <w:rFonts w:hint="eastAsia" w:ascii="Times New Roman" w:hAnsi="Times New Roman" w:eastAsia="宋体" w:cs="Times New Roman"/>
          <w:sz w:val="24"/>
          <w:highlight w:val="yellow"/>
        </w:rPr>
        <w:t>心功能异常发生率均</w:t>
      </w:r>
      <w:r>
        <w:rPr>
          <w:rFonts w:ascii="Times New Roman" w:hAnsi="Times New Roman" w:eastAsia="宋体" w:cs="Times New Roman"/>
          <w:sz w:val="24"/>
          <w:highlight w:val="yellow"/>
        </w:rPr>
        <w:t>较对照组低，</w:t>
      </w:r>
      <w:r>
        <w:rPr>
          <w:rFonts w:hint="eastAsia" w:ascii="Times New Roman" w:hAnsi="Times New Roman" w:eastAsia="宋体" w:cs="Times New Roman"/>
          <w:sz w:val="24"/>
          <w:highlight w:val="yellow"/>
        </w:rPr>
        <w:t>差异有统计学意</w:t>
      </w:r>
      <w:r>
        <w:rPr>
          <w:rFonts w:hint="eastAsia" w:ascii="Times New Roman" w:hAnsi="Times New Roman" w:eastAsia="宋体" w:cs="Times New Roman"/>
          <w:sz w:val="24"/>
        </w:rPr>
        <w:t>义</w:t>
      </w:r>
      <w:r>
        <w:rPr>
          <w:rFonts w:ascii="Times New Roman" w:hAnsi="Times New Roman" w:eastAsia="宋体" w:cs="Times New Roman"/>
          <w:sz w:val="24"/>
        </w:rPr>
        <w:t>。详见下表5.2.1~5.2.5。</w:t>
      </w:r>
    </w:p>
    <w:p>
      <w:pPr>
        <w:adjustRightInd w:val="0"/>
        <w:jc w:val="center"/>
        <w:rPr>
          <w:rFonts w:ascii="Times New Roman" w:hAnsi="Times New Roman" w:eastAsia="宋体" w:cs="Times New Roman"/>
          <w:b/>
          <w:bCs/>
          <w:sz w:val="22"/>
          <w:szCs w:val="22"/>
        </w:rPr>
      </w:pPr>
      <w:r>
        <w:rPr>
          <w:rFonts w:ascii="Times New Roman" w:hAnsi="Times New Roman" w:eastAsia="宋体" w:cs="Times New Roman"/>
          <w:b/>
          <w:bCs/>
          <w:sz w:val="22"/>
          <w:szCs w:val="22"/>
          <w:shd w:val="clear" w:color="auto" w:fill="FFFFFF"/>
        </w:rPr>
        <w:t>表5.2.1 两组患者总化疗相关ADR发生情况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化疗相关ADR</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r>
              <w:rPr>
                <w:rFonts w:ascii="Times New Roman" w:hAnsi="Times New Roman" w:eastAsia="宋体" w:cs="Times New Roman"/>
                <w:b/>
                <w:bCs/>
              </w:rPr>
              <w:br w:type="textWrapping"/>
            </w:r>
            <w:r>
              <w:rPr>
                <w:rFonts w:ascii="Times New Roman" w:hAnsi="Times New Roman" w:eastAsia="宋体" w:cs="Times New Roman"/>
                <w:b/>
                <w:bCs/>
              </w:rPr>
              <w:t>(N=798)</w:t>
            </w:r>
          </w:p>
        </w:tc>
        <w:tc>
          <w:tcPr>
            <w:tcW w:w="88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总化疗相关ADR</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264 (66.2%)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245 (61.4%)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509 (63.8%)</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0.1617</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eastAsia="宋体" w:cs="Times New Roman"/>
                <w:i/>
                <w:iCs/>
                <w:sz w:val="16"/>
                <w:szCs w:val="16"/>
              </w:rPr>
            </w:pPr>
            <w:r>
              <w:rPr>
                <w:rFonts w:ascii="Times New Roman" w:hAnsi="Times New Roman" w:eastAsia="宋体" w:cs="Times New Roman"/>
                <w:i/>
                <w:iCs/>
                <w:sz w:val="16"/>
                <w:szCs w:val="16"/>
              </w:rPr>
              <w:t>注：带*号P值来自Fisher精确检验，其他P值来自卡方检验。</w:t>
            </w:r>
          </w:p>
        </w:tc>
      </w:tr>
    </w:tbl>
    <w:p>
      <w:pPr>
        <w:adjustRightInd w:val="0"/>
        <w:rPr>
          <w:rFonts w:ascii="Times New Roman" w:hAnsi="Times New Roman" w:eastAsia="宋体" w:cs="Times New Roman"/>
          <w:i/>
          <w:iCs/>
          <w:sz w:val="16"/>
          <w:szCs w:val="16"/>
        </w:rPr>
      </w:pPr>
    </w:p>
    <w:p>
      <w:pPr>
        <w:adjustRightInd w:val="0"/>
        <w:jc w:val="center"/>
        <w:rPr>
          <w:rFonts w:ascii="Times New Roman" w:hAnsi="Times New Roman" w:eastAsia="宋体" w:cs="Times New Roman"/>
          <w:b/>
          <w:bCs/>
          <w:sz w:val="22"/>
          <w:szCs w:val="22"/>
        </w:rPr>
      </w:pPr>
      <w:r>
        <w:rPr>
          <w:rFonts w:ascii="Times New Roman" w:hAnsi="Times New Roman" w:eastAsia="宋体" w:cs="Times New Roman"/>
          <w:b/>
          <w:bCs/>
          <w:sz w:val="22"/>
          <w:szCs w:val="22"/>
          <w:shd w:val="clear" w:color="auto" w:fill="FFFFFF"/>
        </w:rPr>
        <w:t>表5.2.2 两组患者血液系统化疗相关ADR发生情况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血液系统化疗相关ADR</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r>
              <w:rPr>
                <w:rFonts w:ascii="Times New Roman" w:hAnsi="Times New Roman" w:eastAsia="宋体" w:cs="Times New Roman"/>
                <w:b/>
                <w:bCs/>
              </w:rPr>
              <w:br w:type="textWrapping"/>
            </w:r>
            <w:r>
              <w:rPr>
                <w:rFonts w:ascii="Times New Roman" w:hAnsi="Times New Roman" w:eastAsia="宋体" w:cs="Times New Roman"/>
                <w:b/>
                <w:bCs/>
              </w:rPr>
              <w:t>(N=798)</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骨髓抑制</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121 (30.3%)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117 (29.3%)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238 (29.8%)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0.7569</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31 (7.8%)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44 (11.0%)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75 (9.4%)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0.1148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35 (8.8%)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46 (11.5%)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81 (10.2%)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0.1973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20 (5.0%)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 (4.8%)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39 (4.9%)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0.8696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4级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(3.8%)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 (3.5%)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29 (3.6%)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0.8500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白细胞异常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48 (12.0%)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45 (11.3%)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93 (11.7%)</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0.7407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 (2.0%)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 (1.5%)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0.2446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减少</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44 (11.0%)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39 (9.8%)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83 (10.4%)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0.5620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(2.3%)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 (1.8%)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0.2808</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 (2.0%)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 (1.6%)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0.4015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(0.6%)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4级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血小板异常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23 (5.8%)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27 (6.8%)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50 (6.3%)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0.5590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减少</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23 (5.8%)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25 (6.3%)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48 (6.0%)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0.7659</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(0.9%)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0.4511</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(1.8%)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(1.1%)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0.1772</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0.4994</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4级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中性粒细胞异常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(3.8%)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(3.8%)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30 (3.8%)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(1.8%)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 (2.5%)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17 (2.1%)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0.4620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减少</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 (2.0%)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 (2.5%)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18 (2.3%)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0.6335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(0.6%)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0.6241</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4级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血红蛋白异常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(3.8%)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 (3.0%)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27 (3.4%)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0.5570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减少</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(3.8%)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 (3.0%)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27 (3.4%)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0.5570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(1.5%)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(1.1%)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0.5053</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(0.6%)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0.4994</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红细胞异常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 (2.8%)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16 (2.0%)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0.1297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减少</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 (2.5%)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(1.9%)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0.1925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0.4994</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贫血</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(3.8%)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21 (5.3%)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36 (4.5%)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0.3061</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 (2.5%)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 (1.8%)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0.1057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(1.5%)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(1.1%)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0.5053</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eastAsia="宋体" w:cs="Times New Roman"/>
                <w:i/>
                <w:iCs/>
                <w:sz w:val="16"/>
                <w:szCs w:val="16"/>
              </w:rPr>
            </w:pPr>
            <w:r>
              <w:rPr>
                <w:rFonts w:ascii="Times New Roman" w:hAnsi="Times New Roman" w:eastAsia="宋体" w:cs="Times New Roman"/>
                <w:i/>
                <w:iCs/>
                <w:sz w:val="16"/>
                <w:szCs w:val="16"/>
              </w:rPr>
              <w:t>注：带*号P值来自Fisher精确检验，其他P值来自卡方检验。</w:t>
            </w:r>
          </w:p>
        </w:tc>
      </w:tr>
    </w:tbl>
    <w:p>
      <w:pPr>
        <w:adjustRightInd w:val="0"/>
        <w:rPr>
          <w:rFonts w:ascii="Times New Roman" w:hAnsi="Times New Roman" w:eastAsia="宋体" w:cs="Times New Roman"/>
          <w:i/>
          <w:iCs/>
          <w:sz w:val="16"/>
          <w:szCs w:val="16"/>
        </w:rPr>
      </w:pPr>
    </w:p>
    <w:p>
      <w:pPr>
        <w:adjustRightInd w:val="0"/>
        <w:jc w:val="center"/>
        <w:rPr>
          <w:rFonts w:ascii="Times New Roman" w:hAnsi="Times New Roman" w:eastAsia="宋体" w:cs="Times New Roman"/>
          <w:b/>
          <w:bCs/>
          <w:sz w:val="22"/>
          <w:szCs w:val="22"/>
        </w:rPr>
      </w:pPr>
      <w:r>
        <w:rPr>
          <w:rFonts w:ascii="Times New Roman" w:hAnsi="Times New Roman" w:eastAsia="宋体" w:cs="Times New Roman"/>
          <w:b/>
          <w:bCs/>
          <w:sz w:val="22"/>
          <w:szCs w:val="22"/>
          <w:shd w:val="clear" w:color="auto" w:fill="FFFFFF"/>
        </w:rPr>
        <w:t>表5.2.3 两组患者肝肾功能化疗相关ADR发生情况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肝肾功能化疗相关ADR</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r>
              <w:rPr>
                <w:rFonts w:ascii="Times New Roman" w:hAnsi="Times New Roman" w:eastAsia="宋体" w:cs="Times New Roman"/>
                <w:b/>
                <w:bCs/>
              </w:rPr>
              <w:br w:type="textWrapping"/>
            </w:r>
            <w:r>
              <w:rPr>
                <w:rFonts w:ascii="Times New Roman" w:hAnsi="Times New Roman" w:eastAsia="宋体" w:cs="Times New Roman"/>
                <w:b/>
                <w:bCs/>
              </w:rPr>
              <w:t>(N=798)</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肝功能损伤</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 (3.0%)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18 (4.5%)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30 (3.8%)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0.2642</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谷丙转氨酶异常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0.1241</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0.1241</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谷草转氨酶异常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总胆红素异常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0.4994</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降低</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直接胆红素异常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间接胆红素异常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降低</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肾功能损伤</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(2.3%)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 (1.4%)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0.0336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尿素氮异常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(0.6%)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0.3734</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降低</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0.6241</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肌酐异常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降低</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尿素异常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0.6241</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降低</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eastAsia="宋体" w:cs="Times New Roman"/>
                <w:i/>
                <w:iCs/>
                <w:sz w:val="16"/>
                <w:szCs w:val="16"/>
              </w:rPr>
            </w:pPr>
            <w:r>
              <w:rPr>
                <w:rFonts w:ascii="Times New Roman" w:hAnsi="Times New Roman" w:eastAsia="宋体" w:cs="Times New Roman"/>
                <w:i/>
                <w:iCs/>
                <w:sz w:val="16"/>
                <w:szCs w:val="16"/>
              </w:rPr>
              <w:t>注：带*号P值来自Fisher精确检验，其他P值来自卡方检验。</w:t>
            </w:r>
          </w:p>
        </w:tc>
      </w:tr>
    </w:tbl>
    <w:p>
      <w:pPr>
        <w:adjustRightInd w:val="0"/>
        <w:rPr>
          <w:rFonts w:ascii="Times New Roman" w:hAnsi="Times New Roman" w:eastAsia="宋体" w:cs="Times New Roman"/>
          <w:i/>
          <w:iCs/>
          <w:sz w:val="16"/>
          <w:szCs w:val="16"/>
        </w:rPr>
      </w:pPr>
    </w:p>
    <w:p>
      <w:pPr>
        <w:adjustRightInd w:val="0"/>
        <w:jc w:val="center"/>
        <w:rPr>
          <w:rFonts w:ascii="Times New Roman" w:hAnsi="Times New Roman" w:eastAsia="宋体" w:cs="Times New Roman"/>
          <w:b/>
          <w:bCs/>
          <w:sz w:val="22"/>
          <w:szCs w:val="22"/>
        </w:rPr>
      </w:pPr>
      <w:r>
        <w:rPr>
          <w:rFonts w:ascii="Times New Roman" w:hAnsi="Times New Roman" w:eastAsia="宋体" w:cs="Times New Roman"/>
          <w:b/>
          <w:bCs/>
          <w:sz w:val="22"/>
          <w:szCs w:val="22"/>
          <w:shd w:val="clear" w:color="auto" w:fill="FFFFFF"/>
        </w:rPr>
        <w:t>表5.2.4 两组患者胃肠消化道化疗相关ADR发生情况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胃肠消化道化疗相关ADR</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r>
              <w:rPr>
                <w:rFonts w:ascii="Times New Roman" w:hAnsi="Times New Roman" w:eastAsia="宋体" w:cs="Times New Roman"/>
                <w:b/>
                <w:bCs/>
              </w:rPr>
              <w:br w:type="textWrapping"/>
            </w:r>
            <w:r>
              <w:rPr>
                <w:rFonts w:ascii="Times New Roman" w:hAnsi="Times New Roman" w:eastAsia="宋体" w:cs="Times New Roman"/>
                <w:b/>
                <w:bCs/>
              </w:rPr>
              <w:t>(N=798)</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恶心呕吐</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104 (26.1%)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128 (32.1%)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232 (29.1%)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0.0614</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(2.3%)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(3.8%)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24 (3.0%)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0.2137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0.6863</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0.6863</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腹泻</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(1.5%)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 (1.3%)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0.5245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反酸</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(1.5%)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 (3.3%)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 (2.4%)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0.1041</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食欲胃纳不佳</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57 (14.3%)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43 (10.8%)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 (12.5%)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0.1344</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其他胃肠消化道反应</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116 (29.1%)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115 (28.8%)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231 (28.9%)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0.9378</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eastAsia="宋体" w:cs="Times New Roman"/>
                <w:i/>
                <w:iCs/>
                <w:sz w:val="16"/>
                <w:szCs w:val="16"/>
              </w:rPr>
            </w:pPr>
            <w:r>
              <w:rPr>
                <w:rFonts w:ascii="Times New Roman" w:hAnsi="Times New Roman" w:eastAsia="宋体" w:cs="Times New Roman"/>
                <w:i/>
                <w:iCs/>
                <w:sz w:val="16"/>
                <w:szCs w:val="16"/>
              </w:rPr>
              <w:t>注：带*号P值来自Fisher精确检验，其他P值来自卡方检验。</w:t>
            </w:r>
          </w:p>
        </w:tc>
      </w:tr>
    </w:tbl>
    <w:p>
      <w:pPr>
        <w:adjustRightInd w:val="0"/>
        <w:jc w:val="center"/>
        <w:rPr>
          <w:rFonts w:ascii="Times New Roman" w:hAnsi="Times New Roman" w:eastAsia="宋体" w:cs="Times New Roman"/>
          <w:b/>
          <w:bCs/>
          <w:sz w:val="22"/>
          <w:szCs w:val="22"/>
          <w:shd w:val="clear" w:color="auto" w:fill="FFFFFF"/>
        </w:rPr>
      </w:pPr>
    </w:p>
    <w:p>
      <w:pPr>
        <w:adjustRightInd w:val="0"/>
        <w:jc w:val="center"/>
        <w:rPr>
          <w:rFonts w:ascii="Times New Roman" w:hAnsi="Times New Roman" w:eastAsia="宋体" w:cs="Times New Roman"/>
          <w:b/>
          <w:bCs/>
          <w:sz w:val="22"/>
          <w:szCs w:val="22"/>
        </w:rPr>
      </w:pPr>
      <w:r>
        <w:rPr>
          <w:rFonts w:ascii="Times New Roman" w:hAnsi="Times New Roman" w:eastAsia="宋体" w:cs="Times New Roman"/>
          <w:b/>
          <w:bCs/>
          <w:sz w:val="22"/>
          <w:szCs w:val="22"/>
          <w:shd w:val="clear" w:color="auto" w:fill="FFFFFF"/>
        </w:rPr>
        <w:t>表5.2.5 两组患者其他化疗相关ADR发生情况</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其他化疗相关ADR</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r>
              <w:rPr>
                <w:rFonts w:ascii="Times New Roman" w:hAnsi="Times New Roman" w:eastAsia="宋体" w:cs="Times New Roman"/>
                <w:b/>
                <w:bCs/>
              </w:rPr>
              <w:br w:type="textWrapping"/>
            </w:r>
            <w:r>
              <w:rPr>
                <w:rFonts w:ascii="Times New Roman" w:hAnsi="Times New Roman" w:eastAsia="宋体" w:cs="Times New Roman"/>
                <w:b/>
                <w:bCs/>
              </w:rPr>
              <w:t>(N=798)</w:t>
            </w:r>
          </w:p>
        </w:tc>
        <w:tc>
          <w:tcPr>
            <w:tcW w:w="88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心功能异常</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 (3.0%)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16 (2.0%)</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0.0433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ind w:firstLine="180" w:firstLineChars="100"/>
              <w:rPr>
                <w:rFonts w:ascii="Times New Roman" w:hAnsi="Times New Roman" w:eastAsia="宋体" w:cs="Times New Roman"/>
                <w:sz w:val="18"/>
                <w:szCs w:val="18"/>
              </w:rPr>
            </w:pPr>
            <w:r>
              <w:rPr>
                <w:rFonts w:ascii="Times New Roman" w:hAnsi="Times New Roman" w:eastAsia="宋体" w:cs="Times New Roman"/>
                <w:bCs/>
                <w:sz w:val="18"/>
                <w:szCs w:val="18"/>
              </w:rPr>
              <w:t>心悸</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胸腔积液</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(0.4%)</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神经毒性</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发热</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 (3.0%)</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 (2.5%)</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22 (2.8%)</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0.6654</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(1.0%)</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(0.9%)</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(0.6%)</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b/>
                <w:bCs/>
                <w:sz w:val="18"/>
                <w:szCs w:val="18"/>
              </w:rPr>
              <w:t>寒战</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(0.3%)</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0.4994</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b/>
                <w:bCs/>
                <w:sz w:val="18"/>
                <w:szCs w:val="18"/>
              </w:rPr>
              <w:t>静脉炎</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0.6241</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bCs/>
                <w:sz w:val="18"/>
                <w:szCs w:val="18"/>
              </w:rPr>
              <w:t>皮疹</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(0.6%)</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b/>
                <w:bCs/>
                <w:sz w:val="18"/>
                <w:szCs w:val="18"/>
              </w:rPr>
              <w:t>瘙痒</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(1.0%)</w:t>
            </w:r>
          </w:p>
        </w:tc>
        <w:tc>
          <w:tcPr>
            <w:tcW w:w="88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(0.8%)</w:t>
            </w:r>
          </w:p>
        </w:tc>
        <w:tc>
          <w:tcPr>
            <w:tcW w:w="88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0.6863</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b/>
                <w:bCs/>
                <w:sz w:val="18"/>
                <w:szCs w:val="18"/>
              </w:rPr>
              <w:t>过敏反应</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(0.1%)</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血糖高</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(0.8%)</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0.2170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低钾血症</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(0.6%)</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低钙血症</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(0.5%)</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低钠血症</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(0.8%)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(0.8%)</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5000" w:type="pct"/>
            <w:gridSpan w:val="5"/>
            <w:tcBorders>
              <w:top w:val="nil"/>
              <w:left w:val="nil"/>
              <w:bottom w:val="double" w:color="000000" w:sz="4" w:space="0"/>
              <w:right w:val="nil"/>
            </w:tcBorders>
            <w:shd w:val="clear" w:color="auto" w:fill="FFFFFF"/>
            <w:tcMar>
              <w:left w:w="20" w:type="dxa"/>
              <w:right w:w="20" w:type="dxa"/>
            </w:tcMar>
          </w:tcPr>
          <w:p>
            <w:pPr>
              <w:pBdr>
                <w:top w:val="single" w:color="auto" w:sz="6" w:space="0"/>
              </w:pBdr>
              <w:adjustRightInd w:val="0"/>
              <w:spacing w:before="20" w:after="20"/>
              <w:rPr>
                <w:rFonts w:ascii="Times New Roman" w:hAnsi="Times New Roman" w:eastAsia="宋体" w:cs="Times New Roman"/>
                <w:i/>
                <w:iCs/>
                <w:sz w:val="16"/>
                <w:szCs w:val="16"/>
              </w:rPr>
            </w:pPr>
            <w:r>
              <w:rPr>
                <w:rFonts w:ascii="Times New Roman" w:hAnsi="Times New Roman" w:eastAsia="宋体" w:cs="Times New Roman"/>
                <w:i/>
                <w:iCs/>
                <w:sz w:val="16"/>
                <w:szCs w:val="16"/>
              </w:rPr>
              <w:t>注：带*号P值来自Fisher精确检验，其他P值来自卡方检验。</w:t>
            </w:r>
          </w:p>
        </w:tc>
      </w:tr>
    </w:tbl>
    <w:p>
      <w:pPr>
        <w:adjustRightInd w:val="0"/>
        <w:rPr>
          <w:rFonts w:ascii="Times New Roman" w:hAnsi="Times New Roman" w:cs="Times New Roman" w:eastAsiaTheme="minorEastAsia"/>
          <w:i/>
          <w:iCs/>
          <w:sz w:val="16"/>
          <w:szCs w:val="16"/>
        </w:rPr>
      </w:pPr>
    </w:p>
    <w:p>
      <w:pPr>
        <w:pStyle w:val="3"/>
        <w:rPr>
          <w:rFonts w:ascii="Times New Roman" w:hAnsi="Times New Roman" w:eastAsia="宋体" w:cs="Times New Roman"/>
          <w:sz w:val="28"/>
        </w:rPr>
      </w:pPr>
      <w:bookmarkStart w:id="29" w:name="_Toc33465518"/>
      <w:r>
        <w:rPr>
          <w:rFonts w:ascii="Times New Roman" w:hAnsi="Times New Roman" w:eastAsia="宋体" w:cs="Times New Roman"/>
          <w:sz w:val="24"/>
          <w:szCs w:val="24"/>
        </w:rPr>
        <w:t>多因素回归调整后结果</w:t>
      </w:r>
      <w:bookmarkEnd w:id="29"/>
    </w:p>
    <w:p>
      <w:pPr>
        <w:adjustRightInd w:val="0"/>
        <w:spacing w:before="120" w:beforeLines="50" w:line="360" w:lineRule="auto"/>
        <w:ind w:firstLine="480" w:firstLineChars="200"/>
        <w:rPr>
          <w:rFonts w:ascii="Times New Roman" w:hAnsi="Times New Roman" w:eastAsia="宋体" w:cs="Times New Roman"/>
          <w:sz w:val="24"/>
        </w:rPr>
      </w:pPr>
      <w:r>
        <w:rPr>
          <w:rFonts w:ascii="Times New Roman" w:hAnsi="Times New Roman" w:eastAsia="宋体" w:cs="Times New Roman"/>
          <w:kern w:val="0"/>
          <w:sz w:val="24"/>
          <w:szCs w:val="24"/>
        </w:rPr>
        <w:t>本部分将对两组患者采用多因素logistic回归调整的方法来控制混杂因素对</w:t>
      </w:r>
      <w:r>
        <w:rPr>
          <w:rFonts w:hint="eastAsia" w:ascii="Times New Roman" w:hAnsi="Times New Roman" w:eastAsia="宋体" w:cs="Times New Roman"/>
          <w:kern w:val="0"/>
          <w:sz w:val="24"/>
          <w:szCs w:val="24"/>
        </w:rPr>
        <w:t>化疗相关A</w:t>
      </w:r>
      <w:r>
        <w:rPr>
          <w:rFonts w:ascii="Times New Roman" w:hAnsi="Times New Roman" w:eastAsia="宋体" w:cs="Times New Roman"/>
          <w:kern w:val="0"/>
          <w:sz w:val="24"/>
          <w:szCs w:val="24"/>
        </w:rPr>
        <w:t>DR分析结果的影响。</w:t>
      </w:r>
      <w:r>
        <w:rPr>
          <w:rFonts w:ascii="Times New Roman" w:hAnsi="Times New Roman" w:eastAsia="宋体" w:cs="Times New Roman"/>
          <w:sz w:val="24"/>
        </w:rPr>
        <w:t>两组患者</w:t>
      </w:r>
      <w:r>
        <w:rPr>
          <w:rFonts w:hint="eastAsia" w:ascii="Times New Roman" w:hAnsi="Times New Roman" w:eastAsia="宋体" w:cs="Times New Roman"/>
          <w:sz w:val="24"/>
        </w:rPr>
        <w:t>化疗相关A</w:t>
      </w:r>
      <w:r>
        <w:rPr>
          <w:rFonts w:ascii="Times New Roman" w:hAnsi="Times New Roman" w:eastAsia="宋体" w:cs="Times New Roman"/>
          <w:sz w:val="24"/>
        </w:rPr>
        <w:t>DR的结果描述如下。</w:t>
      </w:r>
    </w:p>
    <w:p>
      <w:pPr>
        <w:adjustRightInd w:val="0"/>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参芪扶正组总</w:t>
      </w:r>
      <w:r>
        <w:rPr>
          <w:rFonts w:hint="eastAsia" w:ascii="Times New Roman" w:hAnsi="Times New Roman" w:eastAsia="宋体" w:cs="Times New Roman"/>
          <w:sz w:val="24"/>
        </w:rPr>
        <w:t>化疗相关A</w:t>
      </w:r>
      <w:r>
        <w:rPr>
          <w:rFonts w:ascii="Times New Roman" w:hAnsi="Times New Roman" w:eastAsia="宋体" w:cs="Times New Roman"/>
          <w:sz w:val="24"/>
        </w:rPr>
        <w:t>DR发生率比对照组略高，</w:t>
      </w:r>
      <w:r>
        <w:rPr>
          <w:rFonts w:hint="eastAsia" w:ascii="Times New Roman" w:hAnsi="Times New Roman" w:eastAsia="宋体" w:cs="Times New Roman"/>
          <w:sz w:val="24"/>
        </w:rPr>
        <w:t>而</w:t>
      </w:r>
      <w:r>
        <w:rPr>
          <w:rFonts w:ascii="Times New Roman" w:hAnsi="Times New Roman" w:eastAsia="宋体" w:cs="Times New Roman"/>
          <w:sz w:val="24"/>
        </w:rPr>
        <w:t>血小板异常发生率</w:t>
      </w:r>
      <w:r>
        <w:rPr>
          <w:rFonts w:hint="eastAsia" w:ascii="Times New Roman" w:hAnsi="Times New Roman" w:eastAsia="宋体" w:cs="Times New Roman"/>
          <w:sz w:val="24"/>
        </w:rPr>
        <w:t>、</w:t>
      </w:r>
      <w:r>
        <w:rPr>
          <w:rFonts w:ascii="Times New Roman" w:hAnsi="Times New Roman" w:eastAsia="宋体" w:cs="Times New Roman"/>
          <w:sz w:val="24"/>
        </w:rPr>
        <w:t>中性粒细胞减少发生率</w:t>
      </w:r>
      <w:r>
        <w:rPr>
          <w:rFonts w:hint="eastAsia" w:ascii="Times New Roman" w:hAnsi="Times New Roman" w:eastAsia="宋体" w:cs="Times New Roman"/>
          <w:sz w:val="24"/>
        </w:rPr>
        <w:t>、</w:t>
      </w:r>
      <w:r>
        <w:rPr>
          <w:rFonts w:ascii="Times New Roman" w:hAnsi="Times New Roman" w:eastAsia="宋体" w:cs="Times New Roman"/>
          <w:sz w:val="24"/>
        </w:rPr>
        <w:t>红细胞</w:t>
      </w:r>
      <w:r>
        <w:rPr>
          <w:rFonts w:hint="eastAsia" w:ascii="Times New Roman" w:hAnsi="Times New Roman" w:eastAsia="宋体" w:cs="Times New Roman"/>
          <w:sz w:val="24"/>
        </w:rPr>
        <w:t>减少</w:t>
      </w:r>
      <w:r>
        <w:rPr>
          <w:rFonts w:ascii="Times New Roman" w:hAnsi="Times New Roman" w:eastAsia="宋体" w:cs="Times New Roman"/>
          <w:sz w:val="24"/>
        </w:rPr>
        <w:t>发生率、贫血发生率、</w:t>
      </w:r>
      <w:r>
        <w:rPr>
          <w:rFonts w:hint="eastAsia" w:ascii="Times New Roman" w:hAnsi="Times New Roman" w:eastAsia="宋体" w:cs="Times New Roman"/>
          <w:sz w:val="24"/>
        </w:rPr>
        <w:t>肝功能损伤发生率、</w:t>
      </w:r>
      <w:r>
        <w:rPr>
          <w:rFonts w:ascii="Times New Roman" w:hAnsi="Times New Roman" w:eastAsia="宋体" w:cs="Times New Roman"/>
          <w:sz w:val="24"/>
        </w:rPr>
        <w:t>恶心呕吐</w:t>
      </w:r>
      <w:r>
        <w:rPr>
          <w:rFonts w:hint="eastAsia" w:ascii="Times New Roman" w:hAnsi="Times New Roman" w:eastAsia="宋体" w:cs="Times New Roman"/>
          <w:sz w:val="24"/>
        </w:rPr>
        <w:t>发生率、腹泻发生率、心功能异常发生率</w:t>
      </w:r>
      <w:r>
        <w:rPr>
          <w:rFonts w:ascii="Times New Roman" w:hAnsi="Times New Roman" w:eastAsia="宋体" w:cs="Times New Roman"/>
          <w:sz w:val="24"/>
        </w:rPr>
        <w:t>均较对照组略低，</w:t>
      </w:r>
      <w:r>
        <w:rPr>
          <w:rFonts w:hint="eastAsia" w:ascii="Times New Roman" w:hAnsi="Times New Roman" w:eastAsia="宋体" w:cs="Times New Roman"/>
          <w:sz w:val="24"/>
        </w:rPr>
        <w:t>但差异无统计学意义；而参芪扶正</w:t>
      </w:r>
      <w:r>
        <w:rPr>
          <w:rFonts w:hint="eastAsia" w:ascii="Times New Roman" w:hAnsi="Times New Roman" w:eastAsia="宋体" w:cs="Times New Roman"/>
          <w:sz w:val="24"/>
          <w:highlight w:val="yellow"/>
        </w:rPr>
        <w:t>组患者与化疗相关的肾功能损伤</w:t>
      </w:r>
      <w:r>
        <w:rPr>
          <w:rFonts w:ascii="Times New Roman" w:hAnsi="Times New Roman" w:eastAsia="宋体" w:cs="Times New Roman"/>
          <w:sz w:val="24"/>
          <w:highlight w:val="yellow"/>
        </w:rPr>
        <w:t>发生率、反酸发生率较对照组低，</w:t>
      </w:r>
      <w:r>
        <w:rPr>
          <w:rFonts w:hint="eastAsia" w:ascii="Times New Roman" w:hAnsi="Times New Roman" w:eastAsia="宋体" w:cs="Times New Roman"/>
          <w:sz w:val="24"/>
          <w:highlight w:val="yellow"/>
        </w:rPr>
        <w:t>且差异有统计学意</w:t>
      </w:r>
      <w:r>
        <w:rPr>
          <w:rFonts w:hint="eastAsia" w:ascii="Times New Roman" w:hAnsi="Times New Roman" w:eastAsia="宋体" w:cs="Times New Roman"/>
          <w:sz w:val="24"/>
        </w:rPr>
        <w:t>义</w:t>
      </w:r>
      <w:r>
        <w:rPr>
          <w:rFonts w:ascii="Times New Roman" w:hAnsi="Times New Roman" w:eastAsia="宋体" w:cs="Times New Roman"/>
          <w:sz w:val="24"/>
        </w:rPr>
        <w:t>。详见下表5.3.1~5.3.5。</w:t>
      </w:r>
    </w:p>
    <w:p>
      <w:pPr>
        <w:adjustRightInd w:val="0"/>
        <w:jc w:val="center"/>
        <w:rPr>
          <w:rFonts w:ascii="Times New Roman" w:hAnsi="Times New Roman" w:eastAsia="宋体" w:cs="Times New Roman"/>
          <w:b/>
          <w:bCs/>
          <w:sz w:val="22"/>
          <w:szCs w:val="22"/>
        </w:rPr>
      </w:pPr>
      <w:r>
        <w:rPr>
          <w:rFonts w:ascii="Times New Roman" w:hAnsi="Times New Roman" w:eastAsia="宋体" w:cs="Times New Roman"/>
          <w:b/>
          <w:bCs/>
          <w:sz w:val="22"/>
          <w:szCs w:val="22"/>
          <w:shd w:val="clear" w:color="auto" w:fill="FFFFFF"/>
        </w:rPr>
        <w:t>表5.3.1 两组患者总化疗相关ADR发生情况</w:t>
      </w:r>
    </w:p>
    <w:tbl>
      <w:tblPr>
        <w:tblStyle w:val="22"/>
        <w:tblW w:w="5000" w:type="pct"/>
        <w:jc w:val="center"/>
        <w:tblLayout w:type="autofit"/>
        <w:tblCellMar>
          <w:top w:w="0" w:type="dxa"/>
          <w:left w:w="0" w:type="dxa"/>
          <w:bottom w:w="0" w:type="dxa"/>
          <w:right w:w="0" w:type="dxa"/>
        </w:tblCellMar>
      </w:tblPr>
      <w:tblGrid>
        <w:gridCol w:w="3742"/>
        <w:gridCol w:w="2254"/>
        <w:gridCol w:w="2254"/>
        <w:gridCol w:w="2255"/>
      </w:tblGrid>
      <w:tr>
        <w:tblPrEx>
          <w:tblCellMar>
            <w:top w:w="0" w:type="dxa"/>
            <w:left w:w="0" w:type="dxa"/>
            <w:bottom w:w="0" w:type="dxa"/>
            <w:right w:w="0" w:type="dxa"/>
          </w:tblCellMar>
        </w:tblPrEx>
        <w:trPr>
          <w:cantSplit/>
          <w:tblHeader/>
          <w:jc w:val="center"/>
        </w:trPr>
        <w:tc>
          <w:tcPr>
            <w:tcW w:w="1781"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rPr>
                <w:rFonts w:ascii="Times New Roman" w:hAnsi="Times New Roman" w:eastAsia="宋体" w:cs="Times New Roman"/>
                <w:b/>
                <w:bCs/>
              </w:rPr>
            </w:pPr>
            <w:r>
              <w:rPr>
                <w:rFonts w:ascii="Times New Roman" w:hAnsi="Times New Roman" w:eastAsia="宋体" w:cs="Times New Roman"/>
                <w:b/>
                <w:bCs/>
              </w:rPr>
              <w:t>化疗相关ADR</w:t>
            </w:r>
          </w:p>
        </w:tc>
        <w:tc>
          <w:tcPr>
            <w:tcW w:w="1073"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1073"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(N=729)</w:t>
            </w:r>
          </w:p>
        </w:tc>
        <w:tc>
          <w:tcPr>
            <w:tcW w:w="1073" w:type="pct"/>
            <w:tcBorders>
              <w:top w:val="single" w:color="000000" w:sz="6" w:space="0"/>
              <w:left w:val="nil"/>
              <w:bottom w:val="inset" w:color="000000" w:sz="4" w:space="0"/>
              <w:right w:val="nil"/>
            </w:tcBorders>
            <w:shd w:val="clear" w:color="auto" w:fill="FFFFFF"/>
            <w:tcMar>
              <w:top w:w="0" w:type="dxa"/>
              <w:left w:w="20" w:type="dxa"/>
              <w:bottom w:w="0" w:type="dxa"/>
              <w:right w:w="20" w:type="dxa"/>
            </w:tcMar>
            <w:vAlign w:val="bottom"/>
          </w:tcPr>
          <w:p>
            <w:pPr>
              <w:autoSpaceDE w:val="0"/>
              <w:autoSpaceDN w:val="0"/>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781" w:type="pct"/>
            <w:tcBorders>
              <w:top w:val="nil"/>
              <w:left w:val="nil"/>
              <w:bottom w:val="double" w:color="000000" w:sz="6" w:space="0"/>
              <w:right w:val="nil"/>
            </w:tcBorders>
            <w:shd w:val="clear" w:color="auto" w:fill="F0F0F0"/>
            <w:tcMar>
              <w:top w:w="0" w:type="dxa"/>
              <w:left w:w="20" w:type="dxa"/>
              <w:bottom w:w="0" w:type="dxa"/>
              <w:right w:w="20" w:type="dxa"/>
            </w:tcMar>
          </w:tcPr>
          <w:p>
            <w:pPr>
              <w:autoSpaceDE w:val="0"/>
              <w:autoSpaceDN w:val="0"/>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总化疗相关ADR</w:t>
            </w:r>
          </w:p>
        </w:tc>
        <w:tc>
          <w:tcPr>
            <w:tcW w:w="1073" w:type="pct"/>
            <w:tcBorders>
              <w:top w:val="nil"/>
              <w:left w:val="nil"/>
              <w:bottom w:val="double" w:color="000000" w:sz="6" w:space="0"/>
              <w:right w:val="nil"/>
            </w:tcBorders>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63.7%</w:t>
            </w:r>
          </w:p>
        </w:tc>
        <w:tc>
          <w:tcPr>
            <w:tcW w:w="1073" w:type="pct"/>
            <w:tcBorders>
              <w:top w:val="nil"/>
              <w:left w:val="nil"/>
              <w:bottom w:val="double" w:color="000000" w:sz="6" w:space="0"/>
              <w:right w:val="nil"/>
            </w:tcBorders>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57.0%</w:t>
            </w:r>
          </w:p>
        </w:tc>
        <w:tc>
          <w:tcPr>
            <w:tcW w:w="1073" w:type="pct"/>
            <w:tcBorders>
              <w:top w:val="nil"/>
              <w:left w:val="nil"/>
              <w:bottom w:val="double" w:color="000000" w:sz="6" w:space="0"/>
              <w:right w:val="nil"/>
            </w:tcBorders>
            <w:shd w:val="clear" w:color="auto" w:fill="F0F0F0"/>
            <w:tcMar>
              <w:top w:w="0" w:type="dxa"/>
              <w:left w:w="20" w:type="dxa"/>
              <w:bottom w:w="0" w:type="dxa"/>
              <w:right w:w="20" w:type="dxa"/>
            </w:tcMar>
          </w:tcPr>
          <w:p>
            <w:pPr>
              <w:autoSpaceDE w:val="0"/>
              <w:autoSpaceDN w:val="0"/>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0.0534</w:t>
            </w:r>
          </w:p>
        </w:tc>
      </w:tr>
    </w:tbl>
    <w:p>
      <w:pPr>
        <w:adjustRightInd w:val="0"/>
        <w:jc w:val="center"/>
        <w:rPr>
          <w:rFonts w:ascii="Times New Roman" w:hAnsi="Times New Roman" w:eastAsia="宋体" w:cs="Times New Roman"/>
          <w:b/>
          <w:bCs/>
          <w:sz w:val="22"/>
          <w:szCs w:val="22"/>
          <w:shd w:val="clear" w:color="auto" w:fill="FFFFFF"/>
        </w:rPr>
      </w:pPr>
    </w:p>
    <w:p>
      <w:pPr>
        <w:adjustRightInd w:val="0"/>
        <w:jc w:val="center"/>
        <w:rPr>
          <w:rFonts w:ascii="Times New Roman" w:hAnsi="Times New Roman" w:eastAsia="宋体" w:cs="Times New Roman"/>
          <w:b/>
          <w:bCs/>
          <w:color w:val="auto"/>
          <w:sz w:val="22"/>
          <w:szCs w:val="22"/>
        </w:rPr>
      </w:pPr>
      <w:r>
        <w:rPr>
          <w:rFonts w:ascii="Times New Roman" w:hAnsi="Times New Roman" w:eastAsia="宋体" w:cs="Times New Roman"/>
          <w:b/>
          <w:bCs/>
          <w:sz w:val="22"/>
          <w:szCs w:val="22"/>
          <w:shd w:val="clear" w:color="auto" w:fill="FFFFFF"/>
        </w:rPr>
        <w:t>表5.3.2 两组患者血液系统化疗相关ADR发生情况</w:t>
      </w:r>
    </w:p>
    <w:tbl>
      <w:tblPr>
        <w:tblStyle w:val="22"/>
        <w:tblW w:w="5000" w:type="pct"/>
        <w:jc w:val="center"/>
        <w:tblLayout w:type="autofit"/>
        <w:tblCellMar>
          <w:top w:w="0" w:type="dxa"/>
          <w:left w:w="0" w:type="dxa"/>
          <w:bottom w:w="0" w:type="dxa"/>
          <w:right w:w="0" w:type="dxa"/>
        </w:tblCellMar>
      </w:tblPr>
      <w:tblGrid>
        <w:gridCol w:w="3742"/>
        <w:gridCol w:w="2254"/>
        <w:gridCol w:w="2254"/>
        <w:gridCol w:w="2255"/>
      </w:tblGrid>
      <w:tr>
        <w:tblPrEx>
          <w:tblCellMar>
            <w:top w:w="0" w:type="dxa"/>
            <w:left w:w="0" w:type="dxa"/>
            <w:bottom w:w="0" w:type="dxa"/>
            <w:right w:w="0" w:type="dxa"/>
          </w:tblCellMar>
        </w:tblPrEx>
        <w:trPr>
          <w:cantSplit/>
          <w:tblHeader/>
          <w:jc w:val="center"/>
        </w:trPr>
        <w:tc>
          <w:tcPr>
            <w:tcW w:w="1781"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血液系统化疗相关ADR</w:t>
            </w:r>
          </w:p>
        </w:tc>
        <w:tc>
          <w:tcPr>
            <w:tcW w:w="107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107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(N=729)</w:t>
            </w:r>
          </w:p>
        </w:tc>
        <w:tc>
          <w:tcPr>
            <w:tcW w:w="107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骨髓抑制</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34.9%</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33.9%</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0.7628</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4.6%</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6.6%</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0.1023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8.5%</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11.1%</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0.1715</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4.7%</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4.1%</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0.6169</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4级</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5.4%</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5.1%</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0.8587</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白细胞异常</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8.8%</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7.8%</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0.5171</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3.9%</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0.1982</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减少</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3.6%</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0.3464</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3.2%</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5.9%</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0.2107</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0.7268</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16.1%</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14.2%</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0.8564</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4级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0.6096</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血小板异常</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5.3%</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5.8%</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0.7168</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0.2120</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减少</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3.3%</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3.3%</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0.9720</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2.2%</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0.2170</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2.5%</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0.1195</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0.9616</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4级</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0.5469</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中性粒细胞异常</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5.1%</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7.1%</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0.2761</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4.7%</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0.3602</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减少</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2.6%</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4.4%</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0.1815</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0.4770</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0.6233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0.7506</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4级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0.2689</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血红蛋白异常</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5.1%</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4.6%</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0.7713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0.9503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减少</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3.5%</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2.9%</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0.6147</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0.9756</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0.7758</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0.9511</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红细胞异常</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1.7%</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3.9%</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0.0835</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1.6%</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0.9521</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减少</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2.2%</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4.8%</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0.1160</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0.9432</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贫血</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0.3759</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4.6%</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0.0191</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1.7%</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0.0763</w:t>
            </w:r>
          </w:p>
        </w:tc>
      </w:tr>
      <w:tr>
        <w:tblPrEx>
          <w:tblCellMar>
            <w:top w:w="0" w:type="dxa"/>
            <w:left w:w="0" w:type="dxa"/>
            <w:bottom w:w="0" w:type="dxa"/>
            <w:right w:w="0" w:type="dxa"/>
          </w:tblCellMar>
        </w:tblPrEx>
        <w:trPr>
          <w:cantSplit/>
          <w:jc w:val="center"/>
        </w:trPr>
        <w:tc>
          <w:tcPr>
            <w:tcW w:w="1781" w:type="pct"/>
            <w:tcBorders>
              <w:top w:val="nil"/>
              <w:left w:val="nil"/>
              <w:bottom w:val="double" w:color="000000" w:sz="4" w:space="0"/>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1073"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w:t>
            </w:r>
          </w:p>
        </w:tc>
        <w:tc>
          <w:tcPr>
            <w:tcW w:w="1073"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w:t>
            </w:r>
          </w:p>
        </w:tc>
        <w:tc>
          <w:tcPr>
            <w:tcW w:w="1073"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0.6019</w:t>
            </w:r>
          </w:p>
        </w:tc>
      </w:tr>
    </w:tbl>
    <w:p>
      <w:pPr>
        <w:adjustRightInd w:val="0"/>
        <w:rPr>
          <w:rFonts w:ascii="Times New Roman" w:hAnsi="Times New Roman" w:eastAsia="宋体" w:cs="Times New Roman"/>
          <w:sz w:val="18"/>
          <w:szCs w:val="18"/>
        </w:rPr>
      </w:pPr>
    </w:p>
    <w:p>
      <w:pPr>
        <w:adjustRightInd w:val="0"/>
        <w:jc w:val="center"/>
        <w:rPr>
          <w:rFonts w:ascii="Times New Roman" w:hAnsi="Times New Roman" w:eastAsia="宋体" w:cs="Times New Roman"/>
          <w:b/>
          <w:bCs/>
          <w:color w:val="auto"/>
          <w:sz w:val="22"/>
          <w:szCs w:val="22"/>
        </w:rPr>
      </w:pPr>
      <w:r>
        <w:rPr>
          <w:rFonts w:ascii="Times New Roman" w:hAnsi="Times New Roman" w:eastAsia="宋体" w:cs="Times New Roman"/>
          <w:b/>
          <w:bCs/>
          <w:sz w:val="22"/>
          <w:szCs w:val="22"/>
          <w:shd w:val="clear" w:color="auto" w:fill="FFFFFF"/>
        </w:rPr>
        <w:t>表5.3.3 两组患者肝肾功能化疗相关ADR发生情况</w:t>
      </w:r>
    </w:p>
    <w:tbl>
      <w:tblPr>
        <w:tblStyle w:val="22"/>
        <w:tblW w:w="5000" w:type="pct"/>
        <w:jc w:val="center"/>
        <w:tblLayout w:type="autofit"/>
        <w:tblCellMar>
          <w:top w:w="0" w:type="dxa"/>
          <w:left w:w="0" w:type="dxa"/>
          <w:bottom w:w="0" w:type="dxa"/>
          <w:right w:w="0" w:type="dxa"/>
        </w:tblCellMar>
      </w:tblPr>
      <w:tblGrid>
        <w:gridCol w:w="3742"/>
        <w:gridCol w:w="2254"/>
        <w:gridCol w:w="2254"/>
        <w:gridCol w:w="2255"/>
      </w:tblGrid>
      <w:tr>
        <w:tblPrEx>
          <w:tblCellMar>
            <w:top w:w="0" w:type="dxa"/>
            <w:left w:w="0" w:type="dxa"/>
            <w:bottom w:w="0" w:type="dxa"/>
            <w:right w:w="0" w:type="dxa"/>
          </w:tblCellMar>
        </w:tblPrEx>
        <w:trPr>
          <w:cantSplit/>
          <w:tblHeader/>
          <w:jc w:val="center"/>
        </w:trPr>
        <w:tc>
          <w:tcPr>
            <w:tcW w:w="1781"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肝肾功能化疗相关ADR</w:t>
            </w:r>
          </w:p>
        </w:tc>
        <w:tc>
          <w:tcPr>
            <w:tcW w:w="107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107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(N=729)</w:t>
            </w:r>
          </w:p>
        </w:tc>
        <w:tc>
          <w:tcPr>
            <w:tcW w:w="107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肝功能损伤</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2.5%</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3.8%</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0.2304</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0.3174</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0.9528</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谷丙转氨酶异常</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0.9399</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0.9399</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谷草转氨酶异常</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0.9616</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0.9616</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碱性磷酸酶异常</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0.9503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降低</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0.9503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0.9503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0.9503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总胆红素异常</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0.9557</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降低</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0.9616</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0.9616</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0.9616</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直接胆红素异常</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0.9465</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降低</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0.9616</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0.9465</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0.9455</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0.9503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间接胆红素异常</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0.9528</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降低</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0.9503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0.9503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肾功能损伤</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5.6%</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0.0258</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0.9503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尿素氮异常</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0.1871</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降低</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0.9526</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0.2986</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肌酐异常</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0.1876</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降低</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0.9528</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0.5961</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0.9503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尿素异常</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2.4%</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0.0779</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降低</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0.9503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升高</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2.4%</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0.0779</w:t>
            </w:r>
          </w:p>
        </w:tc>
      </w:tr>
      <w:tr>
        <w:tblPrEx>
          <w:tblCellMar>
            <w:top w:w="0" w:type="dxa"/>
            <w:left w:w="0" w:type="dxa"/>
            <w:bottom w:w="0" w:type="dxa"/>
            <w:right w:w="0" w:type="dxa"/>
          </w:tblCellMar>
        </w:tblPrEx>
        <w:trPr>
          <w:cantSplit/>
          <w:jc w:val="center"/>
        </w:trPr>
        <w:tc>
          <w:tcPr>
            <w:tcW w:w="1781" w:type="pct"/>
            <w:tcBorders>
              <w:top w:val="nil"/>
              <w:left w:val="nil"/>
              <w:bottom w:val="double" w:color="000000" w:sz="4" w:space="0"/>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1073"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w:t>
            </w:r>
          </w:p>
        </w:tc>
        <w:tc>
          <w:tcPr>
            <w:tcW w:w="1073"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0.9503</w:t>
            </w:r>
          </w:p>
        </w:tc>
      </w:tr>
    </w:tbl>
    <w:p>
      <w:pPr>
        <w:adjustRightInd w:val="0"/>
        <w:rPr>
          <w:rFonts w:ascii="Times New Roman" w:hAnsi="Times New Roman" w:eastAsia="宋体" w:cs="Times New Roman"/>
          <w:sz w:val="18"/>
          <w:szCs w:val="18"/>
        </w:rPr>
      </w:pPr>
    </w:p>
    <w:p>
      <w:pPr>
        <w:adjustRightInd w:val="0"/>
        <w:jc w:val="center"/>
        <w:rPr>
          <w:rFonts w:ascii="Times New Roman" w:hAnsi="Times New Roman" w:eastAsia="宋体" w:cs="Times New Roman"/>
          <w:b/>
          <w:bCs/>
          <w:color w:val="auto"/>
          <w:sz w:val="22"/>
          <w:szCs w:val="22"/>
        </w:rPr>
      </w:pPr>
      <w:r>
        <w:rPr>
          <w:rFonts w:ascii="Times New Roman" w:hAnsi="Times New Roman" w:eastAsia="宋体" w:cs="Times New Roman"/>
          <w:b/>
          <w:bCs/>
          <w:sz w:val="22"/>
          <w:szCs w:val="22"/>
          <w:shd w:val="clear" w:color="auto" w:fill="FFFFFF"/>
        </w:rPr>
        <w:t>表5.3.4 两组患者胃肠消化道化疗相关ADR发生情况</w:t>
      </w:r>
    </w:p>
    <w:tbl>
      <w:tblPr>
        <w:tblStyle w:val="22"/>
        <w:tblW w:w="5000" w:type="pct"/>
        <w:jc w:val="center"/>
        <w:tblLayout w:type="autofit"/>
        <w:tblCellMar>
          <w:top w:w="0" w:type="dxa"/>
          <w:left w:w="0" w:type="dxa"/>
          <w:bottom w:w="0" w:type="dxa"/>
          <w:right w:w="0" w:type="dxa"/>
        </w:tblCellMar>
      </w:tblPr>
      <w:tblGrid>
        <w:gridCol w:w="3742"/>
        <w:gridCol w:w="2254"/>
        <w:gridCol w:w="2254"/>
        <w:gridCol w:w="2255"/>
      </w:tblGrid>
      <w:tr>
        <w:tblPrEx>
          <w:tblCellMar>
            <w:top w:w="0" w:type="dxa"/>
            <w:left w:w="0" w:type="dxa"/>
            <w:bottom w:w="0" w:type="dxa"/>
            <w:right w:w="0" w:type="dxa"/>
          </w:tblCellMar>
        </w:tblPrEx>
        <w:trPr>
          <w:cantSplit/>
          <w:tblHeader/>
          <w:jc w:val="center"/>
        </w:trPr>
        <w:tc>
          <w:tcPr>
            <w:tcW w:w="1781"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胃肠消化道化疗相关ADR</w:t>
            </w:r>
          </w:p>
        </w:tc>
        <w:tc>
          <w:tcPr>
            <w:tcW w:w="107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107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(N=729)</w:t>
            </w:r>
          </w:p>
        </w:tc>
        <w:tc>
          <w:tcPr>
            <w:tcW w:w="107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恶心呕吐</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23.5%</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26.6%</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0.2644</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0.4719</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0.5331</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3级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2.1%</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0.1521</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腹泻</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0.6036</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0.4817</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0.9528</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反酸</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2.2%</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0.0360</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食欲胃纳不佳</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11.1%</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0.1688</w:t>
            </w:r>
          </w:p>
        </w:tc>
      </w:tr>
      <w:tr>
        <w:tblPrEx>
          <w:tblCellMar>
            <w:top w:w="0" w:type="dxa"/>
            <w:left w:w="0" w:type="dxa"/>
            <w:bottom w:w="0" w:type="dxa"/>
            <w:right w:w="0" w:type="dxa"/>
          </w:tblCellMar>
        </w:tblPrEx>
        <w:trPr>
          <w:cantSplit/>
          <w:jc w:val="center"/>
        </w:trPr>
        <w:tc>
          <w:tcPr>
            <w:tcW w:w="1781" w:type="pct"/>
            <w:tcBorders>
              <w:top w:val="nil"/>
              <w:left w:val="nil"/>
              <w:bottom w:val="double" w:color="000000" w:sz="4" w:space="0"/>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其他胃肠消化道反应</w:t>
            </w:r>
          </w:p>
        </w:tc>
        <w:tc>
          <w:tcPr>
            <w:tcW w:w="1073"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21.4%</w:t>
            </w:r>
          </w:p>
        </w:tc>
        <w:tc>
          <w:tcPr>
            <w:tcW w:w="1073"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17.0%</w:t>
            </w:r>
          </w:p>
        </w:tc>
        <w:tc>
          <w:tcPr>
            <w:tcW w:w="1073"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0.0616</w:t>
            </w:r>
          </w:p>
        </w:tc>
      </w:tr>
    </w:tbl>
    <w:p>
      <w:pPr>
        <w:adjustRightInd w:val="0"/>
        <w:rPr>
          <w:rFonts w:ascii="Times New Roman" w:hAnsi="Times New Roman" w:eastAsia="宋体" w:cs="Times New Roman"/>
          <w:sz w:val="18"/>
          <w:szCs w:val="18"/>
        </w:rPr>
      </w:pPr>
    </w:p>
    <w:p>
      <w:pPr>
        <w:adjustRightInd w:val="0"/>
        <w:jc w:val="center"/>
        <w:rPr>
          <w:rFonts w:ascii="Times New Roman" w:hAnsi="Times New Roman" w:eastAsia="宋体" w:cs="Times New Roman"/>
          <w:b/>
          <w:bCs/>
          <w:color w:val="auto"/>
          <w:sz w:val="22"/>
          <w:szCs w:val="22"/>
        </w:rPr>
      </w:pPr>
      <w:r>
        <w:rPr>
          <w:rFonts w:ascii="Times New Roman" w:hAnsi="Times New Roman" w:eastAsia="宋体" w:cs="Times New Roman"/>
          <w:b/>
          <w:bCs/>
          <w:sz w:val="22"/>
          <w:szCs w:val="22"/>
          <w:shd w:val="clear" w:color="auto" w:fill="FFFFFF"/>
        </w:rPr>
        <w:t>表5.3.5 两组患者其他化疗相关ADR发生情况</w:t>
      </w:r>
    </w:p>
    <w:tbl>
      <w:tblPr>
        <w:tblStyle w:val="22"/>
        <w:tblW w:w="5000" w:type="pct"/>
        <w:jc w:val="center"/>
        <w:tblLayout w:type="autofit"/>
        <w:tblCellMar>
          <w:top w:w="0" w:type="dxa"/>
          <w:left w:w="0" w:type="dxa"/>
          <w:bottom w:w="0" w:type="dxa"/>
          <w:right w:w="0" w:type="dxa"/>
        </w:tblCellMar>
      </w:tblPr>
      <w:tblGrid>
        <w:gridCol w:w="3742"/>
        <w:gridCol w:w="2254"/>
        <w:gridCol w:w="2254"/>
        <w:gridCol w:w="2255"/>
      </w:tblGrid>
      <w:tr>
        <w:tblPrEx>
          <w:tblCellMar>
            <w:top w:w="0" w:type="dxa"/>
            <w:left w:w="0" w:type="dxa"/>
            <w:bottom w:w="0" w:type="dxa"/>
            <w:right w:w="0" w:type="dxa"/>
          </w:tblCellMar>
        </w:tblPrEx>
        <w:trPr>
          <w:cantSplit/>
          <w:tblHeader/>
          <w:jc w:val="center"/>
        </w:trPr>
        <w:tc>
          <w:tcPr>
            <w:tcW w:w="1781"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其他化疗相关ADR</w:t>
            </w:r>
          </w:p>
        </w:tc>
        <w:tc>
          <w:tcPr>
            <w:tcW w:w="107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(N=399)</w:t>
            </w:r>
          </w:p>
        </w:tc>
        <w:tc>
          <w:tcPr>
            <w:tcW w:w="107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(N=729)</w:t>
            </w:r>
          </w:p>
        </w:tc>
        <w:tc>
          <w:tcPr>
            <w:tcW w:w="107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心功能异常</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2.4%</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0.1447</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b/>
                <w:sz w:val="18"/>
                <w:szCs w:val="18"/>
              </w:rPr>
              <w:t xml:space="preserve">  </w:t>
            </w:r>
            <w:r>
              <w:rPr>
                <w:rFonts w:ascii="Times New Roman" w:hAnsi="Times New Roman" w:eastAsia="宋体" w:cs="Times New Roman"/>
                <w:sz w:val="18"/>
                <w:szCs w:val="18"/>
              </w:rPr>
              <w:t>2级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0.6704</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ind w:firstLine="180" w:firstLineChars="100"/>
              <w:rPr>
                <w:rFonts w:ascii="Times New Roman" w:hAnsi="Times New Roman" w:eastAsia="宋体" w:cs="Times New Roman"/>
                <w:sz w:val="18"/>
                <w:szCs w:val="18"/>
              </w:rPr>
            </w:pPr>
            <w:r>
              <w:rPr>
                <w:rFonts w:ascii="Times New Roman" w:hAnsi="Times New Roman" w:eastAsia="宋体" w:cs="Times New Roman"/>
                <w:bCs/>
                <w:sz w:val="18"/>
                <w:szCs w:val="18"/>
              </w:rPr>
              <w:t>心悸</w:t>
            </w:r>
          </w:p>
        </w:tc>
        <w:tc>
          <w:tcPr>
            <w:tcW w:w="107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w:t>
            </w:r>
          </w:p>
        </w:tc>
        <w:tc>
          <w:tcPr>
            <w:tcW w:w="107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w:t>
            </w:r>
          </w:p>
        </w:tc>
        <w:tc>
          <w:tcPr>
            <w:tcW w:w="107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0.5469</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胸腔积液</w:t>
            </w:r>
          </w:p>
        </w:tc>
        <w:tc>
          <w:tcPr>
            <w:tcW w:w="107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w:t>
            </w:r>
          </w:p>
        </w:tc>
        <w:tc>
          <w:tcPr>
            <w:tcW w:w="107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w:t>
            </w:r>
          </w:p>
        </w:tc>
        <w:tc>
          <w:tcPr>
            <w:tcW w:w="107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0.6662</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bCs/>
                <w:sz w:val="18"/>
                <w:szCs w:val="18"/>
              </w:rPr>
              <w:t>憋气</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0.9528</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神经毒性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0.9503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发热</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3.2%</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3.4%</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0.8740</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0.8950</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2级</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0.9780</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b/>
                <w:bCs/>
                <w:sz w:val="18"/>
                <w:szCs w:val="18"/>
              </w:rPr>
              <w:t>寒战</w:t>
            </w:r>
          </w:p>
        </w:tc>
        <w:tc>
          <w:tcPr>
            <w:tcW w:w="107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w:t>
            </w:r>
          </w:p>
        </w:tc>
        <w:tc>
          <w:tcPr>
            <w:tcW w:w="107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0.9554</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b/>
                <w:bCs/>
                <w:sz w:val="18"/>
                <w:szCs w:val="18"/>
              </w:rPr>
              <w:t>静脉炎</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2.6%</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0.5162</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107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w:t>
            </w:r>
          </w:p>
        </w:tc>
        <w:tc>
          <w:tcPr>
            <w:tcW w:w="107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0.9503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bCs/>
                <w:sz w:val="18"/>
                <w:szCs w:val="18"/>
              </w:rPr>
              <w:t>皮疹</w:t>
            </w:r>
          </w:p>
        </w:tc>
        <w:tc>
          <w:tcPr>
            <w:tcW w:w="107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w:t>
            </w:r>
          </w:p>
        </w:tc>
        <w:tc>
          <w:tcPr>
            <w:tcW w:w="107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w:t>
            </w:r>
          </w:p>
        </w:tc>
        <w:tc>
          <w:tcPr>
            <w:tcW w:w="107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0.9611</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1级</w:t>
            </w:r>
          </w:p>
        </w:tc>
        <w:tc>
          <w:tcPr>
            <w:tcW w:w="107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w:t>
            </w:r>
          </w:p>
        </w:tc>
        <w:tc>
          <w:tcPr>
            <w:tcW w:w="107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0.9523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b/>
                <w:bCs/>
                <w:sz w:val="18"/>
                <w:szCs w:val="18"/>
              </w:rPr>
              <w:t>瘙痒</w:t>
            </w:r>
          </w:p>
        </w:tc>
        <w:tc>
          <w:tcPr>
            <w:tcW w:w="107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w:t>
            </w:r>
          </w:p>
        </w:tc>
        <w:tc>
          <w:tcPr>
            <w:tcW w:w="107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w:t>
            </w:r>
          </w:p>
        </w:tc>
        <w:tc>
          <w:tcPr>
            <w:tcW w:w="1073"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0.8323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b/>
                <w:bCs/>
                <w:sz w:val="18"/>
                <w:szCs w:val="18"/>
              </w:rPr>
              <w:t>过敏反应</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0.9472</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血糖高</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3.3%</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0.1357</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血糖低</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0.9503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低钾血症</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w:t>
            </w:r>
          </w:p>
        </w:tc>
        <w:tc>
          <w:tcPr>
            <w:tcW w:w="107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0.3753</w:t>
            </w:r>
          </w:p>
        </w:tc>
      </w:tr>
      <w:tr>
        <w:tblPrEx>
          <w:tblCellMar>
            <w:top w:w="0" w:type="dxa"/>
            <w:left w:w="0" w:type="dxa"/>
            <w:bottom w:w="0" w:type="dxa"/>
            <w:right w:w="0" w:type="dxa"/>
          </w:tblCellMar>
        </w:tblPrEx>
        <w:trPr>
          <w:cantSplit/>
          <w:jc w:val="center"/>
        </w:trPr>
        <w:tc>
          <w:tcPr>
            <w:tcW w:w="1781"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低钙血症</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w:t>
            </w:r>
          </w:p>
        </w:tc>
        <w:tc>
          <w:tcPr>
            <w:tcW w:w="107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0.9038</w:t>
            </w:r>
          </w:p>
        </w:tc>
      </w:tr>
      <w:tr>
        <w:tblPrEx>
          <w:tblCellMar>
            <w:top w:w="0" w:type="dxa"/>
            <w:left w:w="0" w:type="dxa"/>
            <w:bottom w:w="0" w:type="dxa"/>
            <w:right w:w="0" w:type="dxa"/>
          </w:tblCellMar>
        </w:tblPrEx>
        <w:trPr>
          <w:cantSplit/>
          <w:jc w:val="center"/>
        </w:trPr>
        <w:tc>
          <w:tcPr>
            <w:tcW w:w="1781" w:type="pct"/>
            <w:tcBorders>
              <w:top w:val="nil"/>
              <w:left w:val="nil"/>
              <w:bottom w:val="double" w:color="000000" w:sz="4" w:space="0"/>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sz w:val="18"/>
                <w:szCs w:val="18"/>
              </w:rPr>
            </w:pPr>
            <w:r>
              <w:rPr>
                <w:rFonts w:ascii="Times New Roman" w:hAnsi="Times New Roman" w:eastAsia="宋体" w:cs="Times New Roman"/>
                <w:b/>
                <w:sz w:val="18"/>
                <w:szCs w:val="18"/>
              </w:rPr>
              <w:t>低钠血症</w:t>
            </w:r>
          </w:p>
        </w:tc>
        <w:tc>
          <w:tcPr>
            <w:tcW w:w="1073"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w:t>
            </w:r>
          </w:p>
        </w:tc>
        <w:tc>
          <w:tcPr>
            <w:tcW w:w="1073"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w:t>
            </w:r>
          </w:p>
        </w:tc>
        <w:tc>
          <w:tcPr>
            <w:tcW w:w="1073"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0.9010</w:t>
            </w:r>
          </w:p>
        </w:tc>
      </w:tr>
    </w:tbl>
    <w:p>
      <w:pPr>
        <w:adjustRightInd w:val="0"/>
        <w:rPr>
          <w:rFonts w:ascii="Times New Roman" w:hAnsi="Times New Roman" w:cs="Times New Roman" w:eastAsiaTheme="minorEastAsia"/>
          <w:sz w:val="18"/>
          <w:szCs w:val="18"/>
        </w:rPr>
      </w:pPr>
    </w:p>
    <w:p>
      <w:pPr>
        <w:adjustRightInd w:val="0"/>
        <w:rPr>
          <w:rFonts w:ascii="Times New Roman" w:hAnsi="Times New Roman" w:cs="Times New Roman" w:eastAsiaTheme="minorEastAsia"/>
          <w:sz w:val="18"/>
          <w:szCs w:val="18"/>
        </w:rPr>
      </w:pPr>
    </w:p>
    <w:p>
      <w:pPr>
        <w:pStyle w:val="2"/>
        <w:spacing w:before="240" w:after="120" w:line="360" w:lineRule="auto"/>
        <w:rPr>
          <w:rFonts w:ascii="Times New Roman" w:hAnsi="Times New Roman" w:eastAsia="宋体" w:cs="Times New Roman"/>
          <w:sz w:val="36"/>
        </w:rPr>
      </w:pPr>
      <w:bookmarkStart w:id="30" w:name="_Toc33465519"/>
      <w:r>
        <w:rPr>
          <w:rFonts w:hint="eastAsia" w:ascii="Times New Roman" w:hAnsi="Times New Roman" w:eastAsia="宋体" w:cs="Times New Roman"/>
          <w:sz w:val="36"/>
        </w:rPr>
        <w:t>探索性分析</w:t>
      </w:r>
      <w:bookmarkEnd w:id="30"/>
    </w:p>
    <w:p>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该部分</w:t>
      </w:r>
      <w:r>
        <w:rPr>
          <w:rFonts w:hint="eastAsia" w:ascii="Times New Roman" w:hAnsi="Times New Roman" w:eastAsia="宋体" w:cs="Times New Roman"/>
          <w:sz w:val="24"/>
        </w:rPr>
        <w:t>我们选择</w:t>
      </w:r>
      <w:r>
        <w:rPr>
          <w:rFonts w:ascii="Times New Roman" w:hAnsi="Times New Roman" w:eastAsia="宋体" w:cs="Times New Roman"/>
          <w:sz w:val="24"/>
        </w:rPr>
        <w:t>研究人群</w:t>
      </w:r>
      <w:r>
        <w:rPr>
          <w:rFonts w:hint="eastAsia" w:ascii="Times New Roman" w:hAnsi="Times New Roman" w:eastAsia="宋体" w:cs="Times New Roman"/>
          <w:sz w:val="24"/>
        </w:rPr>
        <w:t>中基线化疗比较规范且参芪扶正组使用参芪扶正也比较规范的患者分析其化疗完成情况</w:t>
      </w:r>
      <w:r>
        <w:rPr>
          <w:rFonts w:ascii="Times New Roman" w:hAnsi="Times New Roman" w:eastAsia="宋体" w:cs="Times New Roman"/>
          <w:sz w:val="24"/>
        </w:rPr>
        <w:t>。</w:t>
      </w:r>
      <w:r>
        <w:rPr>
          <w:rFonts w:hint="eastAsia" w:ascii="Times New Roman" w:hAnsi="Times New Roman" w:eastAsia="宋体" w:cs="Times New Roman"/>
          <w:sz w:val="24"/>
        </w:rPr>
        <w:t>其中，参芪扶正组患者中基线化疗</w:t>
      </w:r>
      <w:r>
        <w:rPr>
          <w:rFonts w:ascii="Times New Roman" w:hAnsi="Times New Roman" w:eastAsia="宋体" w:cs="Times New Roman"/>
          <w:sz w:val="24"/>
        </w:rPr>
        <w:t>4~6</w:t>
      </w:r>
      <w:r>
        <w:rPr>
          <w:rFonts w:hint="eastAsia" w:ascii="Times New Roman" w:hAnsi="Times New Roman" w:eastAsia="宋体" w:cs="Times New Roman"/>
          <w:sz w:val="24"/>
        </w:rPr>
        <w:t>周期患者且每化疗周期均连续使用参芪扶正≥</w:t>
      </w:r>
      <w:r>
        <w:rPr>
          <w:rFonts w:ascii="Times New Roman" w:hAnsi="Times New Roman" w:eastAsia="宋体" w:cs="Times New Roman"/>
          <w:sz w:val="24"/>
        </w:rPr>
        <w:t>5</w:t>
      </w:r>
      <w:r>
        <w:rPr>
          <w:rFonts w:hint="eastAsia" w:ascii="Times New Roman" w:hAnsi="Times New Roman" w:eastAsia="宋体" w:cs="Times New Roman"/>
          <w:sz w:val="24"/>
        </w:rPr>
        <w:t>天的患者共32人，对照组基线化疗</w:t>
      </w:r>
      <w:r>
        <w:rPr>
          <w:rFonts w:ascii="Times New Roman" w:hAnsi="Times New Roman" w:eastAsia="宋体" w:cs="Times New Roman"/>
          <w:sz w:val="24"/>
        </w:rPr>
        <w:t>4~6</w:t>
      </w:r>
      <w:r>
        <w:rPr>
          <w:rFonts w:hint="eastAsia" w:ascii="Times New Roman" w:hAnsi="Times New Roman" w:eastAsia="宋体" w:cs="Times New Roman"/>
          <w:sz w:val="24"/>
        </w:rPr>
        <w:t>周期患者共613人。</w:t>
      </w:r>
    </w:p>
    <w:p>
      <w:pPr>
        <w:spacing w:line="360" w:lineRule="auto"/>
        <w:ind w:firstLine="480" w:firstLineChars="200"/>
        <w:rPr>
          <w:rFonts w:ascii="Times New Roman" w:hAnsi="Times New Roman" w:eastAsia="宋体" w:cs="Times New Roman"/>
          <w:kern w:val="0"/>
          <w:sz w:val="24"/>
          <w:szCs w:val="24"/>
        </w:rPr>
      </w:pPr>
      <w:r>
        <w:rPr>
          <w:rFonts w:hint="eastAsia" w:ascii="Times New Roman" w:hAnsi="Times New Roman" w:eastAsia="宋体" w:cs="Times New Roman"/>
          <w:sz w:val="24"/>
        </w:rPr>
        <w:t>为了使两组之间基线特征均衡，对该人群采用倾向性评分匹配方法按照两组1：1比例进行匹配，</w:t>
      </w:r>
      <w:r>
        <w:rPr>
          <w:rFonts w:hint="eastAsia" w:ascii="Times New Roman" w:hAnsi="Times New Roman" w:eastAsia="宋体" w:cs="Times New Roman"/>
          <w:kern w:val="0"/>
          <w:sz w:val="24"/>
          <w:szCs w:val="24"/>
        </w:rPr>
        <w:t>匹配变量包括：患者所在医院级别、医院类型、患者入院年份、性别、年龄、疾病分期、病理类型、主要转移部位、根治术情况、基线化疗方案及周期数、基线化疗具体铂类、后续治疗方式（即是否有化疗、靶向、生物免疫治疗）；最终匹配后的分析人群为64人，每组32人。</w:t>
      </w:r>
    </w:p>
    <w:p>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匹配前两组患者基本信息描述详见下表6.1~6.3。</w:t>
      </w: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表6.1 医院信息描述</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医院情况</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(N=32)</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(N=613)</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r>
              <w:rPr>
                <w:rFonts w:ascii="Times New Roman" w:hAnsi="Times New Roman" w:eastAsia="宋体" w:cs="Times New Roman"/>
                <w:b/>
                <w:bCs/>
              </w:rPr>
              <w:br w:type="textWrapping"/>
            </w:r>
            <w:r>
              <w:rPr>
                <w:rFonts w:ascii="Times New Roman" w:hAnsi="Times New Roman" w:eastAsia="宋体" w:cs="Times New Roman"/>
                <w:b/>
                <w:bCs/>
              </w:rPr>
              <w:t>(N=645)</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医院级别</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二级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 (1.8%)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 (1.7%)</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三级</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32 (100.0%)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602 (98.2%)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634 (98.3%)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医院类型</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0.0056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专科医院</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176 (28.7%)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178 (27.6%)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double" w:color="000000" w:sz="4" w:space="0"/>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综合医院</w:t>
            </w:r>
          </w:p>
        </w:tc>
        <w:tc>
          <w:tcPr>
            <w:tcW w:w="884"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30 (93.8%)</w:t>
            </w:r>
          </w:p>
        </w:tc>
        <w:tc>
          <w:tcPr>
            <w:tcW w:w="884"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437 (71.3%)</w:t>
            </w:r>
          </w:p>
        </w:tc>
        <w:tc>
          <w:tcPr>
            <w:tcW w:w="884"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467 (72.4%)</w:t>
            </w:r>
          </w:p>
        </w:tc>
        <w:tc>
          <w:tcPr>
            <w:tcW w:w="884"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bl>
    <w:p>
      <w:pPr>
        <w:adjustRightInd w:val="0"/>
        <w:spacing w:after="10"/>
        <w:rPr>
          <w:rFonts w:ascii="Times New Roman" w:hAnsi="Times New Roman" w:eastAsia="宋体" w:cs="Times New Roman"/>
          <w:i/>
          <w:iCs/>
          <w:sz w:val="16"/>
          <w:szCs w:val="16"/>
        </w:rPr>
      </w:pPr>
      <w:r>
        <w:rPr>
          <w:rFonts w:ascii="Times New Roman" w:hAnsi="Times New Roman" w:eastAsia="宋体" w:cs="Times New Roman"/>
          <w:i/>
          <w:iCs/>
          <w:sz w:val="16"/>
          <w:szCs w:val="16"/>
        </w:rPr>
        <w:t>注：带*号的P值来自Fisher精确检验，其他P值来自卡方检验。</w:t>
      </w:r>
    </w:p>
    <w:p>
      <w:pPr>
        <w:adjustRightInd w:val="0"/>
        <w:spacing w:before="10" w:after="10"/>
        <w:jc w:val="center"/>
        <w:rPr>
          <w:rFonts w:ascii="Times New Roman" w:hAnsi="Times New Roman" w:eastAsia="宋体" w:cs="Times New Roman"/>
          <w:b/>
          <w:bCs/>
          <w:sz w:val="22"/>
          <w:szCs w:val="22"/>
        </w:rPr>
      </w:pP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表6.2 患者入组时间描述</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患者入组时间</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(N=32)</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(N=613)</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r>
              <w:rPr>
                <w:rFonts w:ascii="Times New Roman" w:hAnsi="Times New Roman" w:eastAsia="宋体" w:cs="Times New Roman"/>
                <w:b/>
                <w:bCs/>
              </w:rPr>
              <w:br w:type="textWrapping"/>
            </w:r>
            <w:r>
              <w:rPr>
                <w:rFonts w:ascii="Times New Roman" w:hAnsi="Times New Roman" w:eastAsia="宋体" w:cs="Times New Roman"/>
                <w:b/>
                <w:bCs/>
              </w:rPr>
              <w:t>(N=645)</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入组年份</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0.2038</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2012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21 (3.4%)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21 (3.3%)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2013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27 (4.4%)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27 (4.2%)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2014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(9.4%)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30 (4.9%)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33 (5.1%)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2015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92 (15.0%)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93 (14.4%)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2016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(28.1%)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130 (21.2%)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139 (21.6%)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2017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(46.9%)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219 (35.7%)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234 (36.3%)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double" w:color="000000" w:sz="4" w:space="0"/>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2018</w:t>
            </w:r>
          </w:p>
        </w:tc>
        <w:tc>
          <w:tcPr>
            <w:tcW w:w="884"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(12.5%)</w:t>
            </w:r>
          </w:p>
        </w:tc>
        <w:tc>
          <w:tcPr>
            <w:tcW w:w="884"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94 (15.3%)</w:t>
            </w:r>
          </w:p>
        </w:tc>
        <w:tc>
          <w:tcPr>
            <w:tcW w:w="884"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98 (15.2%)</w:t>
            </w:r>
          </w:p>
        </w:tc>
        <w:tc>
          <w:tcPr>
            <w:tcW w:w="884"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bl>
    <w:p>
      <w:pPr>
        <w:adjustRightInd w:val="0"/>
        <w:spacing w:after="10"/>
        <w:rPr>
          <w:rFonts w:ascii="Times New Roman" w:hAnsi="Times New Roman" w:eastAsia="宋体" w:cs="Times New Roman"/>
          <w:i/>
          <w:iCs/>
          <w:sz w:val="16"/>
          <w:szCs w:val="16"/>
        </w:rPr>
      </w:pPr>
      <w:r>
        <w:rPr>
          <w:rFonts w:ascii="Times New Roman" w:hAnsi="Times New Roman" w:eastAsia="宋体" w:cs="Times New Roman"/>
          <w:i/>
          <w:iCs/>
          <w:sz w:val="16"/>
          <w:szCs w:val="16"/>
        </w:rPr>
        <w:t>注：带*号的P值来自Fisher精确检验，其他P值来自卡方检验。</w:t>
      </w:r>
    </w:p>
    <w:p>
      <w:pPr>
        <w:adjustRightInd w:val="0"/>
        <w:spacing w:before="10" w:after="10"/>
        <w:jc w:val="center"/>
        <w:rPr>
          <w:rFonts w:ascii="Times New Roman" w:hAnsi="Times New Roman" w:eastAsia="宋体" w:cs="Times New Roman"/>
          <w:b/>
          <w:bCs/>
          <w:sz w:val="22"/>
          <w:szCs w:val="22"/>
        </w:rPr>
      </w:pP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表6.3 患者基本信息描述</w:t>
      </w:r>
    </w:p>
    <w:tbl>
      <w:tblPr>
        <w:tblStyle w:val="22"/>
        <w:tblW w:w="5117" w:type="pct"/>
        <w:jc w:val="center"/>
        <w:tblLayout w:type="autofit"/>
        <w:tblCellMar>
          <w:top w:w="0" w:type="dxa"/>
          <w:left w:w="0" w:type="dxa"/>
          <w:bottom w:w="0" w:type="dxa"/>
          <w:right w:w="0" w:type="dxa"/>
        </w:tblCellMar>
      </w:tblPr>
      <w:tblGrid>
        <w:gridCol w:w="2595"/>
        <w:gridCol w:w="2438"/>
        <w:gridCol w:w="2440"/>
        <w:gridCol w:w="2533"/>
        <w:gridCol w:w="745"/>
      </w:tblGrid>
      <w:tr>
        <w:tblPrEx>
          <w:tblCellMar>
            <w:top w:w="0" w:type="dxa"/>
            <w:left w:w="0" w:type="dxa"/>
            <w:bottom w:w="0" w:type="dxa"/>
            <w:right w:w="0" w:type="dxa"/>
          </w:tblCellMar>
        </w:tblPrEx>
        <w:trPr>
          <w:cantSplit/>
          <w:tblHeader/>
          <w:jc w:val="center"/>
        </w:trPr>
        <w:tc>
          <w:tcPr>
            <w:tcW w:w="1207"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变量特征</w:t>
            </w:r>
          </w:p>
        </w:tc>
        <w:tc>
          <w:tcPr>
            <w:tcW w:w="113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(N=32)</w:t>
            </w:r>
          </w:p>
        </w:tc>
        <w:tc>
          <w:tcPr>
            <w:tcW w:w="113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(N=613)</w:t>
            </w:r>
          </w:p>
        </w:tc>
        <w:tc>
          <w:tcPr>
            <w:tcW w:w="1178"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r>
              <w:rPr>
                <w:rFonts w:ascii="Times New Roman" w:hAnsi="Times New Roman" w:eastAsia="宋体" w:cs="Times New Roman"/>
                <w:b/>
                <w:bCs/>
              </w:rPr>
              <w:br w:type="textWrapping"/>
            </w:r>
            <w:r>
              <w:rPr>
                <w:rFonts w:ascii="Times New Roman" w:hAnsi="Times New Roman" w:eastAsia="宋体" w:cs="Times New Roman"/>
                <w:b/>
                <w:bCs/>
              </w:rPr>
              <w:t>(N=645)</w:t>
            </w:r>
          </w:p>
        </w:tc>
        <w:tc>
          <w:tcPr>
            <w:tcW w:w="346"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性别</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0.7125</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女</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 (31.3%)</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211 (34.4%)</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221 (34.3%)</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男</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22 (68.8%)</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402 (65.6%)</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424 (65.7%)</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年龄(岁)</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0.2850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例数（缺失数）</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32 (0)</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613 (0)</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645 (0)</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均数（标准差）</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56.2 (10.34)</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58.0 (9.21)</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57.9 (9.26)</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中位数（Q1-Q3）</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56.0 (50.0-63.5)</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59.0 (52.0-64.0)</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59.0 (52.0-64.0)</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最小值-最大值</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28-72</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12-80</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12-80</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年龄分组(岁)</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0.8976</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＜50</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(21.9%)</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103 (16.8%)</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110 (17.1%)</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[50,55)</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(21.9%)</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110 (17.9%)</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117 (18.1%)</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[55,60)</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(15.6%)</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94 (15.3%)</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99 (15.3%)</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[60,65)</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(18.8%)</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156 (25.4%)</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162 (25.1%)</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[65,70)</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(12.5%)</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101 (16.5%)</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105 (16.3%)</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≥70</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(9.4%)</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49 (8.0%)</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52 (8.1%)</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病理分期</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0.2947</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IIIB</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89 (14.5%)</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91 (14.1%)</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IV</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30 (93.8%)</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524 (85.5%)</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554 (85.9%)</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病理类型</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鳞癌</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(28.1%)</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146 (23.8%)</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155 (24.0%)</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0.5782</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腺癌</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25 (78.1%)</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431 (70.3%)</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456 (70.7%)</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0.3437</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腺鳞癌</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16 (2.6%)</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18 (2.8%)</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0.2230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大细胞癌</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(0.2%)</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(0.2%)</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远处转移</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0.3898</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肝转移</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29 (4.7%)</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29 (4.5%)</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0.3898</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肾及肾上腺转移</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25 (4.1%)</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27 (4.2%)</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0.6382</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骨转移</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 (25.0%)</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148 (24.1%)</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156 (24.2%)</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0.9122</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胸膜转移</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57 (9.3%)</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59 (9.1%)</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0.7588</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对侧肺转移</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(18.8%)</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 (16.3%)</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106 (16.4%)</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0.7169</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其它转移</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48 (7.8%)</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50 (7.8%)</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根治术情况</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0.0080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无根治术史</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27 (84.4%)</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524 (85.5%)</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551 (85.4%)</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有根治术史</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(12.5%)</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16 (2.6%)</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20 (3.1%)</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现行根治术</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73 (11.9%)</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74 (11.5%)</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晚期首次化疗方案</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0.2060</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多西他赛+铂类</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(12.5%)</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115 (18.8%)</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119 (18.4%)</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吉西他滨+铂类</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(21.9%)</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106 (17.3%)</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113 (17.5%)</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培美曲塞+铂类</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 (59.4%)</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282 (46.0%)</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301 (46.7%)</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其它+铂类</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110 (17.9%)</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112 (17.4%)</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晚期首次化疗具体铂类</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&lt;.0001</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卡铂</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(28.1%)</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25 (4.1%)</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34 (5.3%)</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奈达铂</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(18.8%)</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214 (34.9%)</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220 (34.1%)</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其他</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 (2.0%)</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 (2.2%)</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顺铂</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(46.9%)</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362 (59.1%)</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377 (58.4%)</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晚期首次化疗方案周期数</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0.4375</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4</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21 (65.6%)</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340 (55.5%)</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361 (56.0%)</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5</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(15.6%)</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153 (25.0%)</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158 (24.5%)</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6</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(18.8%)</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120 (19.6%)</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126 (19.5%)</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后续化疗</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 (34.4%)</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237 (38.7%)</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248 (38.4%)</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0.7115</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培美曲塞</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(15.6%)</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70 (11.4%)</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75 (11.6%)</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0.4050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培美曲塞+铂类</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(9.4%)</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54 (8.8%)</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57 (8.8%)</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0.9125</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多西他赛+铂类</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(12.5%)</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54 (8.8%)</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58 (9.0%)</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0.5192</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多西他赛</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31 (5.1%)</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33 (5.1%)</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0.6757</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吉西他滨+铂类</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46 (7.5%)</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47 (7.3%)</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0.7222</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吉西他滨</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 (2.0%)</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 (1.9%)</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紫杉醇+铂类</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(2.4%)</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16 (2.5%)</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0.5613</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长春瑞滨+铂类</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(0.3%)</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(0.3%)</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其它</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(9.4%)</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53 (8.6%)</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56 (8.7%)</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0.7518</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后续靶向治疗</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(21.9%)</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80 (13.1%)</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87 (13.5%)</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0.1793</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rPr>
              <w:t xml:space="preserve">   贝伐珠单抗</w:t>
            </w:r>
          </w:p>
        </w:tc>
        <w:tc>
          <w:tcPr>
            <w:tcW w:w="113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3 (9.4%)</w:t>
            </w:r>
          </w:p>
        </w:tc>
        <w:tc>
          <w:tcPr>
            <w:tcW w:w="1135"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27 (4.4%)</w:t>
            </w:r>
          </w:p>
        </w:tc>
        <w:tc>
          <w:tcPr>
            <w:tcW w:w="1178"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30 (4.7%)</w:t>
            </w:r>
          </w:p>
        </w:tc>
        <w:tc>
          <w:tcPr>
            <w:tcW w:w="346"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0.1814*</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rPr>
              <w:t xml:space="preserve">   安罗替尼</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0 (0.0%)</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3 (0.5%)</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3 (0.5%)</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1.0000*</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rPr>
              <w:t xml:space="preserve">   重组人血管内皮抑制素</w:t>
            </w:r>
          </w:p>
        </w:tc>
        <w:tc>
          <w:tcPr>
            <w:tcW w:w="113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3 (9.4%)</w:t>
            </w:r>
          </w:p>
        </w:tc>
        <w:tc>
          <w:tcPr>
            <w:tcW w:w="1135"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15 (2.4%)</w:t>
            </w:r>
          </w:p>
        </w:tc>
        <w:tc>
          <w:tcPr>
            <w:tcW w:w="1178"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18 (2.8%)</w:t>
            </w:r>
          </w:p>
        </w:tc>
        <w:tc>
          <w:tcPr>
            <w:tcW w:w="346"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0.0545*</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rPr>
              <w:t xml:space="preserve">   阿帕替尼</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1 (3.1%)</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12 (2.0%)</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13 (2.0%)</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0.4872*</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rPr>
              <w:t xml:space="preserve">   吉非替尼</w:t>
            </w:r>
          </w:p>
        </w:tc>
        <w:tc>
          <w:tcPr>
            <w:tcW w:w="113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1 (3.1%)</w:t>
            </w:r>
          </w:p>
        </w:tc>
        <w:tc>
          <w:tcPr>
            <w:tcW w:w="1135"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0 (0.0%)</w:t>
            </w:r>
          </w:p>
        </w:tc>
        <w:tc>
          <w:tcPr>
            <w:tcW w:w="1178"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1 (0.2%)</w:t>
            </w:r>
          </w:p>
        </w:tc>
        <w:tc>
          <w:tcPr>
            <w:tcW w:w="346"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0.0496*</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rPr>
              <w:t xml:space="preserve">   沙利度胺</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0 (0.0%)</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8 (1.3%)</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8 (1.2%)</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1.0000*</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auto"/>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rPr>
              <w:t xml:space="preserve">   普钠布林</w:t>
            </w:r>
          </w:p>
        </w:tc>
        <w:tc>
          <w:tcPr>
            <w:tcW w:w="1134"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0 (0.0%)</w:t>
            </w:r>
          </w:p>
        </w:tc>
        <w:tc>
          <w:tcPr>
            <w:tcW w:w="1135"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2 (0.3%)</w:t>
            </w:r>
          </w:p>
        </w:tc>
        <w:tc>
          <w:tcPr>
            <w:tcW w:w="1178"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2 (0.3%)</w:t>
            </w:r>
          </w:p>
        </w:tc>
        <w:tc>
          <w:tcPr>
            <w:tcW w:w="346" w:type="pct"/>
            <w:tcBorders>
              <w:top w:val="nil"/>
              <w:left w:val="nil"/>
              <w:bottom w:val="nil"/>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1.0000*</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rPr>
              <w:t xml:space="preserve">   阿法替尼</w:t>
            </w:r>
          </w:p>
        </w:tc>
        <w:tc>
          <w:tcPr>
            <w:tcW w:w="113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0 (0.0%)</w:t>
            </w:r>
          </w:p>
        </w:tc>
        <w:tc>
          <w:tcPr>
            <w:tcW w:w="1135"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5 (0.8%)</w:t>
            </w:r>
          </w:p>
        </w:tc>
        <w:tc>
          <w:tcPr>
            <w:tcW w:w="1178"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5 (0.8%)</w:t>
            </w:r>
          </w:p>
        </w:tc>
        <w:tc>
          <w:tcPr>
            <w:tcW w:w="346"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1.0000*</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后续生物免疫治疗</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(9.4%)</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48 (7.8%)</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51 (7.9%)</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0.7334</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rPr>
              <w:t xml:space="preserve">   派姆单抗</w:t>
            </w:r>
          </w:p>
        </w:tc>
        <w:tc>
          <w:tcPr>
            <w:tcW w:w="113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0 (0.0%)</w:t>
            </w:r>
          </w:p>
        </w:tc>
        <w:tc>
          <w:tcPr>
            <w:tcW w:w="113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2 (0.3%)</w:t>
            </w:r>
          </w:p>
        </w:tc>
        <w:tc>
          <w:tcPr>
            <w:tcW w:w="1178"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2 (0.3%)</w:t>
            </w:r>
          </w:p>
        </w:tc>
        <w:tc>
          <w:tcPr>
            <w:tcW w:w="346"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1.0000*</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rPr>
              <w:t xml:space="preserve">   重组人粒细胞刺激因子</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0 (0.0%)</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8 (1.3%)</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8 (1.2%)</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1.0000*</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rPr>
              <w:t xml:space="preserve">   免疫调节剂</w:t>
            </w:r>
          </w:p>
        </w:tc>
        <w:tc>
          <w:tcPr>
            <w:tcW w:w="113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0 (0.0%)</w:t>
            </w:r>
          </w:p>
        </w:tc>
        <w:tc>
          <w:tcPr>
            <w:tcW w:w="113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4 (0.7%)</w:t>
            </w:r>
          </w:p>
        </w:tc>
        <w:tc>
          <w:tcPr>
            <w:tcW w:w="1178"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4 (0.6%)</w:t>
            </w:r>
          </w:p>
        </w:tc>
        <w:tc>
          <w:tcPr>
            <w:tcW w:w="346"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1.0000*</w:t>
            </w:r>
          </w:p>
        </w:tc>
      </w:tr>
      <w:tr>
        <w:tblPrEx>
          <w:tblCellMar>
            <w:top w:w="0" w:type="dxa"/>
            <w:left w:w="0" w:type="dxa"/>
            <w:bottom w:w="0" w:type="dxa"/>
            <w:right w:w="0" w:type="dxa"/>
          </w:tblCellMar>
        </w:tblPrEx>
        <w:trPr>
          <w:cantSplit/>
          <w:jc w:val="center"/>
        </w:trPr>
        <w:tc>
          <w:tcPr>
            <w:tcW w:w="1207"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rPr>
              <w:t xml:space="preserve">   CIK细胞</w:t>
            </w:r>
          </w:p>
        </w:tc>
        <w:tc>
          <w:tcPr>
            <w:tcW w:w="113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0 (0.0%)</w:t>
            </w:r>
          </w:p>
        </w:tc>
        <w:tc>
          <w:tcPr>
            <w:tcW w:w="1135"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1 (0.2%)</w:t>
            </w:r>
          </w:p>
        </w:tc>
        <w:tc>
          <w:tcPr>
            <w:tcW w:w="1178"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1 (0.2%)</w:t>
            </w:r>
          </w:p>
        </w:tc>
        <w:tc>
          <w:tcPr>
            <w:tcW w:w="346"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1.0000*</w:t>
            </w:r>
          </w:p>
        </w:tc>
      </w:tr>
      <w:tr>
        <w:tblPrEx>
          <w:tblCellMar>
            <w:top w:w="0" w:type="dxa"/>
            <w:left w:w="0" w:type="dxa"/>
            <w:bottom w:w="0" w:type="dxa"/>
            <w:right w:w="0" w:type="dxa"/>
          </w:tblCellMar>
        </w:tblPrEx>
        <w:trPr>
          <w:cantSplit/>
          <w:jc w:val="center"/>
        </w:trPr>
        <w:tc>
          <w:tcPr>
            <w:tcW w:w="1207" w:type="pct"/>
            <w:tcBorders>
              <w:top w:val="nil"/>
              <w:left w:val="nil"/>
              <w:bottom w:val="double" w:color="000000" w:sz="4" w:space="0"/>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rPr>
              <w:t xml:space="preserve">   纳武单抗</w:t>
            </w:r>
          </w:p>
        </w:tc>
        <w:tc>
          <w:tcPr>
            <w:tcW w:w="1134" w:type="pct"/>
            <w:tcBorders>
              <w:top w:val="nil"/>
              <w:left w:val="nil"/>
              <w:bottom w:val="double" w:color="000000" w:sz="4" w:space="0"/>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0 (0.0%)</w:t>
            </w:r>
          </w:p>
        </w:tc>
        <w:tc>
          <w:tcPr>
            <w:tcW w:w="1135" w:type="pct"/>
            <w:tcBorders>
              <w:top w:val="nil"/>
              <w:left w:val="nil"/>
              <w:bottom w:val="double" w:color="000000" w:sz="4" w:space="0"/>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3 (0.5%)</w:t>
            </w:r>
          </w:p>
        </w:tc>
        <w:tc>
          <w:tcPr>
            <w:tcW w:w="1178" w:type="pct"/>
            <w:tcBorders>
              <w:top w:val="nil"/>
              <w:left w:val="nil"/>
              <w:bottom w:val="double" w:color="000000" w:sz="4" w:space="0"/>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3 (0.5%)</w:t>
            </w:r>
          </w:p>
        </w:tc>
        <w:tc>
          <w:tcPr>
            <w:tcW w:w="346" w:type="pct"/>
            <w:tcBorders>
              <w:top w:val="nil"/>
              <w:left w:val="nil"/>
              <w:bottom w:val="double" w:color="000000" w:sz="4" w:space="0"/>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rPr>
              <w:t>1.0000*</w:t>
            </w:r>
          </w:p>
        </w:tc>
      </w:tr>
    </w:tbl>
    <w:p>
      <w:pPr>
        <w:adjustRightInd w:val="0"/>
        <w:spacing w:after="10"/>
        <w:rPr>
          <w:rFonts w:ascii="Times New Roman" w:hAnsi="Times New Roman" w:eastAsia="宋体" w:cs="Times New Roman"/>
          <w:i/>
          <w:iCs/>
          <w:sz w:val="16"/>
          <w:szCs w:val="16"/>
        </w:rPr>
      </w:pPr>
      <w:r>
        <w:rPr>
          <w:rFonts w:ascii="Times New Roman" w:hAnsi="Times New Roman" w:eastAsia="宋体" w:cs="Times New Roman"/>
          <w:i/>
          <w:iCs/>
          <w:sz w:val="16"/>
          <w:szCs w:val="16"/>
        </w:rPr>
        <w:t>注：带*号的P值来自Fisher精确检验，带#号的P值来自t检验，其他P值来自卡方检验。</w:t>
      </w:r>
    </w:p>
    <w:p>
      <w:pPr>
        <w:adjustRightInd w:val="0"/>
        <w:jc w:val="center"/>
        <w:rPr>
          <w:rFonts w:ascii="Times New Roman" w:hAnsi="Times New Roman" w:eastAsia="宋体" w:cs="Times New Roman"/>
          <w:sz w:val="24"/>
          <w:szCs w:val="24"/>
        </w:rPr>
      </w:pPr>
    </w:p>
    <w:p>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匹配后两组患者基本信息描述详见下表6.4~6.6。由各表可知，</w:t>
      </w:r>
      <w:r>
        <w:rPr>
          <w:rFonts w:ascii="Times New Roman" w:hAnsi="Times New Roman" w:eastAsia="宋体" w:cs="Times New Roman"/>
          <w:sz w:val="24"/>
          <w:highlight w:val="yellow"/>
        </w:rPr>
        <w:t>匹配后两组各特征变量均无统计学差异，可认为各变量在两组间基本均衡</w:t>
      </w:r>
      <w:r>
        <w:rPr>
          <w:rFonts w:ascii="Times New Roman" w:hAnsi="Times New Roman" w:eastAsia="宋体" w:cs="Times New Roman"/>
          <w:sz w:val="24"/>
        </w:rPr>
        <w:t>。</w:t>
      </w: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表6.4 医院信息描述</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医院情况</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(N=32)</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(N=32)</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r>
              <w:rPr>
                <w:rFonts w:ascii="Times New Roman" w:hAnsi="Times New Roman" w:eastAsia="宋体" w:cs="Times New Roman"/>
                <w:b/>
                <w:bCs/>
              </w:rPr>
              <w:br w:type="textWrapping"/>
            </w:r>
            <w:r>
              <w:rPr>
                <w:rFonts w:ascii="Times New Roman" w:hAnsi="Times New Roman" w:eastAsia="宋体" w:cs="Times New Roman"/>
                <w:b/>
                <w:bCs/>
              </w:rPr>
              <w:t>(N=64)</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医院级别</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三级</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32 (100.0%)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32 (100.0%)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64 (100.0%)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医院类型</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专科医院</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(4.7%)</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double" w:color="000000" w:sz="4" w:space="0"/>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综合医院</w:t>
            </w:r>
          </w:p>
        </w:tc>
        <w:tc>
          <w:tcPr>
            <w:tcW w:w="884" w:type="pct"/>
            <w:tcBorders>
              <w:top w:val="nil"/>
              <w:left w:val="nil"/>
              <w:bottom w:val="double" w:color="000000" w:sz="4" w:space="0"/>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30 (93.8%)</w:t>
            </w:r>
          </w:p>
        </w:tc>
        <w:tc>
          <w:tcPr>
            <w:tcW w:w="884" w:type="pct"/>
            <w:tcBorders>
              <w:top w:val="nil"/>
              <w:left w:val="nil"/>
              <w:bottom w:val="double" w:color="000000" w:sz="4" w:space="0"/>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31 (96.9%)</w:t>
            </w:r>
          </w:p>
        </w:tc>
        <w:tc>
          <w:tcPr>
            <w:tcW w:w="884" w:type="pct"/>
            <w:tcBorders>
              <w:top w:val="nil"/>
              <w:left w:val="nil"/>
              <w:bottom w:val="double" w:color="000000" w:sz="4" w:space="0"/>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61 (95.3%)</w:t>
            </w:r>
          </w:p>
        </w:tc>
        <w:tc>
          <w:tcPr>
            <w:tcW w:w="884" w:type="pct"/>
            <w:tcBorders>
              <w:top w:val="nil"/>
              <w:left w:val="nil"/>
              <w:bottom w:val="double" w:color="000000" w:sz="4" w:space="0"/>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bl>
    <w:p>
      <w:pPr>
        <w:adjustRightInd w:val="0"/>
        <w:spacing w:before="10" w:after="10"/>
        <w:rPr>
          <w:rFonts w:ascii="Times New Roman" w:hAnsi="Times New Roman" w:eastAsia="宋体" w:cs="Times New Roman"/>
          <w:i/>
          <w:iCs/>
          <w:sz w:val="16"/>
          <w:szCs w:val="16"/>
        </w:rPr>
      </w:pPr>
      <w:r>
        <w:rPr>
          <w:rFonts w:ascii="Times New Roman" w:hAnsi="Times New Roman" w:eastAsia="宋体" w:cs="Times New Roman"/>
          <w:i/>
          <w:iCs/>
          <w:sz w:val="16"/>
          <w:szCs w:val="16"/>
        </w:rPr>
        <w:t>注：带*号的P值来自Fisher精确检验，其他P值来自卡方检验。</w:t>
      </w:r>
    </w:p>
    <w:p>
      <w:pPr>
        <w:adjustRightInd w:val="0"/>
        <w:spacing w:before="10" w:after="10"/>
        <w:rPr>
          <w:rFonts w:ascii="Times New Roman" w:hAnsi="Times New Roman" w:eastAsia="宋体" w:cs="Times New Roman"/>
          <w:i/>
          <w:iCs/>
          <w:sz w:val="16"/>
          <w:szCs w:val="16"/>
        </w:rPr>
      </w:pP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表6.5 患者入组时间描述</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患者入组时间</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(N=32)</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(N=32)</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r>
              <w:rPr>
                <w:rFonts w:ascii="Times New Roman" w:hAnsi="Times New Roman" w:eastAsia="宋体" w:cs="Times New Roman"/>
                <w:b/>
                <w:bCs/>
              </w:rPr>
              <w:br w:type="textWrapping"/>
            </w:r>
            <w:r>
              <w:rPr>
                <w:rFonts w:ascii="Times New Roman" w:hAnsi="Times New Roman" w:eastAsia="宋体" w:cs="Times New Roman"/>
                <w:b/>
                <w:bCs/>
              </w:rPr>
              <w:t>(N=64)</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入组年份</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0.3481</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2014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(9.4%)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(4.7%)</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2015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(3.1%)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2016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(28.1%)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(18.8%)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(23.4%)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2017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(46.9%)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21 (65.6%)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36 (56.3%)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double" w:color="000000" w:sz="4" w:space="0"/>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2018</w:t>
            </w:r>
          </w:p>
        </w:tc>
        <w:tc>
          <w:tcPr>
            <w:tcW w:w="884"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(12.5%)</w:t>
            </w:r>
          </w:p>
        </w:tc>
        <w:tc>
          <w:tcPr>
            <w:tcW w:w="884"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(12.5%)</w:t>
            </w:r>
          </w:p>
        </w:tc>
        <w:tc>
          <w:tcPr>
            <w:tcW w:w="884"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 (12.5%)</w:t>
            </w:r>
          </w:p>
        </w:tc>
        <w:tc>
          <w:tcPr>
            <w:tcW w:w="884"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bl>
    <w:p>
      <w:pPr>
        <w:adjustRightInd w:val="0"/>
        <w:spacing w:before="10" w:after="10"/>
        <w:rPr>
          <w:rFonts w:ascii="Times New Roman" w:hAnsi="Times New Roman" w:eastAsia="宋体" w:cs="Times New Roman"/>
          <w:i/>
          <w:iCs/>
          <w:sz w:val="16"/>
          <w:szCs w:val="16"/>
        </w:rPr>
      </w:pPr>
      <w:r>
        <w:rPr>
          <w:rFonts w:ascii="Times New Roman" w:hAnsi="Times New Roman" w:eastAsia="宋体" w:cs="Times New Roman"/>
          <w:i/>
          <w:iCs/>
          <w:sz w:val="16"/>
          <w:szCs w:val="16"/>
        </w:rPr>
        <w:t>注：带*号的P值来自Fisher精确检验，其他P值来自卡方检验。</w:t>
      </w:r>
    </w:p>
    <w:p>
      <w:pPr>
        <w:adjustRightInd w:val="0"/>
        <w:spacing w:before="10" w:after="10"/>
        <w:rPr>
          <w:rFonts w:ascii="Times New Roman" w:hAnsi="Times New Roman" w:eastAsia="宋体" w:cs="Times New Roman"/>
          <w:i/>
          <w:iCs/>
          <w:sz w:val="16"/>
          <w:szCs w:val="16"/>
        </w:rPr>
      </w:pP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表6.6 患者基本信息描述</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rPr>
            </w:pPr>
            <w:r>
              <w:rPr>
                <w:rFonts w:ascii="Times New Roman" w:hAnsi="Times New Roman" w:eastAsia="宋体" w:cs="Times New Roman"/>
                <w:b/>
                <w:bCs/>
              </w:rPr>
              <w:t>变量特征</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r>
              <w:rPr>
                <w:rFonts w:ascii="Times New Roman" w:hAnsi="Times New Roman" w:eastAsia="宋体" w:cs="Times New Roman"/>
                <w:b/>
                <w:bCs/>
              </w:rPr>
              <w:br w:type="textWrapping"/>
            </w:r>
            <w:r>
              <w:rPr>
                <w:rFonts w:ascii="Times New Roman" w:hAnsi="Times New Roman" w:eastAsia="宋体" w:cs="Times New Roman"/>
                <w:b/>
                <w:bCs/>
              </w:rPr>
              <w:t>(N=32)</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r>
              <w:rPr>
                <w:rFonts w:ascii="Times New Roman" w:hAnsi="Times New Roman" w:eastAsia="宋体" w:cs="Times New Roman"/>
                <w:b/>
                <w:bCs/>
              </w:rPr>
              <w:br w:type="textWrapping"/>
            </w:r>
            <w:r>
              <w:rPr>
                <w:rFonts w:ascii="Times New Roman" w:hAnsi="Times New Roman" w:eastAsia="宋体" w:cs="Times New Roman"/>
                <w:b/>
                <w:bCs/>
              </w:rPr>
              <w:t>(N=32)</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r>
              <w:rPr>
                <w:rFonts w:ascii="Times New Roman" w:hAnsi="Times New Roman" w:eastAsia="宋体" w:cs="Times New Roman"/>
                <w:b/>
                <w:bCs/>
              </w:rPr>
              <w:br w:type="textWrapping"/>
            </w:r>
            <w:r>
              <w:rPr>
                <w:rFonts w:ascii="Times New Roman" w:hAnsi="Times New Roman" w:eastAsia="宋体" w:cs="Times New Roman"/>
                <w:b/>
                <w:bCs/>
              </w:rPr>
              <w:t>(N=64)</w:t>
            </w:r>
          </w:p>
        </w:tc>
        <w:tc>
          <w:tcPr>
            <w:tcW w:w="88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性别</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0.5782</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女</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 (31.3%)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 (25.0%)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18 (28.1%)</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男</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22 (68.8%)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24 (75.0%)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46 (71.9%)</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年龄(岁)</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0.9901</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例数（缺失数）</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32 (0)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32 (0)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64 (0)</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均数（标准差）</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56.2 (10.34)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56.2 (9.82)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56.2 (10.00)</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中位数（Q1-Q3）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56.0 (50.0-63.5)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55.0 (49.0-64.5)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55.5 (49.5-64.0)</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最小值-最大值</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28-72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39-73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28-73</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年龄分组(岁)</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0.9897</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＜50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(21.9%)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(28.1%)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16 (25.0%)</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[50,55)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(21.9%)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(18.8%)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 (20.3%)</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[55,60)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(15.6%)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(12.5%)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(14.1%)</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[60,65)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(18.8%)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(15.6%)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 (17.2%)</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[65,70)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(12.5%)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(12.5%)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 (12.5%)</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≥70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(9.4%)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(10.9%)</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病理分期</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IIIB</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(4.7%)</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IV</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30 (93.8%)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31 (96.9%)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61 (95.3%)</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病理类型</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鳞癌</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(28.1%)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12 (37.5%)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21 (32.8%)</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0.4245</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腺癌</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25 (78.1%)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23 (71.9%)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48 (75.0%)</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0.5637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腺鳞癌</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(6.3%)</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远处转移</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肾及肾上腺转移</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(4.7%)</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骨转移</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 (25.0%)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(15.6%)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 (20.3%)</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0.3513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胸膜转移</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(9.4%)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(7.8%)</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对侧肺转移</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(18.8%)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 (25.0%)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 (21.9%)</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0.5453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其它转移</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(3.1%)</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0.4921</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根治术情况</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无根治术史</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27 (84.4%)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27 (84.4%)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54 (84.4%)</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有根治术史</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 (12.5%)</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现行根治术</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(3.1%)</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晚期首次化疗方案</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多西他赛+铂类</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(12.5%)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(15.6%)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(14.1%)</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吉西他滨+铂类</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(21.9%)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 (25.0%)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(23.4%)</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培美曲塞+铂类</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 (59.4%)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18 (56.3%)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37 (57.8%)</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其它+铂类</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(4.7%)</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晚期首次化疗具体铂类</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0.3618</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卡铂</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(28.1%)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 (20.3%)</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奈达铂</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(18.8%)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 (31.3%)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16 (25.0%)</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其他</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(4.7%)</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顺铂</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(46.9%)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17 (53.1%)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32 (50.0%)</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晚期首次化疗方案周期数</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0.4222</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21 (65.6%)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25 (78.1%)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46 (71.9%)</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(15.6%)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(10.9%)</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(18.8%)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(15.6%)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 (17.2%)</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后续化疗</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 (34.4%)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 (25.0%)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 (29.7%)</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0.5850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培美曲塞</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(15.6%)</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(10.9%)</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0.4258</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培美曲塞+铂类</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(9.4%)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(4.7%)</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0.0760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多西他赛+铂类</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(12.5%)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(9.4%)</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0.6719</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多西他赛</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(4.7%)</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吉西他滨+铂类</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(9.4%)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(6.3%)</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0.6128</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吉西他滨</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(1.6%)</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紫杉醇+铂类</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(3.1%)</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其它</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(9.4%)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 (7.8%)</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后续靶向治疗</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(21.9%)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 (21.9%)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 (21.9%)</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sz w:val="18"/>
                <w:szCs w:val="18"/>
              </w:rPr>
              <w:t xml:space="preserve">   贝伐珠单抗</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(9.4%)</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(6.3%)</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0.6128</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sz w:val="18"/>
                <w:szCs w:val="18"/>
              </w:rPr>
              <w:t xml:space="preserve">   重组人血管内皮抑制素</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(9.4%)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(6.3%)</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0.6128</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sz w:val="18"/>
                <w:szCs w:val="18"/>
              </w:rPr>
              <w:t xml:space="preserve">   阿帕替尼</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(1.6%)</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sz w:val="18"/>
                <w:szCs w:val="18"/>
              </w:rPr>
              <w:t xml:space="preserve">   吉非替尼</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(1.6%)</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sz w:val="18"/>
                <w:szCs w:val="18"/>
              </w:rPr>
              <w:t xml:space="preserve">   沙利度胺</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884"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(3.1%)</w:t>
            </w:r>
          </w:p>
        </w:tc>
        <w:tc>
          <w:tcPr>
            <w:tcW w:w="883" w:type="pct"/>
            <w:tcBorders>
              <w:top w:val="nil"/>
              <w:left w:val="nil"/>
              <w:bottom w:val="nil"/>
              <w:right w:val="nil"/>
            </w:tcBorders>
            <w:shd w:val="clear" w:color="auto" w:fill="F1F1F1" w:themeFill="background1" w:themeFillShade="F2"/>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0.4921</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sz w:val="18"/>
                <w:szCs w:val="18"/>
              </w:rPr>
              <w:t xml:space="preserve">   阿法替尼</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(3.1%)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(1.6%)</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后续生物免疫治疗</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(9.4%)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 (9.4%)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(9.4%)</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double" w:color="000000" w:sz="4" w:space="0"/>
              <w:right w:val="nil"/>
            </w:tcBorders>
            <w:shd w:val="clear" w:color="auto" w:fill="auto"/>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sz w:val="18"/>
                <w:szCs w:val="18"/>
              </w:rPr>
              <w:t xml:space="preserve">   重组人粒细胞刺激因子</w:t>
            </w:r>
          </w:p>
        </w:tc>
        <w:tc>
          <w:tcPr>
            <w:tcW w:w="884" w:type="pct"/>
            <w:tcBorders>
              <w:top w:val="nil"/>
              <w:left w:val="nil"/>
              <w:bottom w:val="double" w:color="000000" w:sz="4" w:space="0"/>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 (0.0%)</w:t>
            </w:r>
          </w:p>
        </w:tc>
        <w:tc>
          <w:tcPr>
            <w:tcW w:w="884" w:type="pct"/>
            <w:tcBorders>
              <w:top w:val="nil"/>
              <w:left w:val="nil"/>
              <w:bottom w:val="double" w:color="000000" w:sz="4" w:space="0"/>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(6.3%)</w:t>
            </w:r>
          </w:p>
        </w:tc>
        <w:tc>
          <w:tcPr>
            <w:tcW w:w="884" w:type="pct"/>
            <w:tcBorders>
              <w:top w:val="nil"/>
              <w:left w:val="nil"/>
              <w:bottom w:val="double" w:color="000000" w:sz="4" w:space="0"/>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 (3.1%)</w:t>
            </w:r>
          </w:p>
        </w:tc>
        <w:tc>
          <w:tcPr>
            <w:tcW w:w="883" w:type="pct"/>
            <w:tcBorders>
              <w:top w:val="nil"/>
              <w:left w:val="nil"/>
              <w:bottom w:val="double" w:color="000000" w:sz="4" w:space="0"/>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0.4921</w:t>
            </w:r>
            <w:r>
              <w:rPr>
                <w:rFonts w:ascii="Times New Roman" w:hAnsi="Times New Roman" w:eastAsia="宋体" w:cs="Times New Roman"/>
                <w:sz w:val="18"/>
                <w:szCs w:val="18"/>
                <w:vertAlign w:val="superscript"/>
              </w:rPr>
              <w:t>*</w:t>
            </w:r>
          </w:p>
        </w:tc>
      </w:tr>
    </w:tbl>
    <w:p>
      <w:pPr>
        <w:adjustRightInd w:val="0"/>
        <w:spacing w:before="10" w:after="10"/>
        <w:rPr>
          <w:rFonts w:ascii="Times New Roman" w:hAnsi="Times New Roman" w:eastAsia="宋体" w:cs="Times New Roman"/>
          <w:i/>
          <w:iCs/>
          <w:sz w:val="16"/>
          <w:szCs w:val="16"/>
        </w:rPr>
      </w:pPr>
      <w:r>
        <w:rPr>
          <w:rFonts w:ascii="Times New Roman" w:hAnsi="Times New Roman" w:eastAsia="宋体" w:cs="Times New Roman"/>
          <w:i/>
          <w:iCs/>
          <w:sz w:val="16"/>
          <w:szCs w:val="16"/>
        </w:rPr>
        <w:t>注：带*号的P值来自Fisher精确检验，带#号的P值来自t检验，其他P值来自卡方检验。</w:t>
      </w:r>
    </w:p>
    <w:p>
      <w:pPr>
        <w:spacing w:line="360" w:lineRule="auto"/>
        <w:ind w:firstLine="480" w:firstLineChars="200"/>
        <w:rPr>
          <w:rFonts w:ascii="Times New Roman" w:hAnsi="Times New Roman" w:eastAsia="宋体" w:cs="Times New Roman"/>
          <w:sz w:val="24"/>
        </w:rPr>
      </w:pPr>
    </w:p>
    <w:p>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针对以上匹配后患者人群，</w:t>
      </w:r>
      <w:r>
        <w:rPr>
          <w:rFonts w:ascii="Times New Roman" w:hAnsi="Times New Roman" w:eastAsia="宋体" w:cs="Times New Roman"/>
          <w:sz w:val="24"/>
          <w:highlight w:val="yellow"/>
        </w:rPr>
        <w:t>从患者维度和化疗周期维度描述两组患者化疗完成情况相关指标的结果，包括化疗完成率、化疗延迟率及延迟次数、化疗减量率及减量比例</w:t>
      </w:r>
      <w:r>
        <w:rPr>
          <w:rFonts w:ascii="Times New Roman" w:hAnsi="Times New Roman" w:eastAsia="宋体" w:cs="Times New Roman"/>
          <w:sz w:val="24"/>
        </w:rPr>
        <w:t>，并分铂类和非铂类分别统计，详见下表6.7~6.8。</w:t>
      </w: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表6.7 患者维度化疗完成情况结果描述</w:t>
      </w:r>
    </w:p>
    <w:tbl>
      <w:tblPr>
        <w:tblStyle w:val="22"/>
        <w:tblW w:w="5000" w:type="pct"/>
        <w:jc w:val="center"/>
        <w:tblLayout w:type="autofit"/>
        <w:tblCellMar>
          <w:top w:w="0" w:type="dxa"/>
          <w:left w:w="0" w:type="dxa"/>
          <w:bottom w:w="0" w:type="dxa"/>
          <w:right w:w="0" w:type="dxa"/>
        </w:tblCellMar>
      </w:tblPr>
      <w:tblGrid>
        <w:gridCol w:w="3078"/>
        <w:gridCol w:w="1857"/>
        <w:gridCol w:w="1857"/>
        <w:gridCol w:w="1857"/>
        <w:gridCol w:w="1856"/>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vertAlign w:val="superscript"/>
              </w:rPr>
            </w:pPr>
            <w:r>
              <w:rPr>
                <w:rFonts w:ascii="Times New Roman" w:hAnsi="Times New Roman" w:eastAsia="宋体" w:cs="Times New Roman"/>
                <w:b/>
                <w:bCs/>
              </w:rPr>
              <w:t>患者维度</w:t>
            </w:r>
            <w:r>
              <w:rPr>
                <w:rFonts w:ascii="Times New Roman" w:hAnsi="Times New Roman" w:eastAsia="宋体" w:cs="Times New Roman"/>
                <w:b/>
                <w:bCs/>
                <w:vertAlign w:val="superscript"/>
              </w:rPr>
              <w:t>a</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p>
        </w:tc>
        <w:tc>
          <w:tcPr>
            <w:tcW w:w="88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化疗完成情况</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17/32 (53.1%)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11/32 (34.4%)</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28/64 (43.8%)</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0.1306</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化疗延迟情况</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14/32 (43.8%)</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18/32 (56.3%)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32/64 (50.0%)</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0.3173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化疗减量情况</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2/31 (6.5%)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8/31 (25.8%)</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10/62 (16.1%)</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0.0383</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减量比例≥0.25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1/31 (3.2%)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4/31 (12.9%)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5/62 (8.1%)</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0.3540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减量比例≥0.50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1/31 (3.2%)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3/31 (9.7%)</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4/62 (6.5%)</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0.6124</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非铂类药物减量情况</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1/31 (3.2%)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4/31 (12.9%)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5/62 (8.1%)</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0.3540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减量比例≥0.25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1/31 (3.2%)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2/31 (6.5%)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3/62 (4.8%)</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减量比例≥0.50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1/31 (3.2%)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1/31 (3.2%)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2/62 (3.2%)</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铂类药物减量情况</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2/31 (6.5%)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4/31 (12.9%)</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6/62 (9.7%)</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0.6713</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减量比例≥0.25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1/31 (3.2%)</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2/31 (6.5%)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3/62 (4.8%)</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减量比例≥0.50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1/31 (3.2%)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2/31 (6.5%)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3/62 (4.8%)</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化疗延迟次数分布</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0.3970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例数（缺失数）</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 (0)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18 (0)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32 (0)</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均数（标准差）</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1.8 (0.89)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2.1 (0.87)</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 (0.88)</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中位数（Q1-Q3）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2.0 (1.0-2.0)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2.0 (1.0-3.0)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2.0 (1.0-3.0)</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double" w:color="000000" w:sz="4" w:space="0"/>
              <w:right w:val="nil"/>
            </w:tcBorders>
            <w:shd w:val="clear" w:color="auto" w:fill="auto"/>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最小值-最大值</w:t>
            </w:r>
          </w:p>
        </w:tc>
        <w:tc>
          <w:tcPr>
            <w:tcW w:w="884" w:type="pct"/>
            <w:tcBorders>
              <w:top w:val="nil"/>
              <w:left w:val="nil"/>
              <w:bottom w:val="double" w:color="000000" w:sz="4" w:space="0"/>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w:t>
            </w:r>
          </w:p>
        </w:tc>
        <w:tc>
          <w:tcPr>
            <w:tcW w:w="884" w:type="pct"/>
            <w:tcBorders>
              <w:top w:val="nil"/>
              <w:left w:val="nil"/>
              <w:bottom w:val="double" w:color="000000" w:sz="4" w:space="0"/>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1-3</w:t>
            </w:r>
          </w:p>
        </w:tc>
        <w:tc>
          <w:tcPr>
            <w:tcW w:w="884" w:type="pct"/>
            <w:tcBorders>
              <w:top w:val="nil"/>
              <w:left w:val="nil"/>
              <w:bottom w:val="double" w:color="000000" w:sz="4" w:space="0"/>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w:t>
            </w:r>
          </w:p>
        </w:tc>
        <w:tc>
          <w:tcPr>
            <w:tcW w:w="883" w:type="pct"/>
            <w:tcBorders>
              <w:top w:val="nil"/>
              <w:left w:val="nil"/>
              <w:bottom w:val="double" w:color="000000" w:sz="4" w:space="0"/>
              <w:right w:val="nil"/>
            </w:tcBorders>
            <w:shd w:val="clear" w:color="auto" w:fill="auto"/>
            <w:tcMar>
              <w:left w:w="20" w:type="dxa"/>
              <w:right w:w="20" w:type="dxa"/>
            </w:tcMar>
          </w:tcPr>
          <w:p>
            <w:pPr>
              <w:adjustRightInd w:val="0"/>
              <w:spacing w:before="20" w:after="20"/>
              <w:jc w:val="center"/>
              <w:rPr>
                <w:rFonts w:ascii="Times New Roman" w:hAnsi="Times New Roman" w:eastAsia="宋体" w:cs="Times New Roman"/>
                <w:sz w:val="18"/>
                <w:szCs w:val="18"/>
              </w:rPr>
            </w:pPr>
          </w:p>
        </w:tc>
      </w:tr>
    </w:tbl>
    <w:p>
      <w:pPr>
        <w:adjustRightInd w:val="0"/>
        <w:spacing w:before="10" w:after="10"/>
        <w:rPr>
          <w:rFonts w:ascii="Times New Roman" w:hAnsi="Times New Roman" w:eastAsia="宋体" w:cs="Times New Roman"/>
          <w:i/>
          <w:iCs/>
          <w:sz w:val="16"/>
          <w:szCs w:val="16"/>
        </w:rPr>
      </w:pPr>
      <w:r>
        <w:rPr>
          <w:rFonts w:ascii="Times New Roman" w:hAnsi="Times New Roman" w:eastAsia="宋体" w:cs="Times New Roman"/>
          <w:i/>
          <w:iCs/>
          <w:sz w:val="16"/>
          <w:szCs w:val="16"/>
        </w:rPr>
        <w:t>注：a：患者维度表示以患者作为个体来统计化疗完成情况各指标；带*号P值来自Fisher精确检验，带#号P值来自t检验，其他P值来自卡方检验。</w:t>
      </w:r>
    </w:p>
    <w:p>
      <w:pPr>
        <w:adjustRightInd w:val="0"/>
        <w:spacing w:before="10" w:after="10"/>
        <w:jc w:val="center"/>
        <w:rPr>
          <w:rFonts w:ascii="Times New Roman" w:hAnsi="Times New Roman" w:eastAsia="宋体" w:cs="Times New Roman"/>
          <w:sz w:val="24"/>
        </w:rPr>
      </w:pPr>
    </w:p>
    <w:p>
      <w:pPr>
        <w:adjustRightInd w:val="0"/>
        <w:spacing w:before="10" w:after="10"/>
        <w:jc w:val="center"/>
        <w:rPr>
          <w:rFonts w:ascii="Times New Roman" w:hAnsi="Times New Roman" w:eastAsia="宋体" w:cs="Times New Roman"/>
          <w:b/>
          <w:bCs/>
          <w:sz w:val="22"/>
          <w:szCs w:val="22"/>
        </w:rPr>
      </w:pPr>
      <w:r>
        <w:rPr>
          <w:rFonts w:ascii="Times New Roman" w:hAnsi="Times New Roman" w:eastAsia="宋体" w:cs="Times New Roman"/>
          <w:b/>
          <w:bCs/>
          <w:sz w:val="22"/>
          <w:szCs w:val="22"/>
        </w:rPr>
        <w:t>表6.8 化疗周期维度化疗完成情况结果描述</w:t>
      </w:r>
    </w:p>
    <w:tbl>
      <w:tblPr>
        <w:tblStyle w:val="22"/>
        <w:tblW w:w="5000" w:type="pct"/>
        <w:jc w:val="center"/>
        <w:tblLayout w:type="fixed"/>
        <w:tblCellMar>
          <w:top w:w="0" w:type="dxa"/>
          <w:left w:w="0" w:type="dxa"/>
          <w:bottom w:w="0" w:type="dxa"/>
          <w:right w:w="0" w:type="dxa"/>
        </w:tblCellMar>
      </w:tblPr>
      <w:tblGrid>
        <w:gridCol w:w="3079"/>
        <w:gridCol w:w="1857"/>
        <w:gridCol w:w="1857"/>
        <w:gridCol w:w="1857"/>
        <w:gridCol w:w="1855"/>
      </w:tblGrid>
      <w:tr>
        <w:tblPrEx>
          <w:tblCellMar>
            <w:top w:w="0" w:type="dxa"/>
            <w:left w:w="0" w:type="dxa"/>
            <w:bottom w:w="0" w:type="dxa"/>
            <w:right w:w="0" w:type="dxa"/>
          </w:tblCellMar>
        </w:tblPrEx>
        <w:trPr>
          <w:cantSplit/>
          <w:tblHeader/>
          <w:jc w:val="center"/>
        </w:trPr>
        <w:tc>
          <w:tcPr>
            <w:tcW w:w="1465"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rPr>
                <w:rFonts w:ascii="Times New Roman" w:hAnsi="Times New Roman" w:eastAsia="宋体" w:cs="Times New Roman"/>
                <w:b/>
                <w:bCs/>
                <w:vertAlign w:val="superscript"/>
              </w:rPr>
            </w:pPr>
            <w:r>
              <w:rPr>
                <w:rFonts w:ascii="Times New Roman" w:hAnsi="Times New Roman" w:eastAsia="宋体" w:cs="Times New Roman"/>
                <w:b/>
                <w:bCs/>
              </w:rPr>
              <w:t>化疗周期维度</w:t>
            </w:r>
            <w:r>
              <w:rPr>
                <w:rFonts w:ascii="Times New Roman" w:hAnsi="Times New Roman" w:eastAsia="宋体" w:cs="Times New Roman"/>
                <w:b/>
                <w:bCs/>
                <w:vertAlign w:val="superscript"/>
              </w:rPr>
              <w:t>a</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参芪扶正组</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对照组</w:t>
            </w:r>
          </w:p>
        </w:tc>
        <w:tc>
          <w:tcPr>
            <w:tcW w:w="884"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合计</w:t>
            </w:r>
          </w:p>
        </w:tc>
        <w:tc>
          <w:tcPr>
            <w:tcW w:w="883" w:type="pct"/>
            <w:tcBorders>
              <w:top w:val="single" w:color="000000" w:sz="4" w:space="0"/>
              <w:left w:val="nil"/>
              <w:bottom w:val="inset" w:color="000000" w:sz="4" w:space="0"/>
              <w:right w:val="nil"/>
            </w:tcBorders>
            <w:shd w:val="clear" w:color="auto" w:fill="FFFFFF"/>
            <w:tcMar>
              <w:left w:w="20" w:type="dxa"/>
              <w:right w:w="20" w:type="dxa"/>
            </w:tcMar>
            <w:vAlign w:val="bottom"/>
          </w:tcPr>
          <w:p>
            <w:pPr>
              <w:adjustRightInd w:val="0"/>
              <w:spacing w:before="20" w:after="20"/>
              <w:jc w:val="center"/>
              <w:rPr>
                <w:rFonts w:ascii="Times New Roman" w:hAnsi="Times New Roman" w:eastAsia="宋体" w:cs="Times New Roman"/>
                <w:b/>
                <w:bCs/>
              </w:rPr>
            </w:pPr>
            <w:r>
              <w:rPr>
                <w:rFonts w:ascii="Times New Roman" w:hAnsi="Times New Roman" w:eastAsia="宋体" w:cs="Times New Roman"/>
                <w:b/>
                <w:bCs/>
              </w:rPr>
              <w:t>P值</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b/>
                <w:bCs/>
                <w:sz w:val="18"/>
                <w:szCs w:val="18"/>
              </w:rPr>
            </w:pPr>
            <w:r>
              <w:rPr>
                <w:rFonts w:ascii="Times New Roman" w:hAnsi="Times New Roman" w:eastAsia="宋体" w:cs="Times New Roman"/>
                <w:b/>
                <w:bCs/>
                <w:sz w:val="18"/>
                <w:szCs w:val="18"/>
              </w:rPr>
              <w:t>化疗完成情况</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84/113 (74.3%)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59/108 (54.6%)</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143/221 (64.7%)</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0.0022</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化疗延迟情况</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25/113 (22.1%)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37/108 (34.3%)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62/221 (28.1%)</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0.0447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化疗减量情况</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4/96 (4.2%)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15/99 (15.2%)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19/195 (9.7%)</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0.0097</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减量比例≥0.25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1/96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6/99 (6.1%)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7/195 (3.6%)</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0.1185</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减量比例≥0.50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1/96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5/99 (5.1%)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6/195 (3.1%)</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0.2118</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非铂类药物减量情况</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1/96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9/99 (9.1%)</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10/195 (5.1%)</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0.0186</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减量比例≥0.25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1/96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4/99 (4.0%)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5/195 (2.6%)</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0.3688</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减量比例≥0.50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1/96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3/99 (3.0%)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4/195 (2.1%)</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0.6213</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铂类药物减量情况</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4/96 (4.2%)</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6/99 (6.1%)</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10/195 (5.1%)</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0.7477</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减量比例≥0.25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1/96 (1.0%)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2/99 (2.0%)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3/195 (1.5%)</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减量比例≥0.50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1/96 (1.0%)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2/99 (2.0%)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3/195 (1.5%)</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1.0000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化疗药物减量比例分布</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0.8293</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例数（缺失数）</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15 (0)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19 (0)</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均数（标准差）</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0.28 (0.150)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0.25 (0.199)</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0.26 (0.187)</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中位数（Q1-Q3）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0.20 (0.20-0.35)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0.20 (0.08-0.50)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0.20 (0.08-0.50)</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最小值-最大值</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0.0-0.5</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0.0-0.5</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非铂类药物减量比例分布</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0.2830</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例数（缺失数）</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 (0)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9 (0)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 (0)</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均数（标准差）</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0.50  (-NA-)</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0.25 (0.203)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0.28 (0.206)</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中位数（Q1-Q3）</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0.50 (0.50-0.50)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0.20 (0.04-0.50)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0.24 (0.04-0.50)</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最小值-最大值</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0.5-0.5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0.0-0.5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0.0-0.5</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铂类药物减量比例分布</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0.8286</w:t>
            </w:r>
            <w:r>
              <w:rPr>
                <w:rFonts w:ascii="Times New Roman" w:hAnsi="Times New Roman" w:eastAsia="宋体" w:cs="Times New Roman"/>
                <w:sz w:val="18"/>
                <w:szCs w:val="18"/>
                <w:vertAlign w:val="superscript"/>
              </w:rPr>
              <w:t>#</w:t>
            </w: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例数（缺失数）</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4 (0)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6 (0)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10 (0)</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均数（标准差）</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0.28 (0.150)</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0.25 (0.214)</w:t>
            </w:r>
          </w:p>
        </w:tc>
        <w:tc>
          <w:tcPr>
            <w:tcW w:w="884"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0.26 (0.182)</w:t>
            </w:r>
          </w:p>
        </w:tc>
        <w:tc>
          <w:tcPr>
            <w:tcW w:w="883" w:type="pct"/>
            <w:tcBorders>
              <w:top w:val="nil"/>
              <w:left w:val="nil"/>
              <w:bottom w:val="nil"/>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nil"/>
              <w:right w:val="nil"/>
            </w:tcBorders>
            <w:shd w:val="clear" w:color="auto" w:fill="F0F0F0"/>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中位数（Q1-Q3）</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0.20 (0.20-0.35)</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0.14 (0.08-0.50)</w:t>
            </w:r>
          </w:p>
        </w:tc>
        <w:tc>
          <w:tcPr>
            <w:tcW w:w="884"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0.20 (0.08-0.50)</w:t>
            </w:r>
          </w:p>
        </w:tc>
        <w:tc>
          <w:tcPr>
            <w:tcW w:w="883" w:type="pct"/>
            <w:tcBorders>
              <w:top w:val="nil"/>
              <w:left w:val="nil"/>
              <w:bottom w:val="nil"/>
              <w:right w:val="nil"/>
            </w:tcBorders>
            <w:shd w:val="clear" w:color="auto" w:fill="F0F0F0"/>
            <w:tcMar>
              <w:left w:w="20" w:type="dxa"/>
              <w:right w:w="20" w:type="dxa"/>
            </w:tcMar>
          </w:tcPr>
          <w:p>
            <w:pPr>
              <w:adjustRightInd w:val="0"/>
              <w:spacing w:before="20" w:after="20"/>
              <w:jc w:val="center"/>
              <w:rPr>
                <w:rFonts w:ascii="Times New Roman" w:hAnsi="Times New Roman" w:eastAsia="宋体" w:cs="Times New Roman"/>
                <w:sz w:val="18"/>
                <w:szCs w:val="18"/>
              </w:rPr>
            </w:pPr>
          </w:p>
        </w:tc>
      </w:tr>
      <w:tr>
        <w:tblPrEx>
          <w:tblCellMar>
            <w:top w:w="0" w:type="dxa"/>
            <w:left w:w="0" w:type="dxa"/>
            <w:bottom w:w="0" w:type="dxa"/>
            <w:right w:w="0" w:type="dxa"/>
          </w:tblCellMar>
        </w:tblPrEx>
        <w:trPr>
          <w:cantSplit/>
          <w:jc w:val="center"/>
        </w:trPr>
        <w:tc>
          <w:tcPr>
            <w:tcW w:w="1465" w:type="pct"/>
            <w:tcBorders>
              <w:top w:val="nil"/>
              <w:left w:val="nil"/>
              <w:bottom w:val="double" w:color="000000" w:sz="4" w:space="0"/>
              <w:right w:val="nil"/>
            </w:tcBorders>
            <w:shd w:val="clear" w:color="auto" w:fill="FFFFFF"/>
            <w:tcMar>
              <w:left w:w="20" w:type="dxa"/>
              <w:right w:w="20" w:type="dxa"/>
            </w:tcMar>
          </w:tcPr>
          <w:p>
            <w:pPr>
              <w:adjustRightInd w:val="0"/>
              <w:spacing w:before="20" w:after="20"/>
              <w:rPr>
                <w:rFonts w:ascii="Times New Roman" w:hAnsi="Times New Roman" w:eastAsia="宋体" w:cs="Times New Roman"/>
                <w:sz w:val="18"/>
                <w:szCs w:val="18"/>
              </w:rPr>
            </w:pPr>
            <w:r>
              <w:rPr>
                <w:rFonts w:ascii="Times New Roman" w:hAnsi="Times New Roman" w:eastAsia="宋体" w:cs="Times New Roman"/>
                <w:sz w:val="18"/>
                <w:szCs w:val="18"/>
              </w:rPr>
              <w:t xml:space="preserve">     最小值-最大值</w:t>
            </w:r>
          </w:p>
        </w:tc>
        <w:tc>
          <w:tcPr>
            <w:tcW w:w="884"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0.2-0.5</w:t>
            </w:r>
          </w:p>
        </w:tc>
        <w:tc>
          <w:tcPr>
            <w:tcW w:w="884"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0.1-0.5</w:t>
            </w:r>
          </w:p>
        </w:tc>
        <w:tc>
          <w:tcPr>
            <w:tcW w:w="884"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r>
              <w:rPr>
                <w:rFonts w:ascii="Times New Roman" w:hAnsi="Times New Roman" w:eastAsia="宋体" w:cs="Times New Roman"/>
                <w:sz w:val="18"/>
                <w:szCs w:val="18"/>
              </w:rPr>
              <w:t>0.1-0.5</w:t>
            </w:r>
          </w:p>
        </w:tc>
        <w:tc>
          <w:tcPr>
            <w:tcW w:w="883" w:type="pct"/>
            <w:tcBorders>
              <w:top w:val="nil"/>
              <w:left w:val="nil"/>
              <w:bottom w:val="double" w:color="000000" w:sz="4" w:space="0"/>
              <w:right w:val="nil"/>
            </w:tcBorders>
            <w:shd w:val="clear" w:color="auto" w:fill="FFFFFF"/>
            <w:tcMar>
              <w:left w:w="20" w:type="dxa"/>
              <w:right w:w="20" w:type="dxa"/>
            </w:tcMar>
          </w:tcPr>
          <w:p>
            <w:pPr>
              <w:adjustRightInd w:val="0"/>
              <w:spacing w:before="20" w:after="20"/>
              <w:jc w:val="center"/>
              <w:rPr>
                <w:rFonts w:ascii="Times New Roman" w:hAnsi="Times New Roman" w:eastAsia="宋体" w:cs="Times New Roman"/>
                <w:sz w:val="18"/>
                <w:szCs w:val="18"/>
              </w:rPr>
            </w:pPr>
          </w:p>
        </w:tc>
      </w:tr>
    </w:tbl>
    <w:p>
      <w:pPr>
        <w:adjustRightInd w:val="0"/>
        <w:spacing w:before="10" w:after="10"/>
        <w:rPr>
          <w:rFonts w:ascii="Times New Roman" w:hAnsi="Times New Roman" w:eastAsia="宋体" w:cs="Times New Roman"/>
          <w:i/>
          <w:iCs/>
          <w:sz w:val="16"/>
          <w:szCs w:val="16"/>
        </w:rPr>
      </w:pPr>
      <w:r>
        <w:rPr>
          <w:rFonts w:ascii="Times New Roman" w:hAnsi="Times New Roman" w:eastAsia="宋体" w:cs="Times New Roman"/>
          <w:i/>
          <w:iCs/>
          <w:sz w:val="16"/>
          <w:szCs w:val="16"/>
        </w:rPr>
        <w:t>注：a：化疗周期维度表示以患者接受的每个基线化疗周期作为个体来统计化疗完成情况各指标；带*号P值来自Fisher精确检验，带#号P值来自t检验，其他P值来自卡方检验。</w:t>
      </w:r>
    </w:p>
    <w:p>
      <w:pPr>
        <w:spacing w:before="120" w:beforeLines="50" w:line="360" w:lineRule="auto"/>
        <w:ind w:firstLine="480" w:firstLineChars="200"/>
        <w:rPr>
          <w:sz w:val="24"/>
          <w:highlight w:val="yellow"/>
        </w:rPr>
      </w:pPr>
      <w:r>
        <w:rPr>
          <w:rFonts w:hint="eastAsia"/>
          <w:sz w:val="24"/>
        </w:rPr>
        <w:t>由上表知，无论从患者维度还是化疗周期维度，</w:t>
      </w:r>
      <w:r>
        <w:rPr>
          <w:rFonts w:hint="eastAsia"/>
          <w:sz w:val="24"/>
          <w:highlight w:val="yellow"/>
        </w:rPr>
        <w:t>参芪扶正组患者的化疗完成率均高于对照组，化疗延迟率、化疗减量率也均低于对照组。</w:t>
      </w:r>
    </w:p>
    <w:p>
      <w:pPr>
        <w:spacing w:line="360" w:lineRule="auto"/>
        <w:ind w:firstLine="480" w:firstLineChars="200"/>
        <w:rPr>
          <w:rFonts w:ascii="Times New Roman" w:hAnsi="Times New Roman" w:eastAsia="宋体" w:cs="Times New Roman"/>
          <w:sz w:val="24"/>
        </w:rPr>
      </w:pPr>
      <w:bookmarkStart w:id="31" w:name="_GoBack"/>
      <w:bookmarkEnd w:id="31"/>
    </w:p>
    <w:p>
      <w:pPr>
        <w:adjustRightInd w:val="0"/>
        <w:rPr>
          <w:rFonts w:ascii="Times New Roman" w:hAnsi="Times New Roman" w:cs="Times New Roman" w:eastAsiaTheme="minorEastAsia"/>
          <w:sz w:val="18"/>
          <w:szCs w:val="18"/>
        </w:rPr>
      </w:pPr>
    </w:p>
    <w:p>
      <w:pPr>
        <w:adjustRightInd w:val="0"/>
        <w:spacing w:before="10" w:after="10"/>
        <w:rPr>
          <w:rFonts w:ascii="Times New Roman" w:hAnsi="Times New Roman" w:eastAsia="宋体" w:cs="Times New Roman"/>
          <w:i/>
          <w:iCs/>
          <w:sz w:val="16"/>
          <w:szCs w:val="16"/>
        </w:rPr>
      </w:pPr>
    </w:p>
    <w:sectPr>
      <w:headerReference r:id="rId9" w:type="default"/>
      <w:pgSz w:w="11905" w:h="16837"/>
      <w:pgMar w:top="720" w:right="720" w:bottom="720" w:left="720" w:header="227" w:footer="720" w:gutter="0"/>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PMingLiU">
    <w:altName w:val="Microsoft JhengHei UI"/>
    <w:panose1 w:val="02010601000101010101"/>
    <w:charset w:val="88"/>
    <w:family w:val="auto"/>
    <w:pitch w:val="default"/>
    <w:sig w:usb0="00000000" w:usb1="00000000" w:usb2="00000010" w:usb3="00000000" w:csb0="00100000" w:csb1="00000000"/>
  </w:font>
  <w:font w:name="Microsoft JhengHei UI">
    <w:panose1 w:val="020B0604030504040204"/>
    <w:charset w:val="88"/>
    <w:family w:val="auto"/>
    <w:pitch w:val="default"/>
    <w:sig w:usb0="000002A7" w:usb1="28CF4400" w:usb2="00000016" w:usb3="00000000" w:csb0="00100009"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center"/>
    </w:pPr>
  </w:p>
  <w:p>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77537707"/>
      <w:docPartObj>
        <w:docPartGallery w:val="AutoText"/>
      </w:docPartObj>
    </w:sdtPr>
    <w:sdtEndPr>
      <w:rPr>
        <w:rFonts w:ascii="Times New Roman" w:hAnsi="Times New Roman" w:cs="Times New Roman"/>
      </w:rPr>
    </w:sdtEndPr>
    <w:sdtContent>
      <w:p>
        <w:pPr>
          <w:pStyle w:val="1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13</w:t>
        </w:r>
        <w:r>
          <w:rPr>
            <w:rFonts w:ascii="Times New Roman" w:hAnsi="Times New Roman" w:cs="Times New Roman"/>
          </w:rPr>
          <w:fldChar w:fldCharType="end"/>
        </w:r>
        <w:r>
          <w:rPr>
            <w:rFonts w:ascii="Times New Roman" w:hAnsi="Times New Roman" w:cs="Times New Roman"/>
          </w:rPr>
          <w:t>/40</w:t>
        </w:r>
      </w:p>
    </w:sdtContent>
  </w:sdt>
  <w:p>
    <w:pPr>
      <w:pStyle w:val="15"/>
    </w:pPr>
    <w:r>
      <w:rPr>
        <w:rFonts w:hint="eastAsia" w:asciiTheme="minorEastAsia" w:hAnsiTheme="minorEastAsia" w:eastAsiaTheme="minorEastAsia"/>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82464464"/>
      <w:docPartObj>
        <w:docPartGallery w:val="AutoText"/>
      </w:docPartObj>
    </w:sdtPr>
    <w:sdtEndPr>
      <w:rPr>
        <w:rFonts w:ascii="Times New Roman" w:hAnsi="Times New Roman" w:cs="Times New Roman"/>
      </w:rPr>
    </w:sdtEndPr>
    <w:sdtContent>
      <w:p>
        <w:pPr>
          <w:pStyle w:val="1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34</w:t>
        </w:r>
        <w:r>
          <w:rPr>
            <w:rFonts w:ascii="Times New Roman" w:hAnsi="Times New Roman" w:cs="Times New Roman"/>
          </w:rPr>
          <w:fldChar w:fldCharType="end"/>
        </w:r>
        <w:r>
          <w:rPr>
            <w:rFonts w:ascii="Times New Roman" w:hAnsi="Times New Roman" w:eastAsia="微软雅黑" w:cs="Times New Roman"/>
          </w:rPr>
          <w:t>/40</w:t>
        </w:r>
      </w:p>
    </w:sdtContent>
  </w:sdt>
  <w:p>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left"/>
      <w:rPr>
        <w:rFonts w:ascii="楷体" w:hAnsi="楷体" w:eastAsia="楷体"/>
      </w:rPr>
    </w:pPr>
    <w:r>
      <w:rPr>
        <w:rFonts w:hint="eastAsia" w:ascii="Times New Roman" w:hAnsi="Times New Roman" w:eastAsia="楷体" w:cs="Times New Roman"/>
      </w:rPr>
      <w:t xml:space="preserve">参芪扶正注射液联合含铂双药化疗治疗晚期非小细胞肺癌 </w:t>
    </w:r>
    <w:r>
      <w:rPr>
        <w:rFonts w:ascii="Times New Roman" w:hAnsi="Times New Roman" w:eastAsia="楷体" w:cs="Times New Roman"/>
      </w:rPr>
      <w:t xml:space="preserve">       </w:t>
    </w:r>
    <w:r>
      <w:rPr>
        <w:rFonts w:hint="eastAsia" w:ascii="Times New Roman" w:hAnsi="Times New Roman" w:eastAsia="楷体" w:cs="Times New Roman"/>
      </w:rPr>
      <w:t xml:space="preserve"> </w:t>
    </w:r>
    <w:r>
      <w:rPr>
        <w:rFonts w:ascii="楷体" w:hAnsi="楷体" w:eastAsia="楷体"/>
      </w:rPr>
      <w:t xml:space="preserve">                                     </w:t>
    </w:r>
    <w:r>
      <w:rPr>
        <w:rFonts w:ascii="Times New Roman" w:hAnsi="Times New Roman" w:eastAsia="楷体" w:cs="Times New Roman"/>
      </w:rPr>
      <w:t>版本号：1.0</w:t>
    </w:r>
  </w:p>
  <w:p>
    <w:pPr>
      <w:pStyle w:val="16"/>
      <w:jc w:val="both"/>
    </w:pPr>
    <w:r>
      <w:rPr>
        <w:rFonts w:hint="eastAsia" w:ascii="Times New Roman" w:hAnsi="Times New Roman" w:eastAsia="楷体" w:cs="Times New Roman"/>
      </w:rPr>
      <w:t>（</w:t>
    </w:r>
    <w:r>
      <w:rPr>
        <w:rFonts w:ascii="Times New Roman" w:hAnsi="Times New Roman" w:eastAsia="楷体" w:cs="Times New Roman"/>
      </w:rPr>
      <w:t>NSCLC</w:t>
    </w:r>
    <w:r>
      <w:rPr>
        <w:rFonts w:hint="eastAsia" w:ascii="Times New Roman" w:hAnsi="Times New Roman" w:eastAsia="楷体" w:cs="Times New Roman"/>
      </w:rPr>
      <w:t>）患者的疗效及安全性</w:t>
    </w:r>
    <w:r>
      <w:rPr>
        <w:rFonts w:ascii="Times New Roman" w:hAnsi="Times New Roman" w:eastAsia="楷体" w:cs="Times New Roman"/>
      </w:rPr>
      <w:t>：</w:t>
    </w:r>
    <w:r>
      <w:rPr>
        <w:rFonts w:hint="eastAsia" w:ascii="Times New Roman" w:hAnsi="Times New Roman" w:eastAsia="楷体" w:cs="Times New Roman"/>
      </w:rPr>
      <w:t>多中心、回顾性队列</w:t>
    </w:r>
    <w:r>
      <w:rPr>
        <w:rFonts w:ascii="Times New Roman" w:hAnsi="Times New Roman" w:eastAsia="楷体" w:cs="Times New Roman"/>
      </w:rPr>
      <w:t>研究</w:t>
    </w:r>
    <w:r>
      <w:rPr>
        <w:rFonts w:hint="eastAsia" w:ascii="Times New Roman" w:hAnsi="Times New Roman" w:eastAsia="楷体" w:cs="Times New Roman"/>
      </w:rPr>
      <w:t xml:space="preserve"> </w:t>
    </w:r>
    <w:r>
      <w:rPr>
        <w:rFonts w:ascii="Times New Roman" w:hAnsi="Times New Roman" w:eastAsia="楷体" w:cs="Times New Roman"/>
      </w:rPr>
      <w:t xml:space="preserve">                           </w:t>
    </w:r>
    <w:r>
      <w:rPr>
        <w:rFonts w:hint="eastAsia" w:ascii="楷体" w:hAnsi="楷体" w:eastAsia="楷体"/>
      </w:rPr>
      <w:t>版本日期：</w:t>
    </w:r>
    <w:r>
      <w:rPr>
        <w:rFonts w:ascii="Times New Roman" w:hAnsi="Times New Roman" w:eastAsia="楷体" w:cs="Times New Roman"/>
      </w:rPr>
      <w:t>2020年1月10日</w:t>
    </w:r>
  </w:p>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left"/>
      <w:rPr>
        <w:rFonts w:ascii="Times New Roman" w:hAnsi="Times New Roman" w:eastAsia="楷体" w:cs="Times New Roman"/>
      </w:rPr>
    </w:pPr>
    <w:r>
      <w:rPr>
        <w:rFonts w:hint="eastAsia" w:ascii="Times New Roman" w:hAnsi="Times New Roman" w:eastAsia="楷体" w:cs="Times New Roman"/>
      </w:rPr>
      <w:t xml:space="preserve">参芪扶正注射液联合含铂双药化疗治疗晚期非小细胞肺癌 </w:t>
    </w:r>
    <w:r>
      <w:rPr>
        <w:rFonts w:ascii="Times New Roman" w:hAnsi="Times New Roman" w:eastAsia="楷体" w:cs="Times New Roman"/>
      </w:rPr>
      <w:t xml:space="preserve">       </w:t>
    </w:r>
    <w:r>
      <w:rPr>
        <w:rFonts w:hint="eastAsia" w:ascii="Times New Roman" w:hAnsi="Times New Roman" w:eastAsia="楷体" w:cs="Times New Roman"/>
      </w:rPr>
      <w:t xml:space="preserve"> </w:t>
    </w:r>
    <w:r>
      <w:rPr>
        <w:rFonts w:ascii="楷体" w:hAnsi="楷体" w:eastAsia="楷体"/>
      </w:rPr>
      <w:t xml:space="preserve">                                              </w:t>
    </w:r>
    <w:r>
      <w:rPr>
        <w:rFonts w:ascii="Times New Roman" w:hAnsi="Times New Roman" w:eastAsia="楷体" w:cs="Times New Roman"/>
      </w:rPr>
      <w:t>版本号：1.0</w:t>
    </w:r>
  </w:p>
  <w:p>
    <w:pPr>
      <w:pStyle w:val="16"/>
      <w:jc w:val="left"/>
      <w:rPr>
        <w:rFonts w:ascii="楷体" w:hAnsi="楷体" w:eastAsia="楷体"/>
      </w:rPr>
    </w:pPr>
    <w:r>
      <w:rPr>
        <w:rFonts w:hint="eastAsia" w:ascii="Times New Roman" w:hAnsi="Times New Roman" w:eastAsia="楷体" w:cs="Times New Roman"/>
      </w:rPr>
      <w:t>（</w:t>
    </w:r>
    <w:r>
      <w:rPr>
        <w:rFonts w:ascii="Times New Roman" w:hAnsi="Times New Roman" w:eastAsia="楷体" w:cs="Times New Roman"/>
      </w:rPr>
      <w:t>NSCLC</w:t>
    </w:r>
    <w:r>
      <w:rPr>
        <w:rFonts w:hint="eastAsia" w:ascii="Times New Roman" w:hAnsi="Times New Roman" w:eastAsia="楷体" w:cs="Times New Roman"/>
      </w:rPr>
      <w:t>）患者的疗效及安全性</w:t>
    </w:r>
    <w:r>
      <w:rPr>
        <w:rFonts w:ascii="Times New Roman" w:hAnsi="Times New Roman" w:eastAsia="楷体" w:cs="Times New Roman"/>
      </w:rPr>
      <w:t>：</w:t>
    </w:r>
    <w:r>
      <w:rPr>
        <w:rFonts w:hint="eastAsia" w:ascii="Times New Roman" w:hAnsi="Times New Roman" w:eastAsia="楷体" w:cs="Times New Roman"/>
      </w:rPr>
      <w:t>多中心、回顾性队列</w:t>
    </w:r>
    <w:r>
      <w:rPr>
        <w:rFonts w:ascii="Times New Roman" w:hAnsi="Times New Roman" w:eastAsia="楷体" w:cs="Times New Roman"/>
      </w:rPr>
      <w:t>研究</w:t>
    </w:r>
    <w:r>
      <w:rPr>
        <w:rFonts w:hint="eastAsia" w:ascii="Times New Roman" w:hAnsi="Times New Roman" w:eastAsia="楷体" w:cs="Times New Roman"/>
      </w:rPr>
      <w:t xml:space="preserve"> </w:t>
    </w:r>
    <w:r>
      <w:rPr>
        <w:rFonts w:ascii="Times New Roman" w:hAnsi="Times New Roman" w:eastAsia="楷体" w:cs="Times New Roman"/>
      </w:rPr>
      <w:t xml:space="preserve">                                     </w:t>
    </w:r>
    <w:r>
      <w:rPr>
        <w:rFonts w:hint="eastAsia" w:ascii="楷体" w:hAnsi="楷体" w:eastAsia="楷体"/>
      </w:rPr>
      <w:t>版本日期：</w:t>
    </w:r>
    <w:r>
      <w:rPr>
        <w:rFonts w:ascii="Times New Roman" w:hAnsi="Times New Roman" w:eastAsia="楷体" w:cs="Times New Roman"/>
      </w:rPr>
      <w:t>2020年1月10日</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left"/>
      <w:rPr>
        <w:rFonts w:ascii="Times New Roman" w:hAnsi="Times New Roman" w:eastAsia="楷体" w:cs="Times New Roman"/>
      </w:rPr>
    </w:pPr>
    <w:r>
      <w:rPr>
        <w:rFonts w:hint="eastAsia" w:ascii="Times New Roman" w:hAnsi="Times New Roman" w:eastAsia="楷体" w:cs="Times New Roman"/>
      </w:rPr>
      <w:t>参芪扶正注射液联合含铂双药治疗晚期非小细胞肺癌（</w:t>
    </w:r>
    <w:r>
      <w:rPr>
        <w:rFonts w:ascii="Times New Roman" w:hAnsi="Times New Roman" w:eastAsia="楷体" w:cs="Times New Roman"/>
      </w:rPr>
      <w:t>NSCLC</w:t>
    </w:r>
    <w:r>
      <w:rPr>
        <w:rFonts w:hint="eastAsia" w:ascii="Times New Roman" w:hAnsi="Times New Roman" w:eastAsia="楷体" w:cs="Times New Roman"/>
      </w:rPr>
      <w:t xml:space="preserve">） </w:t>
    </w:r>
    <w:r>
      <w:rPr>
        <w:rFonts w:ascii="Times New Roman" w:hAnsi="Times New Roman" w:eastAsia="楷体" w:cs="Times New Roman"/>
      </w:rPr>
      <w:t xml:space="preserve">       </w:t>
    </w:r>
    <w:r>
      <w:rPr>
        <w:rFonts w:hint="eastAsia" w:ascii="Times New Roman" w:hAnsi="Times New Roman" w:eastAsia="楷体" w:cs="Times New Roman"/>
      </w:rPr>
      <w:t xml:space="preserve"> </w:t>
    </w:r>
    <w:r>
      <w:rPr>
        <w:rFonts w:ascii="楷体" w:hAnsi="楷体" w:eastAsia="楷体"/>
      </w:rPr>
      <w:t xml:space="preserve">                                                                                              </w:t>
    </w:r>
    <w:r>
      <w:rPr>
        <w:rFonts w:ascii="Times New Roman" w:hAnsi="Times New Roman" w:eastAsia="楷体" w:cs="Times New Roman"/>
      </w:rPr>
      <w:t>版本号：1.0</w:t>
    </w:r>
  </w:p>
  <w:p>
    <w:pPr>
      <w:pStyle w:val="16"/>
      <w:jc w:val="left"/>
      <w:rPr>
        <w:rFonts w:ascii="楷体" w:hAnsi="楷体" w:eastAsia="楷体"/>
      </w:rPr>
    </w:pPr>
    <w:r>
      <w:rPr>
        <w:rFonts w:hint="eastAsia" w:ascii="Times New Roman" w:hAnsi="Times New Roman" w:eastAsia="楷体" w:cs="Times New Roman"/>
      </w:rPr>
      <w:t>患者的疗效及安全性</w:t>
    </w:r>
    <w:r>
      <w:rPr>
        <w:rFonts w:ascii="Times New Roman" w:hAnsi="Times New Roman" w:eastAsia="楷体" w:cs="Times New Roman"/>
      </w:rPr>
      <w:t>：</w:t>
    </w:r>
    <w:r>
      <w:rPr>
        <w:rFonts w:hint="eastAsia" w:ascii="Times New Roman" w:hAnsi="Times New Roman" w:eastAsia="楷体" w:cs="Times New Roman"/>
      </w:rPr>
      <w:t>多中心、回顾性队列</w:t>
    </w:r>
    <w:r>
      <w:rPr>
        <w:rFonts w:ascii="Times New Roman" w:hAnsi="Times New Roman" w:eastAsia="楷体" w:cs="Times New Roman"/>
      </w:rPr>
      <w:t>研究</w:t>
    </w:r>
    <w:r>
      <w:rPr>
        <w:rFonts w:hint="eastAsia" w:ascii="Times New Roman" w:hAnsi="Times New Roman" w:eastAsia="楷体" w:cs="Times New Roman"/>
      </w:rPr>
      <w:t xml:space="preserve"> </w:t>
    </w:r>
    <w:r>
      <w:rPr>
        <w:rFonts w:ascii="Times New Roman" w:hAnsi="Times New Roman" w:eastAsia="楷体" w:cs="Times New Roman"/>
      </w:rPr>
      <w:t xml:space="preserve">                                                                                                      </w:t>
    </w:r>
    <w:r>
      <w:rPr>
        <w:rFonts w:hint="eastAsia" w:ascii="楷体" w:hAnsi="楷体" w:eastAsia="楷体"/>
      </w:rPr>
      <w:t>版本日期：</w:t>
    </w:r>
    <w:r>
      <w:rPr>
        <w:rFonts w:ascii="Times New Roman" w:hAnsi="Times New Roman" w:eastAsia="楷体" w:cs="Times New Roman"/>
      </w:rPr>
      <w:t>2020年1月10日</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left"/>
      <w:rPr>
        <w:rFonts w:ascii="Times New Roman" w:hAnsi="Times New Roman" w:eastAsia="楷体" w:cs="Times New Roman"/>
      </w:rPr>
    </w:pPr>
    <w:r>
      <w:rPr>
        <w:rFonts w:hint="eastAsia" w:ascii="Times New Roman" w:hAnsi="Times New Roman" w:eastAsia="楷体" w:cs="Times New Roman"/>
      </w:rPr>
      <w:t>参芪扶正注射液联合含铂双药治疗晚期非小细胞肺癌（</w:t>
    </w:r>
    <w:r>
      <w:rPr>
        <w:rFonts w:ascii="Times New Roman" w:hAnsi="Times New Roman" w:eastAsia="楷体" w:cs="Times New Roman"/>
      </w:rPr>
      <w:t>NSCLC</w:t>
    </w:r>
    <w:r>
      <w:rPr>
        <w:rFonts w:hint="eastAsia" w:ascii="Times New Roman" w:hAnsi="Times New Roman" w:eastAsia="楷体" w:cs="Times New Roman"/>
      </w:rPr>
      <w:t xml:space="preserve">） </w:t>
    </w:r>
    <w:r>
      <w:rPr>
        <w:rFonts w:ascii="Times New Roman" w:hAnsi="Times New Roman" w:eastAsia="楷体" w:cs="Times New Roman"/>
      </w:rPr>
      <w:t xml:space="preserve">       </w:t>
    </w:r>
    <w:r>
      <w:rPr>
        <w:rFonts w:hint="eastAsia" w:ascii="Times New Roman" w:hAnsi="Times New Roman" w:eastAsia="楷体" w:cs="Times New Roman"/>
      </w:rPr>
      <w:t xml:space="preserve"> </w:t>
    </w:r>
    <w:r>
      <w:rPr>
        <w:rFonts w:ascii="楷体" w:hAnsi="楷体" w:eastAsia="楷体"/>
      </w:rPr>
      <w:t xml:space="preserve">                                       </w:t>
    </w:r>
    <w:r>
      <w:rPr>
        <w:rFonts w:ascii="Times New Roman" w:hAnsi="Times New Roman" w:eastAsia="楷体" w:cs="Times New Roman"/>
      </w:rPr>
      <w:t>版本号：1.0</w:t>
    </w:r>
  </w:p>
  <w:p>
    <w:pPr>
      <w:pStyle w:val="16"/>
      <w:jc w:val="left"/>
      <w:rPr>
        <w:rFonts w:ascii="Times New Roman" w:hAnsi="Times New Roman" w:eastAsia="楷体" w:cs="Times New Roman"/>
      </w:rPr>
    </w:pPr>
    <w:r>
      <w:rPr>
        <w:rFonts w:hint="eastAsia" w:ascii="Times New Roman" w:hAnsi="Times New Roman" w:eastAsia="楷体" w:cs="Times New Roman"/>
      </w:rPr>
      <w:t>患者的疗效及安全性</w:t>
    </w:r>
    <w:r>
      <w:rPr>
        <w:rFonts w:ascii="Times New Roman" w:hAnsi="Times New Roman" w:eastAsia="楷体" w:cs="Times New Roman"/>
      </w:rPr>
      <w:t>：</w:t>
    </w:r>
    <w:r>
      <w:rPr>
        <w:rFonts w:hint="eastAsia" w:ascii="Times New Roman" w:hAnsi="Times New Roman" w:eastAsia="楷体" w:cs="Times New Roman"/>
      </w:rPr>
      <w:t>多中心、回顾性队列</w:t>
    </w:r>
    <w:r>
      <w:rPr>
        <w:rFonts w:ascii="Times New Roman" w:hAnsi="Times New Roman" w:eastAsia="楷体" w:cs="Times New Roman"/>
      </w:rPr>
      <w:t>研究</w:t>
    </w:r>
    <w:r>
      <w:rPr>
        <w:rFonts w:hint="eastAsia" w:ascii="Times New Roman" w:hAnsi="Times New Roman" w:eastAsia="楷体" w:cs="Times New Roman"/>
      </w:rPr>
      <w:t xml:space="preserve"> </w:t>
    </w:r>
    <w:r>
      <w:rPr>
        <w:rFonts w:ascii="Times New Roman" w:hAnsi="Times New Roman" w:eastAsia="楷体" w:cs="Times New Roman"/>
      </w:rPr>
      <w:t xml:space="preserve">                                               </w:t>
    </w:r>
    <w:r>
      <w:rPr>
        <w:rFonts w:hint="eastAsia" w:ascii="楷体" w:hAnsi="楷体" w:eastAsia="楷体"/>
      </w:rPr>
      <w:t>版本日期：</w:t>
    </w:r>
    <w:r>
      <w:rPr>
        <w:rFonts w:ascii="Times New Roman" w:hAnsi="Times New Roman" w:eastAsia="楷体" w:cs="Times New Roman"/>
      </w:rPr>
      <w:t>2020年1月10日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98687B"/>
    <w:multiLevelType w:val="multilevel"/>
    <w:tmpl w:val="3898687B"/>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1559" w:hanging="567"/>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D10"/>
    <w:rsid w:val="00001B68"/>
    <w:rsid w:val="00002022"/>
    <w:rsid w:val="00007BE7"/>
    <w:rsid w:val="00013045"/>
    <w:rsid w:val="000277F2"/>
    <w:rsid w:val="000300D5"/>
    <w:rsid w:val="000308ED"/>
    <w:rsid w:val="000349B8"/>
    <w:rsid w:val="00042497"/>
    <w:rsid w:val="000467A6"/>
    <w:rsid w:val="000547B0"/>
    <w:rsid w:val="00055ECB"/>
    <w:rsid w:val="000609C3"/>
    <w:rsid w:val="00062075"/>
    <w:rsid w:val="00064513"/>
    <w:rsid w:val="000649A0"/>
    <w:rsid w:val="00065E58"/>
    <w:rsid w:val="000675D7"/>
    <w:rsid w:val="00076A59"/>
    <w:rsid w:val="00076A87"/>
    <w:rsid w:val="000821AF"/>
    <w:rsid w:val="000B4ABE"/>
    <w:rsid w:val="000C43B2"/>
    <w:rsid w:val="000C5E5A"/>
    <w:rsid w:val="000D33BB"/>
    <w:rsid w:val="000D48BA"/>
    <w:rsid w:val="000E2F12"/>
    <w:rsid w:val="000F0326"/>
    <w:rsid w:val="000F06DF"/>
    <w:rsid w:val="000F5EEF"/>
    <w:rsid w:val="001038BF"/>
    <w:rsid w:val="00104CAD"/>
    <w:rsid w:val="001141D7"/>
    <w:rsid w:val="00114E73"/>
    <w:rsid w:val="00115C11"/>
    <w:rsid w:val="00122007"/>
    <w:rsid w:val="00125182"/>
    <w:rsid w:val="00142C4A"/>
    <w:rsid w:val="001435B1"/>
    <w:rsid w:val="00182E5E"/>
    <w:rsid w:val="0018650E"/>
    <w:rsid w:val="00192BC5"/>
    <w:rsid w:val="0019431E"/>
    <w:rsid w:val="001A1286"/>
    <w:rsid w:val="001B033C"/>
    <w:rsid w:val="001B1580"/>
    <w:rsid w:val="001B39CA"/>
    <w:rsid w:val="001C01EF"/>
    <w:rsid w:val="001C1194"/>
    <w:rsid w:val="001C7081"/>
    <w:rsid w:val="001C76C9"/>
    <w:rsid w:val="001D0915"/>
    <w:rsid w:val="001E03E0"/>
    <w:rsid w:val="0021232E"/>
    <w:rsid w:val="00212949"/>
    <w:rsid w:val="00230D4E"/>
    <w:rsid w:val="00231C3B"/>
    <w:rsid w:val="00234C1E"/>
    <w:rsid w:val="00235A42"/>
    <w:rsid w:val="002422B9"/>
    <w:rsid w:val="002426C4"/>
    <w:rsid w:val="0025135D"/>
    <w:rsid w:val="00252366"/>
    <w:rsid w:val="00254D93"/>
    <w:rsid w:val="00256FA9"/>
    <w:rsid w:val="00261075"/>
    <w:rsid w:val="00264551"/>
    <w:rsid w:val="0028530E"/>
    <w:rsid w:val="00286EE9"/>
    <w:rsid w:val="002A1E66"/>
    <w:rsid w:val="002A404F"/>
    <w:rsid w:val="002A4964"/>
    <w:rsid w:val="002A75CC"/>
    <w:rsid w:val="002B082D"/>
    <w:rsid w:val="002B6D44"/>
    <w:rsid w:val="002B7D69"/>
    <w:rsid w:val="002C5A22"/>
    <w:rsid w:val="002E17BD"/>
    <w:rsid w:val="002F1C59"/>
    <w:rsid w:val="002F3860"/>
    <w:rsid w:val="002F4AF8"/>
    <w:rsid w:val="002F51A2"/>
    <w:rsid w:val="00302013"/>
    <w:rsid w:val="003030F6"/>
    <w:rsid w:val="00306277"/>
    <w:rsid w:val="003125B8"/>
    <w:rsid w:val="00323E87"/>
    <w:rsid w:val="00332D77"/>
    <w:rsid w:val="00336EBC"/>
    <w:rsid w:val="003417E9"/>
    <w:rsid w:val="00350D58"/>
    <w:rsid w:val="00352405"/>
    <w:rsid w:val="00352B5F"/>
    <w:rsid w:val="00356901"/>
    <w:rsid w:val="003710F1"/>
    <w:rsid w:val="003711F7"/>
    <w:rsid w:val="00372666"/>
    <w:rsid w:val="00383D78"/>
    <w:rsid w:val="00387DE0"/>
    <w:rsid w:val="0039106C"/>
    <w:rsid w:val="00395183"/>
    <w:rsid w:val="003978E7"/>
    <w:rsid w:val="003C7832"/>
    <w:rsid w:val="003D1BA9"/>
    <w:rsid w:val="003D3044"/>
    <w:rsid w:val="003E5A41"/>
    <w:rsid w:val="003E6842"/>
    <w:rsid w:val="003F097F"/>
    <w:rsid w:val="003F0C50"/>
    <w:rsid w:val="003F35CF"/>
    <w:rsid w:val="003F457D"/>
    <w:rsid w:val="003F7AF5"/>
    <w:rsid w:val="00420EE6"/>
    <w:rsid w:val="00435E12"/>
    <w:rsid w:val="004369E6"/>
    <w:rsid w:val="004405B7"/>
    <w:rsid w:val="00443938"/>
    <w:rsid w:val="00461244"/>
    <w:rsid w:val="00475964"/>
    <w:rsid w:val="0047714C"/>
    <w:rsid w:val="0048085B"/>
    <w:rsid w:val="00482BE7"/>
    <w:rsid w:val="00486889"/>
    <w:rsid w:val="00491766"/>
    <w:rsid w:val="00495481"/>
    <w:rsid w:val="004A04A0"/>
    <w:rsid w:val="004A40E9"/>
    <w:rsid w:val="004B08B8"/>
    <w:rsid w:val="004C0BEB"/>
    <w:rsid w:val="00523613"/>
    <w:rsid w:val="005414FE"/>
    <w:rsid w:val="00543E94"/>
    <w:rsid w:val="005516F7"/>
    <w:rsid w:val="00560A6E"/>
    <w:rsid w:val="00562D7E"/>
    <w:rsid w:val="00574EB1"/>
    <w:rsid w:val="005754DF"/>
    <w:rsid w:val="0058079A"/>
    <w:rsid w:val="00587E59"/>
    <w:rsid w:val="00593C79"/>
    <w:rsid w:val="005A76C8"/>
    <w:rsid w:val="005B29CB"/>
    <w:rsid w:val="005B7EB2"/>
    <w:rsid w:val="005C2705"/>
    <w:rsid w:val="005C58E7"/>
    <w:rsid w:val="005D14DB"/>
    <w:rsid w:val="005D79D4"/>
    <w:rsid w:val="005E06DF"/>
    <w:rsid w:val="005F01B6"/>
    <w:rsid w:val="00612F2F"/>
    <w:rsid w:val="006131CB"/>
    <w:rsid w:val="0062176E"/>
    <w:rsid w:val="0062515C"/>
    <w:rsid w:val="006321C7"/>
    <w:rsid w:val="006741F8"/>
    <w:rsid w:val="006768AD"/>
    <w:rsid w:val="006A0381"/>
    <w:rsid w:val="006A5F8B"/>
    <w:rsid w:val="006B06FB"/>
    <w:rsid w:val="006B0B71"/>
    <w:rsid w:val="006D1662"/>
    <w:rsid w:val="006D6595"/>
    <w:rsid w:val="006E005E"/>
    <w:rsid w:val="006F0533"/>
    <w:rsid w:val="006F0604"/>
    <w:rsid w:val="006F30C0"/>
    <w:rsid w:val="007029E6"/>
    <w:rsid w:val="00704F98"/>
    <w:rsid w:val="0071130A"/>
    <w:rsid w:val="00714749"/>
    <w:rsid w:val="0072380F"/>
    <w:rsid w:val="00726ECE"/>
    <w:rsid w:val="00747854"/>
    <w:rsid w:val="00754EFF"/>
    <w:rsid w:val="007619C3"/>
    <w:rsid w:val="007725D4"/>
    <w:rsid w:val="0077641B"/>
    <w:rsid w:val="00786D36"/>
    <w:rsid w:val="00790D62"/>
    <w:rsid w:val="007957BF"/>
    <w:rsid w:val="00797406"/>
    <w:rsid w:val="007A1549"/>
    <w:rsid w:val="007F33B8"/>
    <w:rsid w:val="008011C3"/>
    <w:rsid w:val="0080131A"/>
    <w:rsid w:val="00801714"/>
    <w:rsid w:val="008061F7"/>
    <w:rsid w:val="00816A28"/>
    <w:rsid w:val="00830F64"/>
    <w:rsid w:val="00841896"/>
    <w:rsid w:val="00841C84"/>
    <w:rsid w:val="008436DF"/>
    <w:rsid w:val="00843EFC"/>
    <w:rsid w:val="008455ED"/>
    <w:rsid w:val="0084620E"/>
    <w:rsid w:val="00850197"/>
    <w:rsid w:val="00861B48"/>
    <w:rsid w:val="00874005"/>
    <w:rsid w:val="00875FDF"/>
    <w:rsid w:val="00884C55"/>
    <w:rsid w:val="008A11E2"/>
    <w:rsid w:val="008A693B"/>
    <w:rsid w:val="008B7E4E"/>
    <w:rsid w:val="008C051C"/>
    <w:rsid w:val="008C7ECB"/>
    <w:rsid w:val="008E06E9"/>
    <w:rsid w:val="008E5CBA"/>
    <w:rsid w:val="008F729D"/>
    <w:rsid w:val="00902F14"/>
    <w:rsid w:val="00907653"/>
    <w:rsid w:val="00911312"/>
    <w:rsid w:val="00912E84"/>
    <w:rsid w:val="00933C18"/>
    <w:rsid w:val="009372BF"/>
    <w:rsid w:val="009455B9"/>
    <w:rsid w:val="009528C9"/>
    <w:rsid w:val="00962C9F"/>
    <w:rsid w:val="0096477F"/>
    <w:rsid w:val="009676C2"/>
    <w:rsid w:val="009729B2"/>
    <w:rsid w:val="00977422"/>
    <w:rsid w:val="00986219"/>
    <w:rsid w:val="009A3728"/>
    <w:rsid w:val="009B1F8D"/>
    <w:rsid w:val="009C3817"/>
    <w:rsid w:val="009E5DEF"/>
    <w:rsid w:val="009F1D10"/>
    <w:rsid w:val="009F1F31"/>
    <w:rsid w:val="00A00BE5"/>
    <w:rsid w:val="00A02323"/>
    <w:rsid w:val="00A05BCC"/>
    <w:rsid w:val="00A05F31"/>
    <w:rsid w:val="00A13026"/>
    <w:rsid w:val="00A22DCA"/>
    <w:rsid w:val="00A35631"/>
    <w:rsid w:val="00A36B70"/>
    <w:rsid w:val="00A37F68"/>
    <w:rsid w:val="00A46DB6"/>
    <w:rsid w:val="00A618EE"/>
    <w:rsid w:val="00A82E99"/>
    <w:rsid w:val="00A84324"/>
    <w:rsid w:val="00A8516C"/>
    <w:rsid w:val="00A90D78"/>
    <w:rsid w:val="00A95810"/>
    <w:rsid w:val="00A9585C"/>
    <w:rsid w:val="00A96217"/>
    <w:rsid w:val="00AB2FC9"/>
    <w:rsid w:val="00AC6DC1"/>
    <w:rsid w:val="00AD041F"/>
    <w:rsid w:val="00AD413F"/>
    <w:rsid w:val="00AD6F64"/>
    <w:rsid w:val="00AE7C86"/>
    <w:rsid w:val="00AF2A42"/>
    <w:rsid w:val="00AF6AA9"/>
    <w:rsid w:val="00AF76F1"/>
    <w:rsid w:val="00B00399"/>
    <w:rsid w:val="00B0606C"/>
    <w:rsid w:val="00B065DB"/>
    <w:rsid w:val="00B10347"/>
    <w:rsid w:val="00B108DE"/>
    <w:rsid w:val="00B10B91"/>
    <w:rsid w:val="00B1455B"/>
    <w:rsid w:val="00B22C41"/>
    <w:rsid w:val="00B30192"/>
    <w:rsid w:val="00B31934"/>
    <w:rsid w:val="00B550C6"/>
    <w:rsid w:val="00B55B13"/>
    <w:rsid w:val="00B66B40"/>
    <w:rsid w:val="00B728F7"/>
    <w:rsid w:val="00B72D73"/>
    <w:rsid w:val="00B830A1"/>
    <w:rsid w:val="00B85D01"/>
    <w:rsid w:val="00B9217A"/>
    <w:rsid w:val="00B931E5"/>
    <w:rsid w:val="00BB35F7"/>
    <w:rsid w:val="00BB7313"/>
    <w:rsid w:val="00BC0A2C"/>
    <w:rsid w:val="00BC1A99"/>
    <w:rsid w:val="00BC7218"/>
    <w:rsid w:val="00BD6029"/>
    <w:rsid w:val="00BF4EBC"/>
    <w:rsid w:val="00C0652F"/>
    <w:rsid w:val="00C13B32"/>
    <w:rsid w:val="00C16080"/>
    <w:rsid w:val="00C207C0"/>
    <w:rsid w:val="00C22459"/>
    <w:rsid w:val="00C31F0B"/>
    <w:rsid w:val="00C37757"/>
    <w:rsid w:val="00C44901"/>
    <w:rsid w:val="00C4607E"/>
    <w:rsid w:val="00C50B76"/>
    <w:rsid w:val="00C5377B"/>
    <w:rsid w:val="00C630DF"/>
    <w:rsid w:val="00C65483"/>
    <w:rsid w:val="00C81C89"/>
    <w:rsid w:val="00CC3593"/>
    <w:rsid w:val="00CF609C"/>
    <w:rsid w:val="00D05876"/>
    <w:rsid w:val="00D05F3A"/>
    <w:rsid w:val="00D14C9B"/>
    <w:rsid w:val="00D23346"/>
    <w:rsid w:val="00D2573C"/>
    <w:rsid w:val="00D401BB"/>
    <w:rsid w:val="00D46D72"/>
    <w:rsid w:val="00D50071"/>
    <w:rsid w:val="00D51546"/>
    <w:rsid w:val="00D55401"/>
    <w:rsid w:val="00D57320"/>
    <w:rsid w:val="00D737D9"/>
    <w:rsid w:val="00D75F4F"/>
    <w:rsid w:val="00D7735D"/>
    <w:rsid w:val="00D80B8A"/>
    <w:rsid w:val="00D84797"/>
    <w:rsid w:val="00D873EA"/>
    <w:rsid w:val="00D94CD0"/>
    <w:rsid w:val="00D96822"/>
    <w:rsid w:val="00D97A9C"/>
    <w:rsid w:val="00DA3047"/>
    <w:rsid w:val="00DB2AC4"/>
    <w:rsid w:val="00DB5405"/>
    <w:rsid w:val="00DB6B08"/>
    <w:rsid w:val="00DD09EA"/>
    <w:rsid w:val="00DD2CB2"/>
    <w:rsid w:val="00DD6247"/>
    <w:rsid w:val="00DE2F5F"/>
    <w:rsid w:val="00DF0F23"/>
    <w:rsid w:val="00DF168E"/>
    <w:rsid w:val="00DF2815"/>
    <w:rsid w:val="00E032C8"/>
    <w:rsid w:val="00E04931"/>
    <w:rsid w:val="00E16A0E"/>
    <w:rsid w:val="00E210E8"/>
    <w:rsid w:val="00E278D2"/>
    <w:rsid w:val="00E665A1"/>
    <w:rsid w:val="00E83E83"/>
    <w:rsid w:val="00E90650"/>
    <w:rsid w:val="00E916C8"/>
    <w:rsid w:val="00E91C4B"/>
    <w:rsid w:val="00E97C09"/>
    <w:rsid w:val="00EA6E6A"/>
    <w:rsid w:val="00EA7226"/>
    <w:rsid w:val="00EB60C4"/>
    <w:rsid w:val="00EC4345"/>
    <w:rsid w:val="00EC5765"/>
    <w:rsid w:val="00ED5972"/>
    <w:rsid w:val="00ED7307"/>
    <w:rsid w:val="00EF09EC"/>
    <w:rsid w:val="00F0017F"/>
    <w:rsid w:val="00F04B93"/>
    <w:rsid w:val="00F06B97"/>
    <w:rsid w:val="00F07A02"/>
    <w:rsid w:val="00F17DE5"/>
    <w:rsid w:val="00F33DC3"/>
    <w:rsid w:val="00F40FE8"/>
    <w:rsid w:val="00F42299"/>
    <w:rsid w:val="00F45F63"/>
    <w:rsid w:val="00F62E10"/>
    <w:rsid w:val="00F63FD2"/>
    <w:rsid w:val="00F70AAA"/>
    <w:rsid w:val="00F83421"/>
    <w:rsid w:val="00F91D09"/>
    <w:rsid w:val="00FC3B97"/>
    <w:rsid w:val="00FD125E"/>
    <w:rsid w:val="00FE2759"/>
    <w:rsid w:val="487C1C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Bdr>
        <w:top w:val="none" w:color="auto" w:sz="0" w:space="0"/>
        <w:left w:val="none" w:color="auto" w:sz="0" w:space="0"/>
        <w:bottom w:val="none" w:color="auto" w:sz="0" w:space="0"/>
        <w:right w:val="none" w:color="auto" w:sz="0" w:space="0"/>
        <w:between w:val="none" w:color="auto" w:sz="0" w:space="0"/>
      </w:pBdr>
      <w:jc w:val="both"/>
    </w:pPr>
    <w:rPr>
      <w:rFonts w:ascii="Calibri" w:hAnsi="Calibri" w:eastAsia="Calibri" w:cs="Calibri"/>
      <w:color w:val="000000"/>
      <w:kern w:val="2"/>
      <w:sz w:val="21"/>
      <w:szCs w:val="21"/>
      <w:u w:color="000000"/>
      <w:lang w:val="en-US" w:eastAsia="zh-CN" w:bidi="ar-SA"/>
    </w:rPr>
  </w:style>
  <w:style w:type="paragraph" w:styleId="2">
    <w:name w:val="heading 1"/>
    <w:basedOn w:val="1"/>
    <w:next w:val="1"/>
    <w:link w:val="27"/>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9"/>
    <w:unhideWhenUsed/>
    <w:qFormat/>
    <w:uiPriority w:val="9"/>
    <w:pPr>
      <w:keepNext/>
      <w:keepLines/>
      <w:numPr>
        <w:ilvl w:val="2"/>
        <w:numId w:val="1"/>
      </w:numPr>
      <w:spacing w:before="260" w:after="260" w:line="416" w:lineRule="auto"/>
      <w:ind w:left="567"/>
      <w:outlineLvl w:val="2"/>
    </w:pPr>
    <w:rPr>
      <w:b/>
      <w:bCs/>
      <w:sz w:val="32"/>
      <w:szCs w:val="32"/>
    </w:rPr>
  </w:style>
  <w:style w:type="paragraph" w:styleId="5">
    <w:name w:val="heading 4"/>
    <w:basedOn w:val="1"/>
    <w:next w:val="1"/>
    <w:link w:val="30"/>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1"/>
    <w:semiHidden/>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32"/>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33"/>
    <w:semiHidden/>
    <w:unhideWhenUsed/>
    <w:qFormat/>
    <w:uiPriority w:val="9"/>
    <w:pPr>
      <w:keepNext/>
      <w:keepLines/>
      <w:numPr>
        <w:ilvl w:val="6"/>
        <w:numId w:val="1"/>
      </w:numPr>
      <w:spacing w:before="240" w:after="64" w:line="320" w:lineRule="auto"/>
      <w:outlineLvl w:val="6"/>
    </w:pPr>
    <w:rPr>
      <w:b/>
      <w:bCs/>
      <w:sz w:val="24"/>
      <w:szCs w:val="24"/>
    </w:rPr>
  </w:style>
  <w:style w:type="paragraph" w:styleId="9">
    <w:name w:val="heading 8"/>
    <w:basedOn w:val="1"/>
    <w:next w:val="1"/>
    <w:link w:val="34"/>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35"/>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4">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11">
    <w:name w:val="caption"/>
    <w:basedOn w:val="1"/>
    <w:next w:val="1"/>
    <w:qFormat/>
    <w:uiPriority w:val="99"/>
    <w:pPr>
      <w:pBdr>
        <w:top w:val="none" w:color="auto" w:sz="0" w:space="0"/>
        <w:left w:val="none" w:color="auto" w:sz="0" w:space="0"/>
        <w:bottom w:val="none" w:color="auto" w:sz="0" w:space="0"/>
        <w:right w:val="none" w:color="auto" w:sz="0" w:space="0"/>
        <w:between w:val="none" w:color="auto" w:sz="0" w:space="0"/>
      </w:pBdr>
      <w:autoSpaceDE w:val="0"/>
      <w:autoSpaceDN w:val="0"/>
      <w:adjustRightInd w:val="0"/>
      <w:jc w:val="left"/>
    </w:pPr>
    <w:rPr>
      <w:rFonts w:ascii="Times New Roman" w:hAnsi="Times New Roman" w:cs="Times New Roman" w:eastAsiaTheme="minorEastAsia"/>
      <w:color w:val="auto"/>
      <w:kern w:val="0"/>
      <w:sz w:val="24"/>
      <w:szCs w:val="24"/>
    </w:rPr>
  </w:style>
  <w:style w:type="paragraph" w:styleId="12">
    <w:name w:val="annotation text"/>
    <w:basedOn w:val="1"/>
    <w:link w:val="43"/>
    <w:semiHidden/>
    <w:unhideWhenUsed/>
    <w:uiPriority w:val="99"/>
    <w:pPr>
      <w:jc w:val="left"/>
    </w:pPr>
  </w:style>
  <w:style w:type="paragraph" w:styleId="13">
    <w:name w:val="toc 3"/>
    <w:basedOn w:val="1"/>
    <w:next w:val="1"/>
    <w:unhideWhenUsed/>
    <w:uiPriority w:val="39"/>
    <w:pPr>
      <w:ind w:left="840" w:leftChars="400"/>
    </w:pPr>
  </w:style>
  <w:style w:type="paragraph" w:styleId="14">
    <w:name w:val="Balloon Text"/>
    <w:basedOn w:val="1"/>
    <w:link w:val="42"/>
    <w:semiHidden/>
    <w:unhideWhenUsed/>
    <w:uiPriority w:val="99"/>
    <w:rPr>
      <w:sz w:val="18"/>
      <w:szCs w:val="18"/>
    </w:rPr>
  </w:style>
  <w:style w:type="paragraph" w:styleId="15">
    <w:name w:val="footer"/>
    <w:basedOn w:val="1"/>
    <w:link w:val="37"/>
    <w:unhideWhenUsed/>
    <w:uiPriority w:val="99"/>
    <w:pPr>
      <w:tabs>
        <w:tab w:val="center" w:pos="4153"/>
        <w:tab w:val="right" w:pos="8306"/>
      </w:tabs>
      <w:snapToGrid w:val="0"/>
      <w:jc w:val="left"/>
    </w:pPr>
    <w:rPr>
      <w:sz w:val="18"/>
      <w:szCs w:val="18"/>
    </w:rPr>
  </w:style>
  <w:style w:type="paragraph" w:styleId="16">
    <w:name w:val="header"/>
    <w:basedOn w:val="1"/>
    <w:link w:val="36"/>
    <w:unhideWhenUsed/>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uiPriority w:val="39"/>
  </w:style>
  <w:style w:type="paragraph" w:styleId="18">
    <w:name w:val="toc 4"/>
    <w:basedOn w:val="1"/>
    <w:next w:val="1"/>
    <w:unhideWhenUsed/>
    <w:uiPriority w:val="39"/>
    <w:pPr>
      <w:widowControl/>
      <w:pBdr>
        <w:top w:val="none" w:color="auto" w:sz="0" w:space="0"/>
        <w:left w:val="none" w:color="auto" w:sz="0" w:space="0"/>
        <w:bottom w:val="none" w:color="auto" w:sz="0" w:space="0"/>
        <w:right w:val="none" w:color="auto" w:sz="0" w:space="0"/>
        <w:between w:val="none" w:color="auto" w:sz="0" w:space="0"/>
      </w:pBdr>
      <w:autoSpaceDE w:val="0"/>
      <w:autoSpaceDN w:val="0"/>
      <w:ind w:left="1260" w:leftChars="600"/>
      <w:jc w:val="left"/>
    </w:pPr>
    <w:rPr>
      <w:rFonts w:ascii="Times New Roman" w:hAnsi="Times New Roman" w:cs="Times New Roman" w:eastAsiaTheme="minorEastAsia"/>
      <w:color w:val="auto"/>
      <w:kern w:val="0"/>
      <w:sz w:val="20"/>
      <w:szCs w:val="20"/>
    </w:rPr>
  </w:style>
  <w:style w:type="paragraph" w:styleId="19">
    <w:name w:val="toc 2"/>
    <w:basedOn w:val="1"/>
    <w:next w:val="1"/>
    <w:unhideWhenUsed/>
    <w:uiPriority w:val="39"/>
    <w:pPr>
      <w:ind w:left="420" w:leftChars="200"/>
    </w:pPr>
  </w:style>
  <w:style w:type="paragraph" w:styleId="20">
    <w:name w:val="Title"/>
    <w:basedOn w:val="1"/>
    <w:next w:val="1"/>
    <w:link w:val="46"/>
    <w:qFormat/>
    <w:uiPriority w:val="10"/>
    <w:pPr>
      <w:widowControl/>
      <w:pBdr>
        <w:top w:val="none" w:color="auto" w:sz="0" w:space="0"/>
        <w:left w:val="none" w:color="auto" w:sz="0" w:space="0"/>
        <w:bottom w:val="none" w:color="auto" w:sz="0" w:space="0"/>
        <w:right w:val="none" w:color="auto" w:sz="0" w:space="0"/>
        <w:between w:val="none" w:color="auto" w:sz="0" w:space="0"/>
      </w:pBdr>
      <w:autoSpaceDE w:val="0"/>
      <w:autoSpaceDN w:val="0"/>
      <w:spacing w:before="240" w:after="60"/>
      <w:jc w:val="center"/>
      <w:outlineLvl w:val="0"/>
    </w:pPr>
    <w:rPr>
      <w:rFonts w:eastAsia="宋体" w:asciiTheme="majorHAnsi" w:hAnsiTheme="majorHAnsi" w:cstheme="majorBidi"/>
      <w:b/>
      <w:bCs/>
      <w:color w:val="auto"/>
      <w:kern w:val="0"/>
      <w:sz w:val="32"/>
      <w:szCs w:val="32"/>
    </w:rPr>
  </w:style>
  <w:style w:type="paragraph" w:styleId="21">
    <w:name w:val="annotation subject"/>
    <w:basedOn w:val="12"/>
    <w:next w:val="12"/>
    <w:link w:val="44"/>
    <w:semiHidden/>
    <w:unhideWhenUsed/>
    <w:uiPriority w:val="99"/>
    <w:rPr>
      <w:b/>
      <w:bCs/>
    </w:rPr>
  </w:style>
  <w:style w:type="table" w:styleId="23">
    <w:name w:val="Table Grid"/>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5">
    <w:name w:val="Hyperlink"/>
    <w:basedOn w:val="24"/>
    <w:unhideWhenUsed/>
    <w:uiPriority w:val="99"/>
    <w:rPr>
      <w:color w:val="0563C1" w:themeColor="hyperlink"/>
      <w:u w:val="single"/>
      <w14:textFill>
        <w14:solidFill>
          <w14:schemeClr w14:val="hlink"/>
        </w14:solidFill>
      </w14:textFill>
    </w:rPr>
  </w:style>
  <w:style w:type="character" w:styleId="26">
    <w:name w:val="annotation reference"/>
    <w:basedOn w:val="24"/>
    <w:semiHidden/>
    <w:unhideWhenUsed/>
    <w:uiPriority w:val="99"/>
    <w:rPr>
      <w:sz w:val="21"/>
      <w:szCs w:val="21"/>
    </w:rPr>
  </w:style>
  <w:style w:type="character" w:customStyle="1" w:styleId="27">
    <w:name w:val="标题 1 Char"/>
    <w:basedOn w:val="24"/>
    <w:link w:val="2"/>
    <w:uiPriority w:val="9"/>
    <w:rPr>
      <w:rFonts w:ascii="Calibri" w:hAnsi="Calibri" w:eastAsia="Calibri" w:cs="Calibri"/>
      <w:b/>
      <w:bCs/>
      <w:color w:val="000000"/>
      <w:kern w:val="44"/>
      <w:sz w:val="44"/>
      <w:szCs w:val="44"/>
      <w:u w:color="000000"/>
    </w:rPr>
  </w:style>
  <w:style w:type="character" w:customStyle="1" w:styleId="28">
    <w:name w:val="标题 2 Char"/>
    <w:basedOn w:val="24"/>
    <w:link w:val="3"/>
    <w:uiPriority w:val="9"/>
    <w:rPr>
      <w:rFonts w:asciiTheme="majorHAnsi" w:hAnsiTheme="majorHAnsi" w:eastAsiaTheme="majorEastAsia" w:cstheme="majorBidi"/>
      <w:b/>
      <w:bCs/>
      <w:color w:val="000000"/>
      <w:sz w:val="32"/>
      <w:szCs w:val="32"/>
      <w:u w:color="000000"/>
    </w:rPr>
  </w:style>
  <w:style w:type="character" w:customStyle="1" w:styleId="29">
    <w:name w:val="标题 3 Char"/>
    <w:basedOn w:val="24"/>
    <w:link w:val="4"/>
    <w:uiPriority w:val="9"/>
    <w:rPr>
      <w:rFonts w:ascii="Calibri" w:hAnsi="Calibri" w:eastAsia="Calibri" w:cs="Calibri"/>
      <w:b/>
      <w:bCs/>
      <w:color w:val="000000"/>
      <w:sz w:val="32"/>
      <w:szCs w:val="32"/>
      <w:u w:color="000000"/>
    </w:rPr>
  </w:style>
  <w:style w:type="character" w:customStyle="1" w:styleId="30">
    <w:name w:val="标题 4 Char"/>
    <w:basedOn w:val="24"/>
    <w:link w:val="5"/>
    <w:uiPriority w:val="9"/>
    <w:rPr>
      <w:rFonts w:asciiTheme="majorHAnsi" w:hAnsiTheme="majorHAnsi" w:eastAsiaTheme="majorEastAsia" w:cstheme="majorBidi"/>
      <w:b/>
      <w:bCs/>
      <w:color w:val="000000"/>
      <w:sz w:val="28"/>
      <w:szCs w:val="28"/>
      <w:u w:color="000000"/>
    </w:rPr>
  </w:style>
  <w:style w:type="character" w:customStyle="1" w:styleId="31">
    <w:name w:val="标题 5 Char"/>
    <w:basedOn w:val="24"/>
    <w:link w:val="6"/>
    <w:semiHidden/>
    <w:uiPriority w:val="9"/>
    <w:rPr>
      <w:rFonts w:ascii="Calibri" w:hAnsi="Calibri" w:eastAsia="Calibri" w:cs="Calibri"/>
      <w:b/>
      <w:bCs/>
      <w:color w:val="000000"/>
      <w:sz w:val="28"/>
      <w:szCs w:val="28"/>
      <w:u w:color="000000"/>
    </w:rPr>
  </w:style>
  <w:style w:type="character" w:customStyle="1" w:styleId="32">
    <w:name w:val="标题 6 Char"/>
    <w:basedOn w:val="24"/>
    <w:link w:val="7"/>
    <w:semiHidden/>
    <w:uiPriority w:val="9"/>
    <w:rPr>
      <w:rFonts w:asciiTheme="majorHAnsi" w:hAnsiTheme="majorHAnsi" w:eastAsiaTheme="majorEastAsia" w:cstheme="majorBidi"/>
      <w:b/>
      <w:bCs/>
      <w:color w:val="000000"/>
      <w:sz w:val="24"/>
      <w:szCs w:val="24"/>
      <w:u w:color="000000"/>
    </w:rPr>
  </w:style>
  <w:style w:type="character" w:customStyle="1" w:styleId="33">
    <w:name w:val="标题 7 Char"/>
    <w:basedOn w:val="24"/>
    <w:link w:val="8"/>
    <w:semiHidden/>
    <w:uiPriority w:val="9"/>
    <w:rPr>
      <w:rFonts w:ascii="Calibri" w:hAnsi="Calibri" w:eastAsia="Calibri" w:cs="Calibri"/>
      <w:b/>
      <w:bCs/>
      <w:color w:val="000000"/>
      <w:sz w:val="24"/>
      <w:szCs w:val="24"/>
      <w:u w:color="000000"/>
    </w:rPr>
  </w:style>
  <w:style w:type="character" w:customStyle="1" w:styleId="34">
    <w:name w:val="标题 8 Char"/>
    <w:basedOn w:val="24"/>
    <w:link w:val="9"/>
    <w:semiHidden/>
    <w:uiPriority w:val="9"/>
    <w:rPr>
      <w:rFonts w:asciiTheme="majorHAnsi" w:hAnsiTheme="majorHAnsi" w:eastAsiaTheme="majorEastAsia" w:cstheme="majorBidi"/>
      <w:color w:val="000000"/>
      <w:sz w:val="24"/>
      <w:szCs w:val="24"/>
      <w:u w:color="000000"/>
    </w:rPr>
  </w:style>
  <w:style w:type="character" w:customStyle="1" w:styleId="35">
    <w:name w:val="标题 9 Char"/>
    <w:basedOn w:val="24"/>
    <w:link w:val="10"/>
    <w:semiHidden/>
    <w:uiPriority w:val="9"/>
    <w:rPr>
      <w:rFonts w:asciiTheme="majorHAnsi" w:hAnsiTheme="majorHAnsi" w:eastAsiaTheme="majorEastAsia" w:cstheme="majorBidi"/>
      <w:color w:val="000000"/>
      <w:szCs w:val="21"/>
      <w:u w:color="000000"/>
    </w:rPr>
  </w:style>
  <w:style w:type="character" w:customStyle="1" w:styleId="36">
    <w:name w:val="页眉 Char"/>
    <w:basedOn w:val="24"/>
    <w:link w:val="16"/>
    <w:uiPriority w:val="99"/>
    <w:rPr>
      <w:sz w:val="18"/>
      <w:szCs w:val="18"/>
    </w:rPr>
  </w:style>
  <w:style w:type="character" w:customStyle="1" w:styleId="37">
    <w:name w:val="页脚 Char"/>
    <w:basedOn w:val="24"/>
    <w:link w:val="15"/>
    <w:uiPriority w:val="99"/>
    <w:rPr>
      <w:sz w:val="18"/>
      <w:szCs w:val="18"/>
    </w:rPr>
  </w:style>
  <w:style w:type="table" w:customStyle="1" w:styleId="38">
    <w:name w:val="Table Normal"/>
    <w:qFormat/>
    <w:uiPriority w:val="0"/>
    <w:pPr>
      <w:pBdr>
        <w:top w:val="none" w:color="auto" w:sz="0" w:space="0"/>
        <w:left w:val="none" w:color="auto" w:sz="0" w:space="0"/>
        <w:bottom w:val="none" w:color="auto" w:sz="0" w:space="0"/>
        <w:right w:val="none" w:color="auto" w:sz="0" w:space="0"/>
        <w:between w:val="none" w:color="auto" w:sz="0" w:space="0"/>
      </w:pBdr>
    </w:pPr>
    <w:rPr>
      <w:rFonts w:ascii="Times New Roman" w:hAnsi="Times New Roman" w:cs="Times New Roman"/>
      <w:kern w:val="0"/>
      <w:sz w:val="20"/>
      <w:szCs w:val="20"/>
    </w:rPr>
    <w:tblPr>
      <w:tblCellMar>
        <w:top w:w="0" w:type="dxa"/>
        <w:left w:w="0" w:type="dxa"/>
        <w:bottom w:w="0" w:type="dxa"/>
        <w:right w:w="0" w:type="dxa"/>
      </w:tblCellMar>
    </w:tblPr>
  </w:style>
  <w:style w:type="paragraph" w:styleId="39">
    <w:name w:val="No Spacing"/>
    <w:uiPriority w:val="0"/>
    <w:pPr>
      <w:widowControl w:val="0"/>
      <w:pBdr>
        <w:top w:val="none" w:color="auto" w:sz="0" w:space="0"/>
        <w:left w:val="none" w:color="auto" w:sz="0" w:space="0"/>
        <w:bottom w:val="none" w:color="auto" w:sz="0" w:space="0"/>
        <w:right w:val="none" w:color="auto" w:sz="0" w:space="0"/>
        <w:between w:val="none" w:color="auto" w:sz="0" w:space="0"/>
      </w:pBdr>
      <w:jc w:val="both"/>
    </w:pPr>
    <w:rPr>
      <w:rFonts w:ascii="Calibri" w:hAnsi="Calibri" w:eastAsia="Calibri" w:cs="Calibri"/>
      <w:color w:val="000000"/>
      <w:kern w:val="0"/>
      <w:sz w:val="22"/>
      <w:szCs w:val="22"/>
      <w:u w:color="000000"/>
      <w:lang w:val="en-US" w:eastAsia="zh-CN" w:bidi="ar-SA"/>
    </w:rPr>
  </w:style>
  <w:style w:type="character" w:customStyle="1" w:styleId="40">
    <w:name w:val="Hyperlink.1"/>
    <w:qFormat/>
    <w:uiPriority w:val="0"/>
    <w:rPr>
      <w:rFonts w:hint="eastAsia" w:ascii="楷体" w:hAnsi="楷体" w:eastAsia="楷体" w:cs="楷体"/>
      <w:sz w:val="24"/>
      <w:szCs w:val="24"/>
      <w:lang w:val="zh-TW" w:eastAsia="zh-TW"/>
    </w:rPr>
  </w:style>
  <w:style w:type="paragraph" w:customStyle="1" w:styleId="41">
    <w:name w:val="TOC Heading"/>
    <w:basedOn w:val="2"/>
    <w:next w:val="1"/>
    <w:unhideWhenUsed/>
    <w:qFormat/>
    <w:uiPriority w:val="39"/>
    <w:pPr>
      <w:widowControl/>
      <w:numPr>
        <w:numId w:val="0"/>
      </w:numPr>
      <w:pBdr>
        <w:top w:val="none" w:color="auto" w:sz="0" w:space="0"/>
        <w:left w:val="none" w:color="auto" w:sz="0" w:space="0"/>
        <w:bottom w:val="none" w:color="auto" w:sz="0" w:space="0"/>
        <w:right w:val="none" w:color="auto" w:sz="0" w:space="0"/>
        <w:between w:val="none" w:color="auto" w:sz="0" w:space="0"/>
      </w:pBdr>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42">
    <w:name w:val="批注框文本 Char"/>
    <w:basedOn w:val="24"/>
    <w:link w:val="14"/>
    <w:semiHidden/>
    <w:uiPriority w:val="99"/>
    <w:rPr>
      <w:rFonts w:ascii="Calibri" w:hAnsi="Calibri" w:eastAsia="Calibri" w:cs="Calibri"/>
      <w:color w:val="000000"/>
      <w:sz w:val="18"/>
      <w:szCs w:val="18"/>
      <w:u w:color="000000"/>
    </w:rPr>
  </w:style>
  <w:style w:type="character" w:customStyle="1" w:styleId="43">
    <w:name w:val="批注文字 Char"/>
    <w:basedOn w:val="24"/>
    <w:link w:val="12"/>
    <w:semiHidden/>
    <w:uiPriority w:val="99"/>
    <w:rPr>
      <w:rFonts w:ascii="Calibri" w:hAnsi="Calibri" w:eastAsia="Calibri" w:cs="Calibri"/>
      <w:color w:val="000000"/>
      <w:szCs w:val="21"/>
      <w:u w:color="000000"/>
    </w:rPr>
  </w:style>
  <w:style w:type="character" w:customStyle="1" w:styleId="44">
    <w:name w:val="批注主题 Char"/>
    <w:basedOn w:val="43"/>
    <w:link w:val="21"/>
    <w:semiHidden/>
    <w:uiPriority w:val="99"/>
    <w:rPr>
      <w:rFonts w:ascii="Calibri" w:hAnsi="Calibri" w:eastAsia="Calibri" w:cs="Calibri"/>
      <w:b/>
      <w:bCs/>
      <w:color w:val="000000"/>
      <w:szCs w:val="21"/>
      <w:u w:color="000000"/>
    </w:rPr>
  </w:style>
  <w:style w:type="paragraph" w:styleId="45">
    <w:name w:val="List Paragraph"/>
    <w:basedOn w:val="1"/>
    <w:qFormat/>
    <w:uiPriority w:val="34"/>
    <w:pPr>
      <w:widowControl/>
      <w:pBdr>
        <w:top w:val="none" w:color="auto" w:sz="0" w:space="0"/>
        <w:left w:val="none" w:color="auto" w:sz="0" w:space="0"/>
        <w:bottom w:val="none" w:color="auto" w:sz="0" w:space="0"/>
        <w:right w:val="none" w:color="auto" w:sz="0" w:space="0"/>
        <w:between w:val="none" w:color="auto" w:sz="0" w:space="0"/>
      </w:pBdr>
      <w:autoSpaceDE w:val="0"/>
      <w:autoSpaceDN w:val="0"/>
      <w:ind w:firstLine="420" w:firstLineChars="200"/>
      <w:jc w:val="left"/>
    </w:pPr>
    <w:rPr>
      <w:rFonts w:ascii="Times New Roman" w:hAnsi="Times New Roman" w:cs="Times New Roman" w:eastAsiaTheme="minorEastAsia"/>
      <w:color w:val="auto"/>
      <w:kern w:val="0"/>
      <w:sz w:val="20"/>
      <w:szCs w:val="20"/>
    </w:rPr>
  </w:style>
  <w:style w:type="character" w:customStyle="1" w:styleId="46">
    <w:name w:val="标题 Char"/>
    <w:basedOn w:val="24"/>
    <w:link w:val="20"/>
    <w:uiPriority w:val="10"/>
    <w:rPr>
      <w:rFonts w:eastAsia="宋体" w:asciiTheme="majorHAnsi" w:hAnsiTheme="majorHAnsi" w:cstheme="majorBidi"/>
      <w:b/>
      <w:bCs/>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769BB-9AFE-4005-9794-F97444B76F5D}">
  <ds:schemaRefs/>
</ds:datastoreItem>
</file>

<file path=docProps/app.xml><?xml version="1.0" encoding="utf-8"?>
<Properties xmlns="http://schemas.openxmlformats.org/officeDocument/2006/extended-properties" xmlns:vt="http://schemas.openxmlformats.org/officeDocument/2006/docPropsVTypes">
  <Template>Normal</Template>
  <Pages>44</Pages>
  <Words>9997</Words>
  <Characters>56985</Characters>
  <Lines>474</Lines>
  <Paragraphs>133</Paragraphs>
  <TotalTime>87</TotalTime>
  <ScaleCrop>false</ScaleCrop>
  <LinksUpToDate>false</LinksUpToDate>
  <CharactersWithSpaces>66849</CharactersWithSpaces>
  <Application>WPS Office_11.8.2.11813_F1E327BC-269C-435d-A152-05C5408002CA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2020-01-11T00:08:00Z</dcterms:created>
  <dc:creator>Administrator</dc:creator>
  <cp:lastModifiedBy>wangyunchao</cp:lastModifiedBy>
  <dcterms:modified xsi:type="dcterms:W3CDTF">2024-03-22T03:21:29Z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2052-11.8.2.11813</vt:lpwstr>
  </property>
  <property fmtid="{D5CDD505-2E9C-101B-9397-08002B2CF9AE}" pid="3" name="ICV">
    <vt:lpwstr>FD79EB4B66BF4B5BAA37A48045C680B6</vt:lpwstr>
  </property>
</Properties>
</file>