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Times new roman" w:hAnsi="Times new roman" w:eastAsia="Times new roman"/>
          <w:sz w:val="36"/>
          <w:szCs w:val="36"/>
          <w:highlight w:val="none"/>
          <w:shd w:fill="FFFF00" w:val="clear"/>
        </w:rPr>
      </w:pPr>
      <w:r>
        <w:rPr>
          <w:rFonts w:eastAsia="Times new roman" w:ascii="Times new roman" w:hAnsi="Times new roman"/>
          <w:b/>
          <w:sz w:val="36"/>
          <w:szCs w:val="36"/>
          <w:shd w:fill="FFFF00" w:val="clear"/>
        </w:rPr>
        <w:t xml:space="preserve">2026-03-11 </w:t>
      </w:r>
    </w:p>
    <w:p>
      <w:pPr>
        <w:pStyle w:val="Normal"/>
        <w:spacing w:lineRule="auto" w:line="360"/>
        <w:rPr>
          <w:rFonts w:ascii="Times new roman" w:hAnsi="Times new roman" w:eastAsia="Times new roman"/>
          <w:b/>
          <w:b/>
          <w:bCs/>
          <w:color w:val="000000"/>
          <w:sz w:val="30"/>
          <w:szCs w:val="30"/>
          <w:highlight w:val="none"/>
          <w:shd w:fill="81D41A" w:val="clear"/>
        </w:rPr>
      </w:pPr>
      <w:r>
        <w:rPr>
          <w:rFonts w:eastAsia="Times new roman" w:ascii="Times new roman" w:hAnsi="Times new roman"/>
          <w:b/>
          <w:bCs/>
          <w:color w:val="000000"/>
          <w:sz w:val="30"/>
          <w:szCs w:val="30"/>
          <w:shd w:fill="81D41A" w:val="clear"/>
        </w:rPr>
        <w:t>1</w:t>
      </w:r>
      <w:r>
        <w:rPr>
          <w:rFonts w:ascii="Times new roman" w:hAnsi="Times new roman" w:cs="宋体" w:cstheme="minorBidi" w:eastAsia="Times new roman"/>
          <w:b/>
          <w:bCs/>
          <w:color w:val="000000"/>
          <w:kern w:val="0"/>
          <w:sz w:val="30"/>
          <w:szCs w:val="30"/>
          <w:shd w:fill="81D41A" w:val="clear"/>
          <w:lang w:val="en-US" w:eastAsia="en-US" w:bidi="ar-SA"/>
        </w:rPr>
        <w:t>、</w:t>
      </w:r>
      <w:r>
        <w:rPr>
          <w:rFonts w:ascii="Times new roman" w:hAnsi="Times new roman" w:eastAsia="Times new roman"/>
          <w:b/>
          <w:bCs/>
          <w:color w:val="000000"/>
          <w:sz w:val="30"/>
          <w:szCs w:val="30"/>
          <w:shd w:fill="81D41A" w:val="clear"/>
        </w:rPr>
        <w:t>流感病毒疫苗临床试验技术指导原则（试行）</w:t>
      </w:r>
    </w:p>
    <w:p>
      <w:pPr>
        <w:pStyle w:val="Normal"/>
        <w:spacing w:lineRule="auto" w:line="360"/>
        <w:rPr>
          <w:rFonts w:ascii="Times new roman" w:hAnsi="Times new roman" w:eastAsia="Times new roman"/>
        </w:rPr>
      </w:pPr>
      <w:r>
        <w:rPr>
          <w:rFonts w:ascii="Times new roman" w:hAnsi="Times new roman" w:eastAsia="Times new roman"/>
          <w:b/>
          <w:bCs/>
        </w:rPr>
        <w:t>内容摘录：</w:t>
      </w:r>
    </w:p>
    <w:p>
      <w:pPr>
        <w:pStyle w:val="Normal"/>
        <w:spacing w:lineRule="auto" w:line="360"/>
        <w:rPr>
          <w:rFonts w:ascii="Times new roman" w:hAnsi="Times new roman" w:eastAsia="Times new roman"/>
        </w:rPr>
      </w:pPr>
      <w:r>
        <w:rPr>
          <w:rFonts w:ascii="Times new roman" w:hAnsi="Times new roman" w:eastAsia="Times new roman"/>
        </w:rPr>
        <w:t>本指导原则旨在为流感病毒疫苗的临床试验提供技术指导，包括试验设计、主要终点、安全性评价等关键要求</w:t>
      </w:r>
      <w:r>
        <w:rPr>
          <w:rFonts w:eastAsia="Times new roman" w:ascii="Times new roman" w:hAnsi="Times new roman"/>
        </w:rPr>
        <w:t>...</w:t>
      </w:r>
    </w:p>
    <w:p>
      <w:pPr>
        <w:pStyle w:val="Normal"/>
        <w:spacing w:lineRule="auto" w:line="360"/>
        <w:rPr>
          <w:rFonts w:ascii="Times new roman" w:hAnsi="Times new roman" w:eastAsia="Times new roman"/>
        </w:rPr>
      </w:pPr>
      <w:r>
        <w:rPr>
          <w:rFonts w:ascii="Times new roman" w:hAnsi="Times new roman" w:eastAsia="Times new roman"/>
          <w:b/>
          <w:bCs/>
          <w:color w:val="FF0000"/>
        </w:rPr>
        <w:t>重要信息：</w:t>
      </w:r>
      <w:r>
        <w:rPr>
          <w:rFonts w:eastAsia="Times new roman" w:ascii="Times new roman" w:hAnsi="Times new roman"/>
        </w:rPr>
        <w:br/>
        <w:t xml:space="preserve">- </w:t>
      </w:r>
      <w:r>
        <w:rPr>
          <w:rFonts w:ascii="Times new roman" w:hAnsi="Times new roman" w:eastAsia="Times new roman"/>
        </w:rPr>
        <w:t>新增：首次明确流感疫苗与其他疫苗同时接种的免疫原性评价要求</w:t>
      </w:r>
      <w:r>
        <w:rPr>
          <w:rFonts w:eastAsia="Times new roman" w:ascii="Times new roman" w:hAnsi="Times new roman"/>
        </w:rPr>
        <w:br/>
        <w:t xml:space="preserve">- </w:t>
      </w:r>
      <w:r>
        <w:rPr>
          <w:rFonts w:ascii="Times new roman" w:hAnsi="Times new roman" w:eastAsia="Times new roman"/>
        </w:rPr>
        <w:t>变化：调整了</w:t>
      </w:r>
      <w:r>
        <w:rPr>
          <w:rFonts w:eastAsia="Times new roman" w:ascii="Times new roman" w:hAnsi="Times new roman"/>
        </w:rPr>
        <w:t>III</w:t>
      </w:r>
      <w:r>
        <w:rPr>
          <w:rFonts w:ascii="Times new roman" w:hAnsi="Times new roman" w:eastAsia="Times new roman"/>
        </w:rPr>
        <w:t>期临床试验样本量计算方法</w:t>
      </w:r>
      <w:r>
        <w:rPr>
          <w:rFonts w:eastAsia="Times new roman" w:ascii="Times new roman" w:hAnsi="Times new roman"/>
        </w:rPr>
        <w:br/>
        <w:t xml:space="preserve">- </w:t>
      </w:r>
      <w:r>
        <w:rPr>
          <w:rFonts w:ascii="Times new roman" w:hAnsi="Times new roman" w:eastAsia="Times new roman"/>
        </w:rPr>
        <w:t>重要：要求在至少</w:t>
      </w:r>
      <w:r>
        <w:rPr>
          <w:rFonts w:eastAsia="Times new roman" w:ascii="Times new roman" w:hAnsi="Times new roman"/>
        </w:rPr>
        <w:t>3</w:t>
      </w:r>
      <w:r>
        <w:rPr>
          <w:rFonts w:ascii="Times new roman" w:hAnsi="Times new roman" w:eastAsia="Times new roman"/>
        </w:rPr>
        <w:t>个不同地理区域开展多中心试验</w:t>
      </w:r>
    </w:p>
    <w:p>
      <w:pPr>
        <w:pStyle w:val="Normal"/>
        <w:spacing w:lineRule="auto" w:line="360"/>
        <w:rPr>
          <w:rFonts w:ascii="Times new roman" w:hAnsi="Times new roman" w:eastAsia="Times new roman"/>
        </w:rPr>
      </w:pPr>
      <w:r>
        <w:rPr>
          <w:rFonts w:eastAsia="Times new roman" w:ascii="Times new roman" w:hAnsi="Times new roman"/>
        </w:rPr>
      </w:r>
    </w:p>
    <w:p>
      <w:pPr>
        <w:pStyle w:val="Normal"/>
        <w:spacing w:lineRule="auto" w:line="360"/>
        <w:rPr>
          <w:rFonts w:ascii="Times new roman" w:hAnsi="Times new roman" w:eastAsia="Times new roman" w:cs="宋体" w:cstheme="minorBidi"/>
          <w:b/>
          <w:b/>
          <w:bCs/>
          <w:color w:val="000000"/>
          <w:kern w:val="0"/>
          <w:sz w:val="30"/>
          <w:szCs w:val="30"/>
          <w:highlight w:val="none"/>
          <w:shd w:fill="81D41A" w:val="clear"/>
          <w:lang w:val="en-US" w:eastAsia="en-US" w:bidi="ar-SA"/>
        </w:rPr>
      </w:pPr>
      <w:r>
        <w:rPr>
          <w:rFonts w:eastAsia="Times new roman" w:cs="宋体" w:cstheme="minorBidi" w:ascii="Times new roman" w:hAnsi="Times new roman"/>
          <w:b/>
          <w:bCs/>
          <w:color w:val="000000"/>
          <w:kern w:val="0"/>
          <w:sz w:val="30"/>
          <w:szCs w:val="30"/>
          <w:shd w:fill="81D41A" w:val="clear"/>
          <w:lang w:val="en-US" w:eastAsia="en-US" w:bidi="ar-SA"/>
        </w:rPr>
        <w:t>2</w:t>
      </w:r>
      <w:r>
        <w:rPr>
          <w:rFonts w:ascii="Times new roman" w:hAnsi="Times new roman" w:cs="宋体" w:cstheme="minorBidi" w:eastAsia="Times new roman"/>
          <w:b/>
          <w:bCs/>
          <w:color w:val="000000"/>
          <w:kern w:val="0"/>
          <w:sz w:val="30"/>
          <w:szCs w:val="30"/>
          <w:shd w:fill="81D41A" w:val="clear"/>
          <w:lang w:val="en-US" w:eastAsia="en-US" w:bidi="ar-SA"/>
        </w:rPr>
        <w:t>、</w:t>
      </w:r>
      <w:r>
        <w:rPr>
          <w:rFonts w:ascii="Times new roman" w:hAnsi="Times new roman" w:cs="宋体" w:cstheme="minorBidi" w:eastAsia="Times new roman"/>
          <w:b/>
          <w:bCs/>
          <w:color w:val="000000"/>
          <w:kern w:val="0"/>
          <w:sz w:val="30"/>
          <w:szCs w:val="30"/>
          <w:shd w:fill="81D41A" w:val="clear"/>
          <w:lang w:val="en-US" w:eastAsia="en-US" w:bidi="ar-SA"/>
        </w:rPr>
        <w:t>罕见病酶替代疗法药物药学研究与评价技术指导原则（征求意见稿）</w:t>
      </w:r>
    </w:p>
    <w:p>
      <w:pPr>
        <w:pStyle w:val="Normal"/>
        <w:spacing w:lineRule="auto" w:line="360"/>
        <w:rPr>
          <w:rFonts w:ascii="Times new roman" w:hAnsi="Times new roman" w:eastAsia="Times new roman"/>
          <w:b/>
          <w:b/>
          <w:bCs/>
        </w:rPr>
      </w:pPr>
      <w:r>
        <w:rPr>
          <w:rFonts w:ascii="Times new roman" w:hAnsi="Times new roman" w:eastAsia="Times new roman"/>
          <w:b/>
          <w:bCs/>
        </w:rPr>
        <w:t>内容摘录：</w:t>
      </w:r>
    </w:p>
    <w:p>
      <w:pPr>
        <w:pStyle w:val="Normal"/>
        <w:spacing w:lineRule="auto" w:line="360"/>
        <w:rPr>
          <w:rFonts w:ascii="Times new roman" w:hAnsi="Times new roman" w:eastAsia="Times new roman"/>
        </w:rPr>
      </w:pPr>
      <w:r>
        <w:rPr>
          <w:rFonts w:ascii="Times new roman" w:hAnsi="Times new roman" w:eastAsia="Times new roman"/>
        </w:rPr>
        <w:t>本指导原则针对罕见病酶替代疗法药物的药学研究与评价提出技术要求</w:t>
      </w:r>
      <w:r>
        <w:rPr>
          <w:rFonts w:eastAsia="Times new roman" w:ascii="Times new roman" w:hAnsi="Times new roman"/>
        </w:rPr>
        <w:t>...</w:t>
      </w:r>
    </w:p>
    <w:p>
      <w:pPr>
        <w:pStyle w:val="Normal"/>
        <w:widowControl/>
        <w:bidi w:val="0"/>
        <w:spacing w:lineRule="auto" w:line="360" w:before="0" w:after="200"/>
        <w:jc w:val="left"/>
        <w:rPr>
          <w:rFonts w:ascii="Times new roman" w:hAnsi="Times new roman" w:eastAsia="Times new roman" w:cs="宋体" w:cstheme="minorBidi"/>
          <w:b/>
          <w:b/>
          <w:bCs/>
          <w:color w:val="FF0000"/>
          <w:kern w:val="0"/>
          <w:sz w:val="22"/>
          <w:szCs w:val="22"/>
          <w:lang w:val="en-US" w:eastAsia="en-US" w:bidi="ar-SA"/>
        </w:rPr>
      </w:pPr>
      <w:r>
        <w:rPr>
          <w:rFonts w:ascii="Times new roman" w:hAnsi="Times new roman" w:cs="宋体" w:cstheme="minorBidi" w:eastAsia="Times new roman"/>
          <w:b/>
          <w:bCs/>
          <w:color w:val="FF0000"/>
          <w:kern w:val="0"/>
          <w:sz w:val="22"/>
          <w:szCs w:val="22"/>
          <w:lang w:val="en-US" w:eastAsia="en-US" w:bidi="ar-SA"/>
        </w:rPr>
        <w:t>重要信息：</w:t>
      </w:r>
    </w:p>
    <w:p>
      <w:pPr>
        <w:pStyle w:val="Normal"/>
        <w:widowControl/>
        <w:bidi w:val="0"/>
        <w:spacing w:lineRule="auto" w:line="360" w:before="0" w:after="200"/>
        <w:jc w:val="left"/>
        <w:rPr>
          <w:rFonts w:ascii="Times new roman" w:hAnsi="Times new roman" w:eastAsia="Times new roman"/>
        </w:rPr>
      </w:pPr>
      <w:r>
        <w:rPr>
          <w:rFonts w:eastAsia="Times new roman" w:ascii="Times new roman" w:hAnsi="Times new roman"/>
        </w:rPr>
        <w:t xml:space="preserve">- </w:t>
      </w:r>
      <w:r>
        <w:rPr>
          <w:rFonts w:ascii="Times new roman" w:hAnsi="Times new roman" w:eastAsia="Times new roman"/>
        </w:rPr>
        <w:t>新领域：国内首个酶替代疗法专门指导原则</w:t>
      </w:r>
      <w:r>
        <w:rPr>
          <w:rFonts w:eastAsia="Times new roman" w:ascii="Times new roman" w:hAnsi="Times new roman"/>
        </w:rPr>
        <w:br/>
        <w:t xml:space="preserve">- </w:t>
      </w:r>
      <w:r>
        <w:rPr>
          <w:rFonts w:ascii="Times new roman" w:hAnsi="Times new roman" w:eastAsia="Times new roman"/>
        </w:rPr>
        <w:t>关注点：产品稳定性要求、酶活性检测方法</w:t>
      </w:r>
    </w:p>
    <w:p>
      <w:pPr>
        <w:pStyle w:val="Normal"/>
        <w:widowControl/>
        <w:bidi w:val="0"/>
        <w:spacing w:lineRule="auto" w:line="360" w:before="0" w:after="200"/>
        <w:jc w:val="left"/>
        <w:rPr>
          <w:rFonts w:ascii="Times new roman" w:hAnsi="Times new roman" w:eastAsia="Times new roman"/>
        </w:rPr>
      </w:pPr>
      <w:r>
        <w:rPr>
          <w:rFonts w:eastAsia="Times new roman" w:ascii="Times new roman" w:hAnsi="Times new roman"/>
        </w:rPr>
      </w:r>
    </w:p>
    <w:p>
      <w:pPr>
        <w:pStyle w:val="Normal"/>
        <w:spacing w:lineRule="auto" w:line="360"/>
        <w:rPr>
          <w:rFonts w:ascii="Times new roman" w:hAnsi="Times new roman" w:eastAsia="Times new roman"/>
          <w:sz w:val="36"/>
          <w:szCs w:val="36"/>
          <w:highlight w:val="none"/>
          <w:shd w:fill="FFFF00" w:val="clear"/>
        </w:rPr>
      </w:pPr>
      <w:r>
        <w:rPr>
          <w:rFonts w:eastAsia="Times new roman" w:ascii="Times new roman" w:hAnsi="Times new roman"/>
          <w:b/>
          <w:sz w:val="36"/>
          <w:szCs w:val="36"/>
          <w:shd w:fill="FFFF00" w:val="clear"/>
        </w:rPr>
        <w:t>2026-03-1</w:t>
      </w:r>
      <w:r>
        <w:rPr>
          <w:rFonts w:eastAsia="Times new roman" w:ascii="Times new roman" w:hAnsi="Times new roman"/>
          <w:b/>
          <w:sz w:val="36"/>
          <w:szCs w:val="36"/>
          <w:shd w:fill="FFFF00" w:val="clear"/>
        </w:rPr>
        <w:t>3</w:t>
      </w:r>
      <w:r>
        <w:rPr>
          <w:rFonts w:eastAsia="Times new roman" w:ascii="Times new roman" w:hAnsi="Times new roman"/>
          <w:b/>
          <w:sz w:val="36"/>
          <w:szCs w:val="36"/>
          <w:shd w:fill="FFFF00" w:val="clear"/>
        </w:rPr>
        <w:t xml:space="preserve"> </w:t>
      </w:r>
    </w:p>
    <w:p>
      <w:pPr>
        <w:pStyle w:val="Normal"/>
        <w:spacing w:lineRule="auto" w:line="360"/>
        <w:rPr>
          <w:rFonts w:ascii="Times new roman" w:hAnsi="Times new roman" w:eastAsia="Times new roman"/>
          <w:b/>
          <w:b/>
          <w:bCs/>
          <w:color w:val="000000"/>
          <w:sz w:val="30"/>
          <w:szCs w:val="30"/>
          <w:highlight w:val="none"/>
          <w:shd w:fill="81D41A" w:val="clear"/>
        </w:rPr>
      </w:pPr>
      <w:r>
        <w:rPr>
          <w:rFonts w:eastAsia="Times new roman" w:ascii="Times new roman" w:hAnsi="Times new roman"/>
          <w:b/>
          <w:bCs/>
          <w:color w:val="000000"/>
          <w:sz w:val="30"/>
          <w:szCs w:val="30"/>
          <w:shd w:fill="81D41A" w:val="clear"/>
        </w:rPr>
        <w:t>1</w:t>
      </w:r>
      <w:r>
        <w:rPr>
          <w:rFonts w:ascii="Times new roman" w:hAnsi="Times new roman" w:cs="宋体" w:cstheme="minorBidi" w:eastAsia="Times new roman"/>
          <w:b/>
          <w:bCs/>
          <w:color w:val="000000"/>
          <w:kern w:val="0"/>
          <w:sz w:val="30"/>
          <w:szCs w:val="30"/>
          <w:shd w:fill="81D41A" w:val="clear"/>
          <w:lang w:val="en-US" w:eastAsia="en-US" w:bidi="ar-SA"/>
        </w:rPr>
        <w:t>、</w:t>
      </w:r>
      <w:r>
        <w:rPr>
          <w:rFonts w:eastAsia="Times new roman" w:cs="宋体" w:cstheme="minorBidi" w:ascii="Times new roman" w:hAnsi="Times new roman"/>
          <w:b/>
          <w:bCs/>
          <w:color w:val="000000"/>
          <w:kern w:val="0"/>
          <w:sz w:val="30"/>
          <w:szCs w:val="30"/>
          <w:shd w:fill="81D41A" w:val="clear"/>
          <w:lang w:val="en-US" w:eastAsia="en-US" w:bidi="ar-SA"/>
        </w:rPr>
        <w:t>XX</w:t>
      </w:r>
      <w:r>
        <w:rPr>
          <w:rFonts w:ascii="Times new roman" w:hAnsi="Times new roman" w:eastAsia="Times new roman"/>
          <w:b/>
          <w:bCs/>
          <w:color w:val="000000"/>
          <w:sz w:val="30"/>
          <w:szCs w:val="30"/>
          <w:shd w:fill="81D41A" w:val="clear"/>
        </w:rPr>
        <w:t>技术指导原则（试行）</w:t>
      </w:r>
    </w:p>
    <w:p>
      <w:pPr>
        <w:pStyle w:val="Normal"/>
        <w:spacing w:lineRule="auto" w:line="360"/>
        <w:rPr>
          <w:rFonts w:ascii="Times new roman" w:hAnsi="Times new roman" w:eastAsia="Times new roman"/>
        </w:rPr>
      </w:pPr>
      <w:r>
        <w:rPr>
          <w:rFonts w:ascii="Times new roman" w:hAnsi="Times new roman" w:eastAsia="Times new roman"/>
          <w:b/>
          <w:bCs/>
        </w:rPr>
        <w:t>内容摘录：</w:t>
      </w:r>
    </w:p>
    <w:p>
      <w:pPr>
        <w:pStyle w:val="Normal"/>
        <w:spacing w:lineRule="auto" w:line="360"/>
        <w:rPr>
          <w:rFonts w:ascii="Times new roman" w:hAnsi="Times new roman" w:eastAsia="Times new roman"/>
        </w:rPr>
      </w:pPr>
      <w:r>
        <w:rPr>
          <w:rFonts w:ascii="Times new roman" w:hAnsi="Times new roman" w:cs="宋体" w:eastAsia="Times new roman" w:cstheme="minorBidi"/>
          <w:color w:val="auto"/>
          <w:kern w:val="0"/>
          <w:sz w:val="22"/>
          <w:szCs w:val="22"/>
          <w:lang w:val="en-US" w:eastAsia="en-US" w:bidi="ar-SA"/>
        </w:rPr>
        <w:t>……</w:t>
      </w:r>
    </w:p>
    <w:p>
      <w:pPr>
        <w:pStyle w:val="Normal"/>
        <w:spacing w:lineRule="auto" w:line="360"/>
        <w:rPr>
          <w:rFonts w:ascii="Times new roman" w:hAnsi="Times new roman" w:eastAsia="Times new roman"/>
        </w:rPr>
      </w:pPr>
      <w:r>
        <w:rPr>
          <w:rFonts w:ascii="Times new roman" w:hAnsi="Times new roman" w:eastAsia="Times new roman"/>
          <w:b/>
          <w:bCs/>
          <w:color w:val="FF0000"/>
        </w:rPr>
        <w:t>重要信息：</w:t>
      </w:r>
      <w:r>
        <w:rPr>
          <w:rFonts w:eastAsia="Times new roman" w:ascii="Times new roman" w:hAnsi="Times new roman"/>
        </w:rPr>
        <w:br/>
        <w:t xml:space="preserve">- </w:t>
      </w:r>
      <w:r>
        <w:rPr>
          <w:rFonts w:ascii="Times new roman" w:hAnsi="Times new roman" w:eastAsia="Times new roman"/>
        </w:rPr>
        <w:t>新增：</w:t>
      </w:r>
      <w:r>
        <w:rPr>
          <w:rFonts w:ascii="Times new roman" w:hAnsi="Times new roman" w:cs="宋体" w:eastAsia="Times new roman" w:cstheme="minorBidi"/>
          <w:color w:val="auto"/>
          <w:kern w:val="0"/>
          <w:sz w:val="22"/>
          <w:szCs w:val="22"/>
          <w:lang w:val="en-US" w:eastAsia="en-US" w:bidi="ar-SA"/>
        </w:rPr>
        <w:t>……</w:t>
      </w:r>
      <w:r>
        <w:rPr>
          <w:rFonts w:eastAsia="Times new roman" w:ascii="Times new roman" w:hAnsi="Times new roman"/>
        </w:rPr>
        <w:br/>
      </w:r>
    </w:p>
    <w:p>
      <w:pPr>
        <w:pStyle w:val="Normal"/>
        <w:spacing w:lineRule="auto" w:line="360"/>
        <w:rPr>
          <w:rFonts w:ascii="Times new roman" w:hAnsi="Times new roman" w:eastAsia="Times new roman" w:cs="宋体" w:cstheme="minorBidi"/>
          <w:b/>
          <w:b/>
          <w:bCs/>
          <w:color w:val="000000"/>
          <w:kern w:val="0"/>
          <w:sz w:val="30"/>
          <w:szCs w:val="30"/>
          <w:highlight w:val="none"/>
          <w:shd w:fill="81D41A" w:val="clear"/>
          <w:lang w:val="en-US" w:eastAsia="en-US" w:bidi="ar-SA"/>
        </w:rPr>
      </w:pPr>
      <w:r>
        <w:rPr>
          <w:rFonts w:eastAsia="Times new roman" w:cs="宋体" w:cstheme="minorBidi" w:ascii="Times new roman" w:hAnsi="Times new roman"/>
          <w:b/>
          <w:bCs/>
          <w:color w:val="000000"/>
          <w:kern w:val="0"/>
          <w:sz w:val="30"/>
          <w:szCs w:val="30"/>
          <w:shd w:fill="81D41A" w:val="clear"/>
          <w:lang w:val="en-US" w:eastAsia="en-US" w:bidi="ar-SA"/>
        </w:rPr>
        <w:t>2</w:t>
      </w:r>
      <w:r>
        <w:rPr>
          <w:rFonts w:ascii="Times new roman" w:hAnsi="Times new roman" w:cs="宋体" w:cstheme="minorBidi" w:eastAsia="Times new roman"/>
          <w:b/>
          <w:bCs/>
          <w:color w:val="000000"/>
          <w:kern w:val="0"/>
          <w:sz w:val="30"/>
          <w:szCs w:val="30"/>
          <w:shd w:fill="81D41A" w:val="clear"/>
          <w:lang w:val="en-US" w:eastAsia="en-US" w:bidi="ar-SA"/>
        </w:rPr>
        <w:t>、</w:t>
      </w:r>
      <w:r>
        <w:rPr>
          <w:rFonts w:ascii="Times new roman" w:hAnsi="Times new roman" w:cs="宋体" w:cstheme="minorBidi" w:eastAsia="Times new roman"/>
          <w:b/>
          <w:bCs/>
          <w:color w:val="000000"/>
          <w:kern w:val="0"/>
          <w:sz w:val="30"/>
          <w:szCs w:val="30"/>
          <w:shd w:fill="81D41A" w:val="clear"/>
          <w:lang w:val="en-US" w:eastAsia="en-US" w:bidi="ar-SA"/>
        </w:rPr>
        <w:t>罕见病……评价技术指导原则（征求意见稿）</w:t>
      </w:r>
    </w:p>
    <w:p>
      <w:pPr>
        <w:pStyle w:val="Normal"/>
        <w:spacing w:lineRule="auto" w:line="360"/>
        <w:rPr>
          <w:rFonts w:ascii="Times new roman" w:hAnsi="Times new roman" w:eastAsia="Times new roman"/>
          <w:b/>
          <w:b/>
          <w:bCs/>
        </w:rPr>
      </w:pPr>
      <w:r>
        <w:rPr>
          <w:rFonts w:ascii="Times new roman" w:hAnsi="Times new roman" w:eastAsia="Times new roman"/>
          <w:b/>
          <w:bCs/>
        </w:rPr>
        <w:t>内容摘录：</w:t>
      </w:r>
    </w:p>
    <w:p>
      <w:pPr>
        <w:pStyle w:val="Normal"/>
        <w:spacing w:lineRule="auto" w:line="360"/>
        <w:rPr>
          <w:rFonts w:ascii="Times new roman" w:hAnsi="Times new roman" w:eastAsia="Times new roman"/>
        </w:rPr>
      </w:pPr>
      <w:r>
        <w:rPr>
          <w:rFonts w:ascii="Times new roman" w:hAnsi="Times new roman" w:eastAsia="Times new roman"/>
        </w:rPr>
        <w:t>本指导原则针对罕见病酶替代疗法药物的药学研究与评价提出技术要求</w:t>
      </w:r>
      <w:r>
        <w:rPr>
          <w:rFonts w:eastAsia="Times new roman" w:ascii="Times new roman" w:hAnsi="Times new roman"/>
        </w:rPr>
        <w:t>...</w:t>
      </w:r>
    </w:p>
    <w:p>
      <w:pPr>
        <w:pStyle w:val="Normal"/>
        <w:widowControl/>
        <w:bidi w:val="0"/>
        <w:spacing w:lineRule="auto" w:line="360" w:before="0" w:after="200"/>
        <w:jc w:val="left"/>
        <w:rPr>
          <w:rFonts w:ascii="Times new roman" w:hAnsi="Times new roman" w:eastAsia="Times new roman" w:cs="宋体" w:cstheme="minorBidi"/>
          <w:b/>
          <w:b/>
          <w:bCs/>
          <w:color w:val="FF0000"/>
          <w:kern w:val="0"/>
          <w:sz w:val="22"/>
          <w:szCs w:val="22"/>
          <w:lang w:val="en-US" w:eastAsia="en-US" w:bidi="ar-SA"/>
        </w:rPr>
      </w:pPr>
      <w:r>
        <w:rPr>
          <w:rFonts w:ascii="Times new roman" w:hAnsi="Times new roman" w:cs="宋体" w:cstheme="minorBidi" w:eastAsia="Times new roman"/>
          <w:b/>
          <w:bCs/>
          <w:color w:val="FF0000"/>
          <w:kern w:val="0"/>
          <w:sz w:val="22"/>
          <w:szCs w:val="22"/>
          <w:lang w:val="en-US" w:eastAsia="en-US" w:bidi="ar-SA"/>
        </w:rPr>
        <w:t>重要信息：</w:t>
      </w:r>
    </w:p>
    <w:p>
      <w:pPr>
        <w:pStyle w:val="Normal"/>
        <w:widowControl/>
        <w:bidi w:val="0"/>
        <w:spacing w:lineRule="auto" w:line="360" w:before="0" w:after="200"/>
        <w:jc w:val="left"/>
        <w:rPr>
          <w:b/>
          <w:b/>
          <w:bCs/>
        </w:rPr>
      </w:pPr>
      <w:r>
        <w:rPr>
          <w:rFonts w:eastAsia="Times new roman" w:ascii="Times new roman" w:hAnsi="Times new roman"/>
        </w:rPr>
        <w:t xml:space="preserve">- </w:t>
        <w:br/>
        <w:t xml:space="preserve">- </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宋体"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宋体" w:asciiTheme="minorHAnsi" w:cstheme="minorBidi" w:eastAsiaTheme="minorEastAsia" w:hAnsiTheme="minorHAnsi"/>
      <w:color w:val="auto"/>
      <w:kern w:val="0"/>
      <w:sz w:val="22"/>
      <w:szCs w:val="22"/>
      <w:lang w:val="en-US" w:eastAsia="en-US" w:bidi="ar-SA"/>
    </w:rPr>
  </w:style>
  <w:style w:type="paragraph" w:styleId="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宋体" w:asciiTheme="majorHAnsi" w:cstheme="majorBidi" w:eastAsiaTheme="majorEastAsia" w:hAnsiTheme="majorHAnsi"/>
      <w:b/>
      <w:bCs/>
      <w:color w:val="365F91" w:themeColor="accent1" w:themeShade="bf"/>
      <w:sz w:val="28"/>
      <w:szCs w:val="28"/>
    </w:rPr>
  </w:style>
  <w:style w:type="paragraph" w:styleId="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宋体" w:asciiTheme="majorHAnsi" w:cstheme="majorBidi" w:eastAsiaTheme="majorEastAsia" w:hAnsiTheme="majorHAnsi"/>
      <w:b/>
      <w:bCs/>
      <w:color w:val="4F81BD" w:themeColor="accent1"/>
      <w:sz w:val="26"/>
      <w:szCs w:val="26"/>
    </w:rPr>
  </w:style>
  <w:style w:type="paragraph" w:styleId="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宋体" w:asciiTheme="majorHAnsi" w:cstheme="majorBidi" w:eastAsiaTheme="majorEastAsia" w:hAnsiTheme="majorHAnsi"/>
      <w:b/>
      <w:bCs/>
      <w:color w:val="4F81BD" w:themeColor="accent1"/>
    </w:rPr>
  </w:style>
  <w:style w:type="paragraph" w:styleId="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宋体" w:asciiTheme="majorHAnsi" w:cstheme="majorBidi" w:eastAsiaTheme="majorEastAsia" w:hAnsiTheme="majorHAnsi"/>
      <w:b/>
      <w:bCs/>
      <w:i/>
      <w:iCs/>
      <w:color w:val="4F81BD" w:themeColor="accent1"/>
    </w:rPr>
  </w:style>
  <w:style w:type="paragraph" w:styleId="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宋体" w:asciiTheme="majorHAnsi" w:cstheme="majorBidi" w:eastAsiaTheme="majorEastAsia" w:hAnsiTheme="majorHAnsi"/>
      <w:color w:val="243F60" w:themeColor="accent1" w:themeShade="7f"/>
    </w:rPr>
  </w:style>
  <w:style w:type="paragraph" w:styleId="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宋体" w:asciiTheme="majorHAnsi" w:cstheme="majorBidi" w:eastAsiaTheme="majorEastAsia" w:hAnsiTheme="majorHAnsi"/>
      <w:i/>
      <w:iCs/>
      <w:color w:val="243F60" w:themeColor="accent1" w:themeShade="7f"/>
    </w:rPr>
  </w:style>
  <w:style w:type="paragraph" w:styleId="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宋体" w:asciiTheme="majorHAnsi" w:cstheme="majorBidi" w:eastAsiaTheme="majorEastAsia" w:hAnsiTheme="majorHAnsi"/>
      <w:i/>
      <w:iCs/>
      <w:color w:val="404040" w:themeColor="text1" w:themeTint="bf"/>
    </w:rPr>
  </w:style>
  <w:style w:type="paragraph" w:styleId="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宋体" w:asciiTheme="majorHAnsi" w:cstheme="majorBidi" w:eastAsiaTheme="majorEastAsia" w:hAnsiTheme="majorHAnsi"/>
      <w:color w:val="4F81BD" w:themeColor="accent1"/>
      <w:sz w:val="20"/>
      <w:szCs w:val="20"/>
    </w:rPr>
  </w:style>
  <w:style w:type="paragraph" w:styleId="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宋体"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宋体"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宋体"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宋体"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宋体"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宋体"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宋体"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宋体"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宋体"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宋体"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宋体"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宋体"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Style5">
    <w:name w:val="强调"/>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Style6">
    <w:name w:val="标题样式"/>
    <w:basedOn w:val="Normal"/>
    <w:next w:val="Style7"/>
    <w:qFormat/>
    <w:pPr>
      <w:keepNext w:val="true"/>
      <w:spacing w:before="240" w:after="120"/>
    </w:pPr>
    <w:rPr>
      <w:rFonts w:ascii="Liberation Sans" w:hAnsi="Liberation Sans" w:eastAsia="Noto Sans CJK SC" w:cs="Noto Sans CJK SC"/>
      <w:sz w:val="28"/>
      <w:szCs w:val="28"/>
    </w:rPr>
  </w:style>
  <w:style w:type="paragraph" w:styleId="Style7">
    <w:name w:val="Body Text"/>
    <w:basedOn w:val="Normal"/>
    <w:link w:val="BodyTextChar"/>
    <w:uiPriority w:val="99"/>
    <w:unhideWhenUsed/>
    <w:rsid w:val="00aa1d8d"/>
    <w:pPr>
      <w:spacing w:before="0" w:after="120"/>
    </w:pPr>
    <w:rPr/>
  </w:style>
  <w:style w:type="paragraph" w:styleId="Style8">
    <w:name w:val="List"/>
    <w:basedOn w:val="Normal"/>
    <w:uiPriority w:val="99"/>
    <w:unhideWhenUsed/>
    <w:rsid w:val="00aa1d8d"/>
    <w:pPr>
      <w:spacing w:before="0" w:after="200"/>
      <w:ind w:left="360" w:hanging="360"/>
      <w:contextualSpacing/>
    </w:pPr>
    <w:rPr/>
  </w:style>
  <w:style w:type="paragraph" w:styleId="Style9">
    <w:name w:val="Caption"/>
    <w:basedOn w:val="Normal"/>
    <w:qFormat/>
    <w:pPr>
      <w:suppressLineNumbers/>
      <w:spacing w:before="120" w:after="120"/>
    </w:pPr>
    <w:rPr>
      <w:rFonts w:cs="Noto Sans CJK SC"/>
      <w:i/>
      <w:iCs/>
      <w:sz w:val="24"/>
      <w:szCs w:val="24"/>
    </w:rPr>
  </w:style>
  <w:style w:type="paragraph" w:styleId="Style10">
    <w:name w:val="索引"/>
    <w:basedOn w:val="Normal"/>
    <w:qFormat/>
    <w:pPr>
      <w:suppressLineNumbers/>
    </w:pPr>
    <w:rPr>
      <w:rFonts w:cs="Noto Sans CJK SC"/>
    </w:rPr>
  </w:style>
  <w:style w:type="paragraph" w:styleId="Style11">
    <w:name w:val="页眉与页脚"/>
    <w:basedOn w:val="Normal"/>
    <w:qFormat/>
    <w:pPr/>
    <w:rPr/>
  </w:style>
  <w:style w:type="paragraph" w:styleId="Style12">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Style13">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宋体" w:asciiTheme="minorHAnsi" w:cstheme="minorBidi" w:eastAsiaTheme="minorEastAsia" w:hAnsiTheme="minorHAnsi"/>
      <w:color w:val="auto"/>
      <w:kern w:val="0"/>
      <w:sz w:val="22"/>
      <w:szCs w:val="22"/>
      <w:lang w:val="en-US" w:eastAsia="en-US" w:bidi="ar-SA"/>
    </w:rPr>
  </w:style>
  <w:style w:type="paragraph" w:styleId="Style14">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宋体" w:asciiTheme="majorHAnsi" w:cstheme="majorBidi" w:eastAsiaTheme="majorEastAsia" w:hAnsiTheme="majorHAnsi"/>
      <w:color w:val="17365D" w:themeColor="text2" w:themeShade="bf"/>
      <w:spacing w:val="5"/>
      <w:kern w:val="2"/>
      <w:sz w:val="52"/>
      <w:szCs w:val="52"/>
    </w:rPr>
  </w:style>
  <w:style w:type="paragraph" w:styleId="Style15">
    <w:name w:val="Subtitle"/>
    <w:basedOn w:val="Normal"/>
    <w:next w:val="Normal"/>
    <w:link w:val="SubtitleChar"/>
    <w:uiPriority w:val="11"/>
    <w:qFormat/>
    <w:rsid w:val="00fc693f"/>
    <w:pPr/>
    <w:rPr>
      <w:rFonts w:ascii="Calibri" w:hAnsi="Calibri" w:eastAsia="ＭＳ ゴシック" w:cs="宋体"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宋体"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Style16">
    <w:name w:val="Index Heading"/>
    <w:basedOn w:val="Style6"/>
    <w:pPr/>
    <w:rPr/>
  </w:style>
  <w:style w:type="paragraph" w:styleId="Style17">
    <w:name w:val="TOC Heading"/>
    <w:basedOn w:val="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LibreOffice/7.3.7.2$Linux_X86_64 LibreOffice_project/30$Build-2</Application>
  <AppVersion>15.0000</AppVersion>
  <Pages>2</Pages>
  <Words>365</Words>
  <Characters>395</Characters>
  <CharactersWithSpaces>412</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zh-CN</dc:language>
  <cp:lastModifiedBy/>
  <dcterms:modified xsi:type="dcterms:W3CDTF">2026-03-16T20:39:02Z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