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0ef9f49d0d4530106b92693a2a4195cf5bcee9"/>
    <w:p>
      <w:pPr>
        <w:pStyle w:val="Heading1"/>
      </w:pPr>
      <w:r>
        <w:t xml:space="preserve">Chapter 7 Model-Family Audit Tables (standalone extract)</w:t>
      </w:r>
    </w:p>
    <w:p>
      <w:pPr>
        <w:pStyle w:val="FirstParagraph"/>
      </w:pPr>
      <w:r>
        <w:t xml:space="preserve">Extracted from</w:t>
      </w:r>
      <w:r>
        <w:t xml:space="preserve"> </w:t>
      </w:r>
      <w:r>
        <w:rPr>
          <w:rStyle w:val="VerbatimChar"/>
        </w:rPr>
        <w:t xml:space="preserve">WBE_Review_Ch1-8.md</w:t>
      </w:r>
      <w:r>
        <w:t xml:space="preserve"> </w:t>
      </w:r>
      <w:r>
        <w:t xml:space="preserve">§7.4 for standalone review. These are the same two tables embedded in the main chapter text, provided here as a separate file per request. Reference numbers and evidence-type classifications match</w:t>
      </w:r>
      <w:r>
        <w:t xml:space="preserve"> </w:t>
      </w:r>
      <w:r>
        <w:rPr>
          <w:rStyle w:val="VerbatimChar"/>
        </w:rPr>
        <w:t xml:space="preserve">WBE_Review_Citation_Verification_Table.md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d9e159dbebe67c386e1e315236da07c07e0e530"/>
    <w:p>
      <w:pPr>
        <w:pStyle w:val="Heading2"/>
      </w:pPr>
      <w:r>
        <w:t xml:space="preserve">Table 4. Back-calculation method families evaluated against the five-way framework (§7.0)</w:t>
      </w:r>
    </w:p>
    <w:p>
      <w:pPr>
        <w:pStyle w:val="FirstParagraph"/>
      </w:pPr>
      <w:r>
        <w:t xml:space="preserve">Parameter identifiability and state observability are shown as separate columns specifically because, per §7.0 and §7.2, a method can score differently on each.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Association/correlation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identifiability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adequacy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mass-balance back-calculation (e.g., Zuccato et al., 2008)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rarely tested out-of-sample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m:oMath>
              <m:r>
                <m:t>C</m:t>
              </m:r>
              <m:r>
                <m:t>F</m:t>
              </m:r>
            </m:oMath>
            <w:r>
              <w:t xml:space="preserve"> </w:t>
            </w:r>
            <w:r>
              <w:t xml:space="preserve">typically fixed by assumption, not shown identifiable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applicable in the state-space sense — no dynamic latent state, a static per-capita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rarely tested; excretion/degradation assumptions usually unverified for the specific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Empirical regression / single-lag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only if explicitly out-of-sample tested (often not)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applicable — no mechanistic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addressed — no explicit state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Distributed-lag / time-lag regression (e.g., Schoen et al.,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(where tested, as in this 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lag weights are statistical, not mechanistically interpretable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addressed — no explicit latent-state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Deconvolution with independently-sourced shedding kernel (e.g., Huisman et al.,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(where tested)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partial — kernel/incidence trade-off remains a live concern even with external kernel data (§7.2)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best-supported example in this evidence base — external kernel grounding is specifically what improves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depends on whether transport losses (CSO, decay) are also externally grounded, not just the 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Bayesian hierarchical / state-space models (e.g., Dai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depends on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(posterior intervals directly quantify 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explicit latent-state design, though posterior width reflects rather than guarantees resolution — a flat/multimodal posterior is itself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depends on whether the measurement/process model includes the relevant mechanisms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SEIR-type compartmental + wastewater observation equation (e.g., McMahan et al.,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depends on implementation and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frequently non-identifiable or only weakly identifiable without structural-identifiability analysis (Deva et al., 2021; Liyanage et al.,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depends on whether the observation equation carries enough independent information relative to state dimensions — rarely tested explicitly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compartmental structure is a modeling choice rarely validated against alternative structures (§8)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 / data-driven forecasting (e.g., Ai et al.,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(the family’s core strength)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applicable by design — no interpretable mechanistic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applicable by design — no explicit state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applicable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Multi-model ensembles (e.g., Alhassan et al., 2025/2026)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(ensemble comparison is the family’s explicit purpose)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varies by constituent model; ensemble-level identifiability rarely assessed jointly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varies by constituent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ensemble averaging can mask, rather than resolve, an individual constituent model’s structural inadequacy — a documented general risk (§8.12)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method family in this table achieves ✅ across all five columns in the evidence surveyed for this review.</w:t>
      </w:r>
      <w:r>
        <w:t xml:space="preserve"> </w:t>
      </w:r>
      <w:r>
        <w:t xml:space="preserve">This is stated as a finding, not a defect in the table — it is the direct, literature-grounded conclusion of §7.0–7.3.</w:t>
      </w:r>
    </w:p>
    <w:p>
      <w:r>
        <w:pict>
          <v:rect style="width:0;height:1.5pt" o:hralign="center" o:hrstd="t" o:hr="t"/>
        </w:pict>
      </w:r>
    </w:p>
    <w:bookmarkEnd w:id="20"/>
    <w:bookmarkStart w:id="21" w:name="Xd6d1b45468e82706f676d1151082a1992ed4a05"/>
    <w:p>
      <w:pPr>
        <w:pStyle w:val="Heading2"/>
      </w:pPr>
      <w:r>
        <w:t xml:space="preserve">Table 5. Per-study audit — eight attributes, primary WBE modelling studies plus two normalization-stage comparison studies</w:t>
      </w:r>
    </w:p>
    <w:p>
      <w:pPr>
        <w:pStyle w:val="FirstParagraph"/>
      </w:pP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indicates the attribute does not apply to that study’s design (e.g., a deterministic model has no training/test split);</w:t>
      </w:r>
      <w:r>
        <w:t xml:space="preserve"> </w:t>
      </w:r>
      <w:r>
        <w:t xml:space="preserve">“</w:t>
      </w:r>
      <w:r>
        <w:t xml:space="preserve">not reported</w:t>
      </w:r>
      <w:r>
        <w:t xml:space="preserve">”</w:t>
      </w:r>
      <w:r>
        <w:t xml:space="preserve"> </w:t>
      </w:r>
      <w:r>
        <w:t xml:space="preserve">indicates the study could plausibly report it but this review’s search did not confirm that it does; all entries are subject to the same full-text-verification caveat as the rest of this review (§2.3).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variable reconstructed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quantity estimated?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Training/validation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spatiotemporal external validation?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Parameter-identifiability analysis performed?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State-recovery/observability validation performed?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Input/parameter uncertainty propagated?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failure/degradation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Zuccato et al. (2008)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Per-capita drug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(absolute mass/day per 1,000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(deterministic calculation, not fit to training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(static estimate, no dynamic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 (point 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systematically documented in search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Ramin et al. (2017)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Transformation-pathway structure / consumption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(implied by pathway 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calibration dataset used; independent test set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this is the study’s central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partial — parameter ranges/probability distributions considered per 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multiple pathway structures shown to fit equally well (the study’s key finding)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Huisman et al. 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reproductive number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(relative/trend quantity by 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multiple sewersheds used; explicit held-out spatiotemporal test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compared against independent clinical-case-based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estimate (a form of external validation)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partial — kernel/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trade-off explicitly discussed but not fully resolved per 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closest example in this evidence base to explicit state-recovery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confirmed in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periods of low case ascertainment discussed as a motivating scenario, not a documented failure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Schoen et al. 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 incidence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(incidence rate, a quantitative absolute measure)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explicit in-sample/out-of-sample RMSE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same 4 sites, different time windows — not a different-site external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applicable (distributed-lag weights, not mechanistic parameters)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explicitly tested how reduced sampling frequency degrades prediction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et al. 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COVID-19 case counts (latent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explicit predictive framework, per 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confirmed in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(Bayesian framework; identifiability not the stated focus)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explicit functional-data latent-process design addresses missingness and state recovery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Bayesian framework propagates uncertainty by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missing/incomplete weekly data handled explicitly; other failure modes not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McMahan et al. 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infected individuals per sewershed (state)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3 South Carolina sewersheds; independent external site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SEIR structure implies a state-estimation design, but explicit observability validation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systematically documented in search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et al. 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 outbreak trend/case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trend-classification framing, per search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explicit 70/30 train/test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multi-community, but same overall study period — not a different-era external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(ML models, not mechanistic parameters)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multi-community comparison implicitly tests generalization across sites, not explicitly framed as failure-mode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Alhassan et al. (2025/2026)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COVID-19 forecasts (multiple 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(case-count forecasts)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retrospective weekly forecasts, 2022–2024, a rolling out-of-sample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the explicit purpose is a multi-year retrospective comparison, the strongest external-validation design in this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(comparison study, not a single model’s parameters)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not confirmed in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likely — multi-model comparison across a 2-year window is well-suited to surfacing model-specific degradation, though specific documented cases not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Rainey et al. (2023)</w:t>
            </w:r>
            <w:r>
              <w:t xml:space="preserve"> </w:t>
            </w:r>
            <w:r>
              <w:rPr>
                <w:iCs/>
                <w:i/>
              </w:rPr>
              <w:t xml:space="preserve">(carried forward from §4.3/§6.2 for comparison)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SARS-CoV-2 concentration vs. case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(correlation study, not a reconstruction)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182 communities, 6 states, a strong multi-site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explicitly compares normalizer performance, implicitly documenting where flow/biomarker normalization under- or over-performs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Maal-Bared et al. (2023)</w:t>
            </w:r>
            <w:r>
              <w:t xml:space="preserve"> </w:t>
            </w:r>
            <w:r>
              <w:rPr>
                <w:iCs/>
                <w:i/>
              </w:rPr>
              <w:t xml:space="preserve">(carried forward from §6.4–6.5 for comparison)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SARS-CoV-2 concentration vs. case correlation/lead-time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12 Alberta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explicitly documents PMMoV failing to improve correlation at 10 of 12 systems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pattern across Table 5, read as a whole, is itself a finding:</w:t>
      </w:r>
      <w:r>
        <w:t xml:space="preserve"> </w:t>
      </w:r>
      <w:r>
        <w:t xml:space="preserve">explicit parameter-identifiability analysis, explicit state-recovery validation, and explicit uncertainty propagation are each performed in only a minority of the studies surveyed, and no single study in this table performs all three alongside genuine cross-site or cross-era external validation. This is consistent with, and provides more granular support for, Table 4’s conclusion that no method family achieves the full five-way framework in the evidence currently available.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2026-07-13T04:09:40Z</dcterms:created>
  <dcterms:modified xsi:type="dcterms:W3CDTF">2026-07-13T04:09:40Z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