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78a3a7dbd2dc814a812f04b755e8068461fc29"/>
    <w:p>
      <w:pPr>
        <w:pStyle w:val="Heading1"/>
      </w:pPr>
      <w:r>
        <w:t xml:space="preserve">Chapter 8 Parameter–Distribution–Source–Correlation Summary Table (standalone extract)</w:t>
      </w:r>
    </w:p>
    <w:p>
      <w:pPr>
        <w:pStyle w:val="FirstParagraph"/>
      </w:pPr>
      <w:r>
        <w:t xml:space="preserve">Extracted from</w:t>
      </w:r>
      <w:r>
        <w:t xml:space="preserve"> </w:t>
      </w:r>
      <w:r>
        <w:rPr>
          <w:rStyle w:val="VerbatimChar"/>
        </w:rPr>
        <w:t xml:space="preserve">WBE_Review_Ch1-8.md</w:t>
      </w:r>
      <w:r>
        <w:t xml:space="preserve"> </w:t>
      </w:r>
      <w:r>
        <w:t xml:space="preserve">§8.13 (Table 6) for standalone review. This is the same table embedded in the main chapter text, provided here as a separate file per request.</w:t>
      </w:r>
      <w:r>
        <w:t xml:space="preserve"> </w:t>
      </w:r>
      <w:r>
        <w:t xml:space="preserve">“</w:t>
      </w:r>
      <w:r>
        <w:t xml:space="preserve">Typically correlated with</w:t>
      </w:r>
      <w:r>
        <w:t xml:space="preserve">”</w:t>
      </w:r>
      <w:r>
        <w:t xml:space="preserve"> </w:t>
      </w:r>
      <w:r>
        <w:t xml:space="preserve">records the §8.10 dependencies documented in this review; entries marked</w:t>
      </w:r>
      <w:r>
        <w:t xml:space="preserve"> </w:t>
      </w:r>
      <w:r>
        <w:t xml:space="preserve">“</w:t>
      </w:r>
      <w:r>
        <w:t xml:space="preserve">shape not established in this evidence base</w:t>
      </w:r>
      <w:r>
        <w:t xml:space="preserve">”</w:t>
      </w:r>
      <w:r>
        <w:t xml:space="preserve"> </w:t>
      </w:r>
      <w:r>
        <w:t xml:space="preserve">reflect a documented evidence gap, not an assumption of normality.</w:t>
      </w:r>
    </w:p>
    <w:p>
      <w:r>
        <w:pict>
          <v:rect style="width:0;height:1.5pt" o:hralign="center" o:hrstd="t" o:hr="t"/>
        </w:pict>
      </w:r>
    </w:p>
    <w:bookmarkStart w:id="20" w:name="Xb0d6815aa17662a13dbe33089451fa5be7dca26"/>
    <w:p>
      <w:pPr>
        <w:pStyle w:val="Heading2"/>
      </w:pPr>
      <w:r>
        <w:t xml:space="preserve">Table 6. Uncertainty source × type × distribution × propagation method × mitigation × residual effect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Uncertainty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(§8.1)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Plausible distribution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Typically correlated with (§8.10)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Propagation method (§8.6–8.9)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effect if unaddressed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shedding magnitude (§8.2)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Aleatory variability → parameter uncertainty at population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Right-skewed, long-tailed, over-dispersed (zero-inflated at low prevalence) — shape not established in this evidence base for every pathogen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Infection timing/kernel parameters (§7.2)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or Bayesian hierarchical (§8.7, §8.9); delta method inappropriate (§8.6)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Externally-grounded shedding-kernel data (§4.3, §7.3)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Understated tail risk if normal approximation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Excretion fraction /</w:t>
            </w:r>
            <w:r>
              <w:t xml:space="preserve"> </w:t>
            </w:r>
            <m:oMath>
              <m:r>
                <m:t>C</m:t>
              </m:r>
              <m:r>
                <m:t>F</m:t>
              </m:r>
            </m:oMath>
            <w:r>
              <w:t xml:space="preserve"> </w:t>
            </w:r>
            <w:r>
              <w:t xml:space="preserve">(chemical) (§8.2, §7.1.1)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 parameter uncertainty; systematic bias if cross-population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Population-specific; represented as explicit prior in Jones et al. (2014)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demographic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MCMC (demonstrated: Jones et al., 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Population-matched clinical PK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bias in</w:t>
            </w:r>
            <w: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, undetectable from wastewater data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Hydraulic retention-time distribution (§8.3)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Time-varying process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single value — a distribution across flow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Flow, rainfall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Hydraulic modeling + Monte Carlo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Tracer-study validation (rarely performed per this review’s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Temporal-distortion (§3.0) uncorrected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Decay/transformation rate (§8.3, 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Time-varying process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Temperature-dependent, not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Temperature, retention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method (if near-linear) or Monte Carlo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Process-informed, temperature-covariate models (§4.3)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Amplitude bias, direction depends on temperature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Sedimentation/delayed release (§8.3, 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Unrepresented structural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event-driven, not continuously 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Rainfall,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addressable by parameter-level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structural term or event-flagging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signal attributed to concurrent source event (§4.1)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CSO / overflow mass loss (§8.3, §6.8, §7.6)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uncertainty (discrete)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Bernoulli/event-indicator, not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envelope (§8.12), not standard 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Overflow-event flagging, exclusion, or explicit loss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Capped/masked amplitude distortion (§4.2)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(</w:t>
            </w:r>
            <m:oMath>
              <m:sSub>
                <m:e>
                  <m:r>
                    <m:t>η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η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</m:sub>
              </m:sSub>
            </m:oMath>
            <w:r>
              <w:t xml:space="preserve">) (§8.4, §5.5)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uncertainty, amplitude-biasing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Matrix- and method-dependent; not established as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Inhibition/ion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method (if linear) or Monte Carlo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Recovery-control spikes, isotope-labeled internal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underestimation (recovery cannot exceed 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Inhibition/ion suppression (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) (§8.4, §5.5)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(shared matrix driver)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(with recovery covariance, §8.10)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Inhibition controls, dilution, gp32 (§5.5)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bias, direction target-dependent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Interlaboratory/method effect (§8.4)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Structural/batch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wide spread across SOPs (Pecson et al., 2021; Yang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date, laboratory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Random-effects/hierarchical model (§8.9)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reference standards, inter-lab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effect mistaken for temporal/spatial signal (§5.5)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LOD/LOQ censoring (§8.4, §8.11)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loss / missingness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Left- or interval-censored, not a point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Prevalence, dilution (rainfall)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Tobit, censored likelihood, multiple imputation, Bayesian censoring (§8.11)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analytical sensitivity; report censoring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Bias, direction depends on substitution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Target/normalizer covariance (§8.5, §6.6)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Correlated measurement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a covariance term, not a marginal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definition, this row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a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covariance term in delta method or joint MC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Shared-protocol co-analysis with documented covariance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uncertainty over- or under-stated depending on covariance 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model choice (§8.12, §7.0)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discrete choice among candidate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parameter; orthogonal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averaging, Bayesian model averaging, scenario envelopes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Multi-structure comparison (rarely performed per Table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Confidently wrong point estimate (§7.0’s structural-adequacy failure)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Reference/clinical data uncertainty (§8.13, §7.5)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Epistemic, external to WBE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Ascertainment-dependent, itself time-varying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policy, health-seeking behavior (§3.1)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modeling of both uncertain series, not one-sided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testing-rate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Apparent WBE</w:t>
            </w:r>
            <w:r>
              <w:t xml:space="preserve"> </w:t>
            </w:r>
            <w:r>
              <w:t xml:space="preserve">“</w:t>
            </w:r>
            <w:r>
              <w:t xml:space="preserve">failure</w:t>
            </w:r>
            <w:r>
              <w:t xml:space="preserve">”</w:t>
            </w:r>
            <w:r>
              <w:t xml:space="preserve"> </w:t>
            </w:r>
            <w:r>
              <w:t xml:space="preserve">that is actually reference-data uncertainty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84f28ff1c66a0592b07519e82120853b24e749a"/>
    <w:p>
      <w:pPr>
        <w:pStyle w:val="Heading2"/>
      </w:pPr>
      <w:r>
        <w:t xml:space="preserve">Companion: named correlated-parameter pairs (§8.10), as visualized in Figure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documenting the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Rainfall ↔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§4.2,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Mechanically linked, not independently varying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 ↔ Hydraulic retention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§4.1, §8.3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flow generally shortens retention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sampling error ↔ Normalizer sampling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representativeness error when co-sampled from the same physical aliquot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↔ Inhibition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§5.5, §8.4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driven by shared underlying matrix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Infection timing ↔ Shedding-kernel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estimation trade-off, not two separately-uncertain quantities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 change ↔ Water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§6.3,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influx raises both the flow-normalization denominator and the water-use proxy simultaneously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 ↔ Decay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§4.1, §4.2, §8.3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Mechanically linked via the same physical process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Ignoring these covariances can overstate or understate the true output interval depending on the sign of the correlation</w:t>
      </w:r>
      <w:r>
        <w:t xml:space="preserve"> </w:t>
      </w:r>
      <w:r>
        <w:t xml:space="preserve">(§8.10) — there is no single shortcut correction factor; the covariance structure must be estimated or reasoned through explicitly for the specific application.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2026-07-13T04:09:40Z</dcterms:created>
  <dcterms:modified xsi:type="dcterms:W3CDTF">2026-07-13T04:09:40Z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