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7e868ac4c297be00c04a8ddb26306ce9b718b8"/>
    <w:p>
      <w:pPr>
        <w:pStyle w:val="Heading1"/>
      </w:pPr>
      <w:r>
        <w:t xml:space="preserve">Consolidated Pending-Verification List — WBE Review, Chapters 1–8</w:t>
      </w:r>
    </w:p>
    <w:p>
      <w:pPr>
        <w:pStyle w:val="FirstParagraph"/>
      </w:pPr>
      <w:r>
        <w:t xml:space="preserve">Every number, coefficient, percentage, or ranking below is currently supported only by search-engine-summarized snippets, not by full-text reading (WebFetch returned HTTP 403 for every publisher/PMC/DOI-resolver/Crossref domain attempted across this entire project — see §2.3 of the main document).</w:t>
      </w:r>
      <w:r>
        <w:t xml:space="preserve"> </w:t>
      </w:r>
      <w:r>
        <w:rPr>
          <w:bCs/>
          <w:b/>
        </w:rPr>
        <w:t xml:space="preserve">None of these should be quoted in a submission-facing document without independent full-text confirmation.</w:t>
      </w:r>
      <w:r>
        <w:t xml:space="preserve"> </w:t>
      </w:r>
      <w:r>
        <w:t xml:space="preserve">Organized by chapter; reference numbers match</w:t>
      </w:r>
      <w:r>
        <w:t xml:space="preserve"> </w:t>
      </w:r>
      <w:r>
        <w:rPr>
          <w:rStyle w:val="VerbatimChar"/>
        </w:rPr>
        <w:t xml:space="preserve">WBE_Review_References.md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WBE_Review_Citation_Verification_Table.md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hapters-12-background-methodology"/>
    <w:p>
      <w:pPr>
        <w:pStyle w:val="Heading2"/>
      </w:pPr>
      <w:r>
        <w:t xml:space="preserve">Chapters 1–2 (background, methodology)</w:t>
      </w:r>
    </w:p>
    <w:p>
      <w:pPr>
        <w:numPr>
          <w:ilvl w:val="0"/>
          <w:numId w:val="1001"/>
        </w:numPr>
        <w:pStyle w:val="Compact"/>
      </w:pPr>
      <w:r>
        <w:t xml:space="preserve">EU Wastewater Surveillance Dashboard:</w:t>
      </w:r>
      <w:r>
        <w:t xml:space="preserve"> </w:t>
      </w:r>
      <w:r>
        <w:t xml:space="preserve">“</w:t>
      </w:r>
      <w:r>
        <w:t xml:space="preserve">11 countries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over one million measurements</w:t>
      </w:r>
      <w:r>
        <w:t xml:space="preserve">”</w:t>
      </w:r>
      <w:r>
        <w:t xml:space="preserve"> </w:t>
      </w:r>
      <w:r>
        <w:t xml:space="preserve">[4]</w:t>
      </w:r>
    </w:p>
    <w:p>
      <w:pPr>
        <w:numPr>
          <w:ilvl w:val="0"/>
          <w:numId w:val="1001"/>
        </w:numPr>
        <w:pStyle w:val="Compact"/>
      </w:pPr>
      <w:r>
        <w:t xml:space="preserve">WHO WES pilot guidance: full PDF content not read page-by-page beyond release date/existence [15]</w:t>
      </w:r>
    </w:p>
    <w:p>
      <w:pPr>
        <w:numPr>
          <w:ilvl w:val="0"/>
          <w:numId w:val="1001"/>
        </w:numPr>
        <w:pStyle w:val="Compact"/>
      </w:pPr>
      <w:r>
        <w:t xml:space="preserve">China’s national wastewater surveillance system:</w:t>
      </w:r>
      <w:r>
        <w:t xml:space="preserve"> </w:t>
      </w:r>
      <w:r>
        <w:t xml:space="preserve">“</w:t>
      </w:r>
      <w:r>
        <w:t xml:space="preserve">roughly doubled</w:t>
      </w:r>
      <w:r>
        <w:t xml:space="preserve">”</w:t>
      </w:r>
      <w:r>
        <w:t xml:space="preserve"> </w:t>
      </w:r>
      <w:r>
        <w:t xml:space="preserve">poliovirus isolation figure; 3-component description [7] —</w:t>
      </w:r>
      <w:r>
        <w:t xml:space="preserve"> </w:t>
      </w:r>
      <w:r>
        <w:rPr>
          <w:bCs/>
          <w:b/>
        </w:rPr>
        <w:t xml:space="preserve">author list for [7] also incomplete</w:t>
      </w:r>
    </w:p>
    <w:p>
      <w:pPr>
        <w:numPr>
          <w:ilvl w:val="0"/>
          <w:numId w:val="1001"/>
        </w:numPr>
        <w:pStyle w:val="Compact"/>
      </w:pPr>
      <w:r>
        <w:t xml:space="preserve">Recast UWWTD:</w:t>
      </w:r>
      <w:r>
        <w:t xml:space="preserve"> </w:t>
      </w:r>
      <w:r>
        <w:t xml:space="preserve">“</w:t>
      </w:r>
      <w:r>
        <w:t xml:space="preserve">100,000 population-equivalent</w:t>
      </w:r>
      <w:r>
        <w:t xml:space="preserve">”</w:t>
      </w:r>
      <w:r>
        <w:t xml:space="preserve"> </w:t>
      </w:r>
      <w:r>
        <w:t xml:space="preserve">AMR-monitoring threshold [5] —</w:t>
      </w:r>
      <w:r>
        <w:t xml:space="preserve"> </w:t>
      </w:r>
      <w:r>
        <w:rPr>
          <w:bCs/>
          <w:b/>
        </w:rPr>
        <w:t xml:space="preserve">author list for [5] also unconfirmed</w:t>
      </w:r>
    </w:p>
    <w:p>
      <w:pPr>
        <w:numPr>
          <w:ilvl w:val="0"/>
          <w:numId w:val="1001"/>
        </w:numPr>
        <w:pStyle w:val="Compact"/>
      </w:pPr>
      <w:r>
        <w:t xml:space="preserve">AMR wastewater scoping review:</w:t>
      </w:r>
      <w:r>
        <w:t xml:space="preserve"> </w:t>
      </w:r>
      <w:r>
        <w:t xml:space="preserve">“</w:t>
      </w:r>
      <w:r>
        <w:t xml:space="preserve">177 reports,</w:t>
      </w:r>
      <w:r>
        <w:t xml:space="preserve">”</w:t>
      </w:r>
      <w:r>
        <w:t xml:space="preserve"> </w:t>
      </w:r>
      <w:r>
        <w:t xml:space="preserve">“</w:t>
      </w:r>
      <w:r>
        <w:t xml:space="preserve">76.8% after 2019</w:t>
      </w:r>
      <w:r>
        <w:t xml:space="preserve">”</w:t>
      </w:r>
      <w:r>
        <w:t xml:space="preserve"> </w:t>
      </w:r>
      <w:r>
        <w:t xml:space="preserve">[12]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247 articles</w:t>
      </w:r>
      <w:r>
        <w:t xml:space="preserve">”</w:t>
      </w:r>
      <w:r>
        <w:t xml:space="preserve"> </w:t>
      </w:r>
      <w:r>
        <w:t xml:space="preserve">figure for the normalization systematic review —</w:t>
      </w:r>
      <w:r>
        <w:t xml:space="preserve"> </w:t>
      </w:r>
      <w:r>
        <w:rPr>
          <w:bCs/>
          <w:b/>
        </w:rPr>
        <w:t xml:space="preserve">now resolved/confirmed</w:t>
      </w:r>
      <w:r>
        <w:t xml:space="preserve">, see [34]; retained here only as a reminder it was previously on this list</w:t>
      </w:r>
    </w:p>
    <w:bookmarkEnd w:id="20"/>
    <w:bookmarkStart w:id="21" w:name="X558da160531d1f92d429272774fbafd1d0b6d4c"/>
    <w:p>
      <w:pPr>
        <w:pStyle w:val="Heading2"/>
      </w:pPr>
      <w:r>
        <w:t xml:space="preserve">Chapter 3–4 (source signal, sewer transport, rainfall)</w:t>
      </w:r>
    </w:p>
    <w:p>
      <w:pPr>
        <w:numPr>
          <w:ilvl w:val="0"/>
          <w:numId w:val="1002"/>
        </w:numPr>
        <w:pStyle w:val="Compact"/>
      </w:pPr>
      <w:r>
        <w:t xml:space="preserve">Coronavirus RNA decay acceleration</w:t>
      </w:r>
      <w:r>
        <w:t xml:space="preserve"> </w:t>
      </w:r>
      <w:r>
        <w:t xml:space="preserve">“</w:t>
      </w:r>
      <w:r>
        <w:t xml:space="preserve">above ~26 °C</w:t>
      </w:r>
      <w:r>
        <w:t xml:space="preserve">”</w:t>
      </w:r>
      <w:r>
        <w:t xml:space="preserve"> </w:t>
      </w:r>
      <w:r>
        <w:t xml:space="preserve">threshold [6]</w:t>
      </w:r>
    </w:p>
    <w:p>
      <w:pPr>
        <w:numPr>
          <w:ilvl w:val="0"/>
          <w:numId w:val="1002"/>
        </w:numPr>
        <w:pStyle w:val="Compact"/>
      </w:pPr>
      <w:r>
        <w:t xml:space="preserve">Sewer biofilm reactor</w:t>
      </w:r>
      <w:r>
        <w:t xml:space="preserve"> </w:t>
      </w:r>
      <w:r>
        <w:t xml:space="preserve">“</w:t>
      </w:r>
      <w:r>
        <w:t xml:space="preserve">~90% reduction within 2 hours</w:t>
      </w:r>
      <w:r>
        <w:t xml:space="preserve">”</w:t>
      </w:r>
      <w:r>
        <w:t xml:space="preserve"> </w:t>
      </w:r>
      <w:r>
        <w:t xml:space="preserve">figure [16]</w:t>
      </w:r>
    </w:p>
    <w:p>
      <w:pPr>
        <w:numPr>
          <w:ilvl w:val="0"/>
          <w:numId w:val="1002"/>
        </w:numPr>
        <w:pStyle w:val="Compact"/>
      </w:pPr>
      <w:r>
        <w:t xml:space="preserve">In-sewer decay rate constants (k ≈ 2.21 d⁻¹ vs. 1.12–0.47 d⁻¹) [9]</w:t>
      </w:r>
    </w:p>
    <w:p>
      <w:pPr>
        <w:numPr>
          <w:ilvl w:val="0"/>
          <w:numId w:val="1002"/>
        </w:numPr>
        <w:pStyle w:val="Compact"/>
      </w:pPr>
      <w:r>
        <w:t xml:space="preserve">Miura, Kitajima, &amp; Omori (2021) [10] —</w:t>
      </w:r>
      <w:r>
        <w:t xml:space="preserve"> </w:t>
      </w:r>
      <w:r>
        <w:rPr>
          <w:bCs/>
          <w:b/>
        </w:rPr>
        <w:t xml:space="preserve">internally inconsistent across searches</w:t>
      </w:r>
      <w:r>
        <w:t xml:space="preserve"> </w:t>
      </w:r>
      <w:r>
        <w:t xml:space="preserve">(3.4 vs. 2.6 log copies/g; 26.0-day vs. 20–32-day range); do not cite either number without reading the primary source directly</w:t>
      </w:r>
    </w:p>
    <w:bookmarkEnd w:id="21"/>
    <w:bookmarkStart w:id="22" w:name="Xe0c3f0929a02eee1fc5e111aa534643840dc3eb"/>
    <w:p>
      <w:pPr>
        <w:pStyle w:val="Heading2"/>
      </w:pPr>
      <w:r>
        <w:t xml:space="preserve">Chapter 5 (sampling and analytical methods)</w:t>
      </w:r>
    </w:p>
    <w:p>
      <w:pPr>
        <w:numPr>
          <w:ilvl w:val="0"/>
          <w:numId w:val="1003"/>
        </w:numPr>
        <w:pStyle w:val="Compact"/>
      </w:pPr>
      <w:r>
        <w:t xml:space="preserve">RT-qPCR vs. RT-dPCR process-limit-of-detection CVs,</w:t>
      </w:r>
      <w:r>
        <w:t xml:space="preserve"> </w:t>
      </w:r>
      <w:r>
        <w:t xml:space="preserve">“</w:t>
      </w:r>
      <w:r>
        <w:t xml:space="preserve">~40–60%</w:t>
      </w:r>
      <w:r>
        <w:t xml:space="preserve">”</w:t>
      </w:r>
      <w:r>
        <w:t xml:space="preserve"> </w:t>
      </w:r>
      <w:r>
        <w:t xml:space="preserve">[18]</w:t>
      </w:r>
    </w:p>
    <w:p>
      <w:pPr>
        <w:numPr>
          <w:ilvl w:val="0"/>
          <w:numId w:val="1003"/>
        </w:numPr>
        <w:pStyle w:val="Compact"/>
      </w:pPr>
      <w:r>
        <w:t xml:space="preserve">Settled-solids enrichment magnitude (</w:t>
      </w:r>
      <w:r>
        <w:t xml:space="preserve">“</w:t>
      </w:r>
      <w:r>
        <w:t xml:space="preserve">~3 orders of magnitude,</w:t>
      </w:r>
      <w:r>
        <w:t xml:space="preserve">”</w:t>
      </w:r>
      <w:r>
        <w:t xml:space="preserve"> </w:t>
      </w:r>
      <w:r>
        <w:t xml:space="preserve">“</w:t>
      </w:r>
      <w:r>
        <w:t xml:space="preserve">10³–10⁴×</w:t>
      </w:r>
      <w:r>
        <w:t xml:space="preserve">”</w:t>
      </w:r>
      <w:r>
        <w:t xml:space="preserve">) [20] — note main text already flags contradictory partitioning ratios from other studies</w:t>
      </w:r>
    </w:p>
    <w:p>
      <w:pPr>
        <w:numPr>
          <w:ilvl w:val="0"/>
          <w:numId w:val="1003"/>
        </w:numPr>
        <w:pStyle w:val="Compact"/>
      </w:pPr>
      <w:r>
        <w:t xml:space="preserve">36-SOP U.S. interlaboratory comparison:</w:t>
      </w:r>
      <w:r>
        <w:t xml:space="preserve"> </w:t>
      </w:r>
      <w:r>
        <w:t xml:space="preserve">“</w:t>
      </w:r>
      <w:r>
        <w:t xml:space="preserve">~7 log₁₀</w:t>
      </w:r>
      <w:r>
        <w:t xml:space="preserve">”</w:t>
      </w:r>
      <w:r>
        <w:t xml:space="preserve"> </w:t>
      </w:r>
      <w:r>
        <w:t xml:space="preserve">recovery/LOD range;</w:t>
      </w:r>
      <w:r>
        <w:t xml:space="preserve"> </w:t>
      </w:r>
      <w:r>
        <w:t xml:space="preserve">“</w:t>
      </w:r>
      <w:r>
        <w:t xml:space="preserve">~2.3 log₁₀ GC</w:t>
      </w:r>
      <w:r>
        <w:t xml:space="preserve">”</w:t>
      </w:r>
      <w:r>
        <w:t xml:space="preserve"> </w:t>
      </w:r>
      <w:r>
        <w:t xml:space="preserve">recovery-corrected spread [24]</w:t>
      </w:r>
    </w:p>
    <w:p>
      <w:pPr>
        <w:numPr>
          <w:ilvl w:val="0"/>
          <w:numId w:val="1003"/>
        </w:numPr>
        <w:pStyle w:val="Compact"/>
      </w:pPr>
      <w:r>
        <w:t xml:space="preserve">Storage/freeze-thaw specific recovery differentials (qualitative direction confirmed; exact percentages not asserted in text) [21]</w:t>
      </w:r>
    </w:p>
    <w:p>
      <w:pPr>
        <w:numPr>
          <w:ilvl w:val="0"/>
          <w:numId w:val="1003"/>
        </w:numPr>
        <w:pStyle w:val="Compact"/>
      </w:pPr>
      <w:r>
        <w:t xml:space="preserve">PCR-inhibition mitigation-strategy performance figures [22]</w:t>
      </w:r>
    </w:p>
    <w:p>
      <w:pPr>
        <w:numPr>
          <w:ilvl w:val="0"/>
          <w:numId w:val="1003"/>
        </w:numPr>
        <w:pStyle w:val="Compact"/>
      </w:pPr>
      <w:r>
        <w:t xml:space="preserve">ARG qPCR-vs-metagenomics concordance figures [23]</w:t>
      </w:r>
    </w:p>
    <w:p>
      <w:pPr>
        <w:numPr>
          <w:ilvl w:val="0"/>
          <w:numId w:val="1003"/>
        </w:numPr>
        <w:pStyle w:val="Compact"/>
      </w:pPr>
      <w:r>
        <w:t xml:space="preserve">Grab (≈30%) vs. flow-proportional composite (&lt;10%) sampling uncertainty —</w:t>
      </w:r>
      <w:r>
        <w:t xml:space="preserve"> </w:t>
      </w:r>
      <w:r>
        <w:rPr>
          <w:bCs/>
          <w:b/>
        </w:rPr>
        <w:t xml:space="preserve">removed from main-text prose in the 2026-07-12 revision</w:t>
      </w:r>
      <w:r>
        <w:t xml:space="preserve">; retained only in references/verification table, itself a restatement by a preprint survey [25] of an unidentified primary source</w:t>
      </w:r>
    </w:p>
    <w:bookmarkEnd w:id="22"/>
    <w:bookmarkStart w:id="23" w:name="chapter-6-normalization"/>
    <w:p>
      <w:pPr>
        <w:pStyle w:val="Heading2"/>
      </w:pPr>
      <w:r>
        <w:t xml:space="preserve">Chapter 6 (normalization)</w:t>
      </w:r>
    </w:p>
    <w:p>
      <w:pPr>
        <w:numPr>
          <w:ilvl w:val="0"/>
          <w:numId w:val="1004"/>
        </w:numPr>
        <w:pStyle w:val="Compact"/>
      </w:pPr>
      <w:r>
        <w:t xml:space="preserve">Langeveld et al. (2022): exact study-design figures (9 sites, ~1,100 samples) [26]</w:t>
      </w:r>
    </w:p>
    <w:p>
      <w:pPr>
        <w:numPr>
          <w:ilvl w:val="0"/>
          <w:numId w:val="1004"/>
        </w:numPr>
        <w:pStyle w:val="Compact"/>
      </w:pPr>
      <w:r>
        <w:t xml:space="preserve">Hsu et al. (2022): specific performance-ranking magnitudes for paraxanthine vs. PMMoV/creatinine/5-HIAA across 64 WWTPs [27] —</w:t>
      </w:r>
      <w:r>
        <w:t xml:space="preserve"> </w:t>
      </w:r>
      <w:r>
        <w:rPr>
          <w:bCs/>
          <w:b/>
        </w:rPr>
        <w:t xml:space="preserve">also: unresolved relationship to a same-author-group medRxiv preprint on Missouri statewide monitoring; treat as possibly one dataset, not two</w:t>
      </w:r>
    </w:p>
    <w:p>
      <w:pPr>
        <w:numPr>
          <w:ilvl w:val="0"/>
          <w:numId w:val="1004"/>
        </w:numPr>
        <w:pStyle w:val="Compact"/>
      </w:pPr>
      <w:r>
        <w:t xml:space="preserve">Maal-Bared et al. (2023):</w:t>
      </w:r>
      <w:r>
        <w:t xml:space="preserve"> </w:t>
      </w:r>
      <w:r>
        <w:t xml:space="preserve">“</w:t>
      </w:r>
      <w:r>
        <w:t xml:space="preserve">2 of 12 systems</w:t>
      </w:r>
      <w:r>
        <w:t xml:space="preserve">”</w:t>
      </w:r>
      <w:r>
        <w:t xml:space="preserve"> </w:t>
      </w:r>
      <w:r>
        <w:t xml:space="preserve">figure; pooled correlation-improvement magnitude for ammonia/TKN/TP [28]</w:t>
      </w:r>
    </w:p>
    <w:p>
      <w:pPr>
        <w:numPr>
          <w:ilvl w:val="0"/>
          <w:numId w:val="1004"/>
        </w:numPr>
        <w:pStyle w:val="Compact"/>
      </w:pPr>
      <w:r>
        <w:t xml:space="preserve">Dhiyebi et al. (2023): site-specific correlation-reduction magnitudes for PMMoV normalization [29]</w:t>
      </w:r>
    </w:p>
    <w:p>
      <w:pPr>
        <w:numPr>
          <w:ilvl w:val="0"/>
          <w:numId w:val="1004"/>
        </w:numPr>
        <w:pStyle w:val="Compact"/>
      </w:pPr>
      <w:r>
        <w:t xml:space="preserve">Chen et al. (2014): which 2 of 7 candidate biomarkers were</w:t>
      </w:r>
      <w:r>
        <w:t xml:space="preserve"> </w:t>
      </w:r>
      <w:r>
        <w:t xml:space="preserve">“</w:t>
      </w:r>
      <w:r>
        <w:t xml:space="preserve">most promising</w:t>
      </w:r>
      <w:r>
        <w:t xml:space="preserve">”</w:t>
      </w:r>
      <w:r>
        <w:t xml:space="preserve"> </w:t>
      </w:r>
      <w:r>
        <w:t xml:space="preserve">(recurred consistently across searches — comparatively higher confidence than most items on this list, but still unread in full text) [30]</w:t>
      </w:r>
    </w:p>
    <w:p>
      <w:pPr>
        <w:numPr>
          <w:ilvl w:val="0"/>
          <w:numId w:val="1004"/>
        </w:numPr>
        <w:pStyle w:val="Compact"/>
      </w:pPr>
      <w:r>
        <w:t xml:space="preserve">Been et al. (2014): ammonium/drug-metabolite correlation strength [31] — author list</w:t>
      </w:r>
      <w:r>
        <w:t xml:space="preserve"> </w:t>
      </w:r>
      <w:r>
        <w:rPr>
          <w:bCs/>
          <w:b/>
        </w:rPr>
        <w:t xml:space="preserve">now resolved</w:t>
      </w:r>
      <w:r>
        <w:t xml:space="preserve"> </w:t>
      </w:r>
      <w:r>
        <w:t xml:space="preserve">(Been, Rossi, Ort, Rudaz, Delémont, Esseiva); the correlation-strength claim itself remains pending</w:t>
      </w:r>
    </w:p>
    <w:p>
      <w:pPr>
        <w:numPr>
          <w:ilvl w:val="0"/>
          <w:numId w:val="1004"/>
        </w:numPr>
        <w:pStyle w:val="Compact"/>
      </w:pPr>
      <w:r>
        <w:t xml:space="preserve">Oslo mobile-device study: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0.88</m:t>
        </m:r>
      </m:oMath>
      <w:r>
        <w:t xml:space="preserve">, &lt;10% mean error figures [32] —</w:t>
      </w:r>
      <w:r>
        <w:t xml:space="preserve"> </w:t>
      </w:r>
      <w:r>
        <w:rPr>
          <w:bCs/>
          <w:b/>
        </w:rPr>
        <w:t xml:space="preserve">author list could not be retrieved despite two separate rounds of repeated attempts across sessions; weakest author-attribution in the entire review to date</w:t>
      </w:r>
    </w:p>
    <w:p>
      <w:pPr>
        <w:numPr>
          <w:ilvl w:val="0"/>
          <w:numId w:val="1004"/>
        </w:numPr>
        <w:pStyle w:val="Compact"/>
      </w:pPr>
      <w:r>
        <w:t xml:space="preserve">Southern Ontario 4-biomarker study (PMID 37660819):</w:t>
      </w:r>
      <w:r>
        <w:t xml:space="preserve"> </w:t>
      </w:r>
      <w:r>
        <w:rPr>
          <w:bCs/>
          <w:b/>
        </w:rPr>
        <w:t xml:space="preserve">now the single least-trustworthy source in this review</w:t>
      </w:r>
      <w:r>
        <w:t xml:space="preserve">, for two independent reasons: (a) author list still unconfirmed after renewed attempts (one name loosely associated, not verified), and (b) a</w:t>
      </w:r>
      <w:r>
        <w:t xml:space="preserve"> </w:t>
      </w:r>
      <w:r>
        <w:rPr>
          <w:bCs/>
          <w:b/>
        </w:rPr>
        <w:t xml:space="preserve">newly discovered marker-identity discrepancy</w:t>
      </w:r>
      <w:r>
        <w:t xml:space="preserve"> </w:t>
      </w:r>
      <w:r>
        <w:t xml:space="preserve">— two searches for the same PMID described the four biomarkers studied differently (PMMoV/crAssphage/HF183/BacHuman vs. PMMoV/crAssphage/</w:t>
      </w:r>
      <w:r>
        <w:t xml:space="preserve">“</w:t>
      </w:r>
      <w:r>
        <w:t xml:space="preserve">Bacteroides rRNA</w:t>
      </w:r>
      <w:r>
        <w:t xml:space="preserve">”</w:t>
      </w:r>
      <w:r>
        <w:t xml:space="preserve">/</w:t>
      </w:r>
      <w:r>
        <w:t xml:space="preserve">“</w:t>
      </w:r>
      <w:r>
        <w:t xml:space="preserve">human 18S rRNA</w:t>
      </w:r>
      <w:r>
        <w:t xml:space="preserve">”</w:t>
      </w:r>
      <w:r>
        <w:t xml:space="preserve">). The main text and Table 3 have been revised (2026-07-12) to no longer assert which specific human-associated marker outperformed which; treat every finding attributed to this source as unresolved pending direct full-text access [33]</w:t>
      </w:r>
    </w:p>
    <w:p>
      <w:pPr>
        <w:numPr>
          <w:ilvl w:val="0"/>
          <w:numId w:val="1004"/>
        </w:numPr>
        <w:pStyle w:val="Compact"/>
      </w:pPr>
      <w:r>
        <w:t xml:space="preserve">Ahmed, Philo, Boehm, Halden, Bibby, &amp; Delgado Vela (2026):</w:t>
      </w:r>
      <w:r>
        <w:t xml:space="preserve"> </w:t>
      </w:r>
      <w:r>
        <w:t xml:space="preserve">“</w:t>
      </w:r>
      <w:r>
        <w:t xml:space="preserve">247 articles</w:t>
      </w:r>
      <w:r>
        <w:t xml:space="preserve">”</w:t>
      </w:r>
      <w:r>
        <w:t xml:space="preserve"> </w:t>
      </w:r>
      <w:r>
        <w:t xml:space="preserve">figure and its specific findings on unspecified normalization goals — metadata and topic confirmed, but the review’s own summary statistics not confirmed against its abstract/full text.</w:t>
      </w:r>
      <w:r>
        <w:t xml:space="preserve"> </w:t>
      </w:r>
      <w:r>
        <w:rPr>
          <w:bCs/>
          <w:b/>
        </w:rPr>
        <w:t xml:space="preserve">Evidence type confirmed as systematic/critical review, not a primary validation study — see the verification table’s new Evidence Type column</w:t>
      </w:r>
      <w:r>
        <w:t xml:space="preserve"> </w:t>
      </w:r>
      <w:r>
        <w:t xml:space="preserve">[34]</w:t>
      </w:r>
    </w:p>
    <w:bookmarkEnd w:id="23"/>
    <w:bookmarkStart w:id="24" w:name="X7b5d725a709baa26653d3c9765d1eab32464329"/>
    <w:p>
      <w:pPr>
        <w:pStyle w:val="Heading2"/>
      </w:pPr>
      <w:r>
        <w:t xml:space="preserve">Chapter 7 (back-calculation, identifiability, validation)</w:t>
      </w:r>
    </w:p>
    <w:p>
      <w:pPr>
        <w:numPr>
          <w:ilvl w:val="0"/>
          <w:numId w:val="1005"/>
        </w:numPr>
        <w:pStyle w:val="Compact"/>
      </w:pPr>
      <w:r>
        <w:t xml:space="preserve">Huisman et al. (2022): specific quantitative comparison between wastewater-based and clinical-case-based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estimates; whether shedding-kernel shape and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trajectory are separably estimable in their model — qualitative method description (deconvolution + EpiEstim) is comparatively well-corroborated across searches, but this specific quantitative comparison is not [35]</w:t>
      </w:r>
    </w:p>
    <w:p>
      <w:pPr>
        <w:numPr>
          <w:ilvl w:val="0"/>
          <w:numId w:val="1005"/>
        </w:numPr>
        <w:pStyle w:val="Compact"/>
      </w:pPr>
      <w:r>
        <w:t xml:space="preserve">Ramin et al. (2017): specific model-comparison statistics for which transformation-pathway structures fit the heroin/codeine biomarker data and by how much [36]</w:t>
      </w:r>
    </w:p>
    <w:p>
      <w:pPr>
        <w:numPr>
          <w:ilvl w:val="0"/>
          <w:numId w:val="1005"/>
        </w:numPr>
        <w:pStyle w:val="Compact"/>
      </w:pPr>
      <w:r>
        <w:t xml:space="preserve">Ai et al. (2022): specific forecast error/accuracy metrics for the train/test-split ML models [38]</w:t>
      </w:r>
    </w:p>
    <w:p>
      <w:pPr>
        <w:numPr>
          <w:ilvl w:val="0"/>
          <w:numId w:val="1005"/>
        </w:numPr>
        <w:pStyle w:val="Compact"/>
      </w:pPr>
      <w:r>
        <w:t xml:space="preserve">Wang, Amarasiri, Oishi, &amp; Sano (2025): the specific methodological-limitation findings this systematic review itself reports, beyond its general taxonomy (which is comparatively well-corroborated) [40]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Note on [37] Deva et al. 2021 and [39] Liyanage et al. 2025</w:t>
      </w:r>
      <w:r>
        <w:t xml:space="preserve">: these are not pending in the same sense as the items above — they are general (non-WBE) epidemic-modeling-identifiability papers, correctly cited in §7.3 as general methodology rather than WBE-specific findings, and flagged here only as a reminder that no WBE-specific validation of their applicability to a wastewater observation equation currently exists in this review’s evidence base — that gap is itself a documented finding of §7.3, not an oversight.</w:t>
      </w:r>
    </w:p>
    <w:bookmarkEnd w:id="24"/>
    <w:bookmarkStart w:id="25" w:name="chapter-8-uncertainty-propagation"/>
    <w:p>
      <w:pPr>
        <w:pStyle w:val="Heading2"/>
      </w:pPr>
      <w:r>
        <w:t xml:space="preserve">Chapter 8 (uncertainty propagation)</w:t>
      </w:r>
    </w:p>
    <w:p>
      <w:pPr>
        <w:pStyle w:val="FirstParagraph"/>
      </w:pPr>
      <w:r>
        <w:t xml:space="preserve">No specific numeric probability-distribution parameters (means, standard deviations, shape parameters) are asserted anywhere in Chapter 8 as verified values — the chapter deliberately states distribution</w:t>
      </w:r>
      <w:r>
        <w:t xml:space="preserve"> </w:t>
      </w:r>
      <w:r>
        <w:rPr>
          <w:iCs/>
          <w:i/>
        </w:rPr>
        <w:t xml:space="preserve">shapes</w:t>
      </w:r>
      <w:r>
        <w:t xml:space="preserve"> </w:t>
      </w:r>
      <w:r>
        <w:t xml:space="preserve">qualitatively (e.g.,</w:t>
      </w:r>
      <w:r>
        <w:t xml:space="preserve"> </w:t>
      </w:r>
      <w:r>
        <w:t xml:space="preserve">“</w:t>
      </w:r>
      <w:r>
        <w:t xml:space="preserve">right-skewed, long-tailed,</w:t>
      </w:r>
      <w:r>
        <w:t xml:space="preserve">”</w:t>
      </w:r>
      <w:r>
        <w:t xml:space="preserve"> </w:t>
      </w:r>
      <w:r>
        <w:t xml:space="preserve">“</w:t>
      </w:r>
      <w:r>
        <w:t xml:space="preserve">not established as normal</w:t>
      </w:r>
      <w:r>
        <w:t xml:space="preserve">”</w:t>
      </w:r>
      <w:r>
        <w:t xml:space="preserve">) rather than fitting or citing specific parameter values, and several table cells in Table 6 are explicitly labeled</w:t>
      </w:r>
      <w:r>
        <w:t xml:space="preserve"> </w:t>
      </w:r>
      <w:r>
        <w:t xml:space="preserve">“</w:t>
      </w:r>
      <w:r>
        <w:t xml:space="preserve">shape not established in this evidence base</w:t>
      </w:r>
      <w:r>
        <w:t xml:space="preserve">”</w:t>
      </w:r>
      <w:r>
        <w:t xml:space="preserve"> </w:t>
      </w:r>
      <w:r>
        <w:t xml:space="preserve">as a documented gap rather than an assumption. The items below are the specific claims and figures that do carry a quantitative or comparative assertion and are not yet full-text-confirmed:</w:t>
      </w:r>
    </w:p>
    <w:p>
      <w:pPr>
        <w:numPr>
          <w:ilvl w:val="0"/>
          <w:numId w:val="1006"/>
        </w:numPr>
        <w:pStyle w:val="Compact"/>
      </w:pPr>
      <w:r>
        <w:t xml:space="preserve">Jones et al. (2014): the specific posterior distribution/interval this Bayesian framework reports for excretion-fraction uncertainty and its propagated effect on the final per-capita consumption estimate — the qualitative framing (explicit Bayesian prior for excretion fraction, MCMC propagation) is comparatively well-corroborated across searches, but the specific numeric output is not [46]</w:t>
      </w:r>
    </w:p>
    <w:p>
      <w:pPr>
        <w:numPr>
          <w:ilvl w:val="0"/>
          <w:numId w:val="1006"/>
        </w:numPr>
        <w:pStyle w:val="Compact"/>
      </w:pPr>
      <w:r>
        <w:t xml:space="preserve">Yang et al. (2024): the specific variance-contribution figures for concentration method vs. extraction kit vs. primer-probe set in the factorial analytical-uncertainty comparison (§8.4) — only the qualitative ranking (concentration method contributing comparatively less variability than extraction/amplification choice) recurred across searches [47]</w:t>
      </w:r>
    </w:p>
    <w:p>
      <w:pPr>
        <w:numPr>
          <w:ilvl w:val="0"/>
          <w:numId w:val="1006"/>
        </w:numPr>
        <w:pStyle w:val="Compact"/>
      </w:pPr>
      <w:r>
        <w:t xml:space="preserve">Safford et al. (2022): the specific comparative-performance figures (e.g., correlation or agreement statistics) for EM-MCMC vs. substitution-based censoring methods against clinical case trends (§8.11) — the qualitative finding (EM-MCMC outperforming substitution methods) is comparatively well-corroborated, but exact figures are not [48]</w:t>
      </w:r>
    </w:p>
    <w:p>
      <w:pPr>
        <w:numPr>
          <w:ilvl w:val="0"/>
          <w:numId w:val="1006"/>
        </w:numPr>
        <w:pStyle w:val="Compact"/>
      </w:pPr>
      <w:r>
        <w:t xml:space="preserve">Pecson et al. (2021) 36-SOP interlaboratory comparison figures, reused in §8.4 from the existing Chapter 5 pending item — see the Chapter 5 section above [24]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Methamphetamine-consumption and neuropsychiatric-drug-prevalence Monte Carlo studies</w:t>
      </w:r>
      <w:r>
        <w:t xml:space="preserve"> </w:t>
      </w:r>
      <w:r>
        <w:t xml:space="preserve">(§8.7): search results identified this as a real, documented category of chemical-WBE Monte Carlo uncertainty studies, but</w:t>
      </w:r>
      <w:r>
        <w:t xml:space="preserve"> </w:t>
      </w:r>
      <w:r>
        <w:rPr>
          <w:bCs/>
          <w:b/>
        </w:rPr>
        <w:t xml:space="preserve">no specific author list, journal, year, or quantitative finding was independently confirmed this session</w:t>
      </w:r>
      <w:r>
        <w:t xml:space="preserve"> </w:t>
      </w:r>
      <w:r>
        <w:t xml:space="preserve">for either study named in the text. These are cited only as evidence that a category of studies exists, not as individually verified sources, and neither has a reference-list entry — do not treat either as a citable, verified source until independently identified and confirmed.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&gt;60–70% nondetect</w:t>
      </w:r>
      <w:r>
        <w:t xml:space="preserve">”</w:t>
      </w:r>
      <w:r>
        <w:t xml:space="preserve"> </w:t>
      </w:r>
      <w:r>
        <w:t xml:space="preserve">heavily-censored threshold cited in the</w:t>
      </w:r>
      <w:r>
        <w:t xml:space="preserve"> </w:t>
      </w:r>
      <w:r>
        <w:t xml:space="preserve">“</w:t>
      </w:r>
      <w:r>
        <w:t xml:space="preserve">How to Report Nondetects</w:t>
      </w:r>
      <w:r>
        <w:t xml:space="preserve">”</w:t>
      </w:r>
      <w:r>
        <w:t xml:space="preserve"> </w:t>
      </w:r>
      <w:r>
        <w:t xml:space="preserve">box as</w:t>
      </w:r>
      <w:r>
        <w:t xml:space="preserve"> </w:t>
      </w:r>
      <w:r>
        <w:t xml:space="preserve">“</w:t>
      </w:r>
      <w:r>
        <w:t xml:space="preserve">general environmental-statistics practice</w:t>
      </w:r>
      <w:r>
        <w:t xml:space="preserve">”</w:t>
      </w:r>
      <w:r>
        <w:t xml:space="preserve"> </w:t>
      </w:r>
      <w:r>
        <w:t xml:space="preserve">— not attributed to a specific WBE source and not independently verified this session; stated as a general methodological convention, not a WBE-specific finding</w:t>
      </w:r>
    </w:p>
    <w:p>
      <w:pPr>
        <w:numPr>
          <w:ilvl w:val="0"/>
          <w:numId w:val="1006"/>
        </w:numPr>
        <w:pStyle w:val="Compact"/>
      </w:pPr>
      <w:r>
        <w:t xml:space="preserve">Jung et al. (2026) rate-constant range, cross-referenced again in §8.3 — see the existing Chapters 3–4 pending item above [9]</w:t>
      </w:r>
    </w:p>
    <w:p>
      <w:pPr>
        <w:numPr>
          <w:ilvl w:val="0"/>
          <w:numId w:val="1006"/>
        </w:numPr>
        <w:pStyle w:val="Compact"/>
      </w:pPr>
      <w:r>
        <w:t xml:space="preserve">Dai et al. (2024) specific predictive-accuracy figures, cross-referenced again in §8.9 — see the existing Chapter 7 pending item above [44]</w:t>
      </w:r>
    </w:p>
    <w:p>
      <w:r>
        <w:pict>
          <v:rect style="width:0;height:1.5pt" o:hralign="center" o:hrstd="t" o:hr="t"/>
        </w:pict>
      </w:r>
    </w:p>
    <w:bookmarkEnd w:id="25"/>
    <w:bookmarkStart w:id="26" w:name="X07c0bc042e890049447e8938f1c172d1fcaea28"/>
    <w:p>
      <w:pPr>
        <w:pStyle w:val="Heading2"/>
      </w:pPr>
      <w:r>
        <w:t xml:space="preserve">Sources with unresolved or incomplete author attribution (across all chapters)</w:t>
      </w:r>
    </w:p>
    <w:p>
      <w:pPr>
        <w:numPr>
          <w:ilvl w:val="0"/>
          <w:numId w:val="1007"/>
        </w:numPr>
        <w:pStyle w:val="Compact"/>
      </w:pPr>
      <w:r>
        <w:t xml:space="preserve">[5] Eurosurveillance (2026) — author list not obtained</w:t>
      </w:r>
    </w:p>
    <w:p>
      <w:pPr>
        <w:numPr>
          <w:ilvl w:val="0"/>
          <w:numId w:val="1007"/>
        </w:numPr>
        <w:pStyle w:val="Compact"/>
      </w:pPr>
      <w:r>
        <w:t xml:space="preserve">[7] Han et al. (2025) — author list truncated (</w:t>
      </w:r>
      <w:r>
        <w:t xml:space="preserve">“</w:t>
      </w:r>
      <w:r>
        <w:t xml:space="preserve">et al.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[19] Cha et al. (2023) — very long author list, truncated (</w:t>
      </w:r>
      <w:r>
        <w:t xml:space="preserve">“</w:t>
      </w:r>
      <w:r>
        <w:t xml:space="preserve">and others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[20] Kim et al. (2022) — author list truncated (</w:t>
      </w:r>
      <w:r>
        <w:t xml:space="preserve">“</w:t>
      </w:r>
      <w:r>
        <w:t xml:space="preserve">et al.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[23] Elbait et al. (2024) — author list truncated (</w:t>
      </w:r>
      <w:r>
        <w:t xml:space="preserve">“</w:t>
      </w:r>
      <w:r>
        <w:t xml:space="preserve">et al.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strike/>
        </w:rPr>
        <w:t xml:space="preserve">[32] Oslo mobile-device study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RESOLVED 2026-07-19</w:t>
      </w:r>
      <w:r>
        <w:t xml:space="preserve">: identified as Baz-Lomba et al. (2019), full 5-author list confirmed; [32b] Thomas et al. (2017) added separately, lead author only confirmed, cited for context only and not conflated with Baz-Lomba’s findings</w:t>
      </w:r>
    </w:p>
    <w:p>
      <w:pPr>
        <w:numPr>
          <w:ilvl w:val="0"/>
          <w:numId w:val="1007"/>
        </w:numPr>
        <w:pStyle w:val="Compact"/>
      </w:pPr>
      <w:r>
        <w:rPr>
          <w:strike/>
        </w:rPr>
        <w:t xml:space="preserve">[31] Been et al. (2014)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RESOLVED 2026-07-12</w:t>
      </w:r>
      <w:r>
        <w:t xml:space="preserve">: full 6-author list confirmed (Been, Rossi, Ort, Rudaz, Delémont, Esseiva)</w:t>
      </w:r>
    </w:p>
    <w:p>
      <w:pPr>
        <w:numPr>
          <w:ilvl w:val="0"/>
          <w:numId w:val="1007"/>
        </w:numPr>
        <w:pStyle w:val="Compact"/>
      </w:pPr>
      <w:r>
        <w:rPr>
          <w:strike/>
        </w:rPr>
        <w:t xml:space="preserve">[33] Southern Ontario 4-biomarker study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RESOLVED 2026-07-19</w:t>
      </w:r>
      <w:r>
        <w:t xml:space="preserve">: identified as Chettleburgh et al. (2023), full 10-author list confirmed via PubMed’s indexed record, and the marker-identity discrepancy retracted as a search-engine-summarization error (confirmed 4 markers: PMMoV, crAssphage, HF183, BacHuman)</w:t>
      </w:r>
    </w:p>
    <w:p>
      <w:pPr>
        <w:numPr>
          <w:ilvl w:val="0"/>
          <w:numId w:val="1007"/>
        </w:numPr>
        <w:pStyle w:val="Compact"/>
      </w:pPr>
      <w:r>
        <w:t xml:space="preserve">[46] Jones et al. (2014) — 6-author list retained from an earlier retrieval this session, not re-confirmed via a second independent search</w:t>
      </w:r>
    </w:p>
    <w:p>
      <w:pPr>
        <w:numPr>
          <w:ilvl w:val="0"/>
          <w:numId w:val="1007"/>
        </w:numPr>
        <w:pStyle w:val="Compact"/>
      </w:pPr>
      <w:r>
        <w:t xml:space="preserve">[47] Yang et al. (2024) — 8-author list retained from an earlier retrieval this session, not re-confirmed via a second independent search</w:t>
      </w:r>
    </w:p>
    <w:bookmarkEnd w:id="26"/>
    <w:bookmarkStart w:id="27" w:name="X896adcb5331e25c2c62281a3fb6af90b58e1eca"/>
    <w:p>
      <w:pPr>
        <w:pStyle w:val="Heading2"/>
      </w:pPr>
      <w:r>
        <w:t xml:space="preserve">Sources considered and explicitly excluded (not cited anywhere in Chapters 1–7)</w:t>
      </w:r>
    </w:p>
    <w:p>
      <w:pPr>
        <w:numPr>
          <w:ilvl w:val="0"/>
          <w:numId w:val="1008"/>
        </w:numPr>
        <w:pStyle w:val="Compact"/>
      </w:pPr>
      <w:r>
        <w:t xml:space="preserve">PMC8772136 / ScienceDirect S0048969722003813 —</w:t>
      </w:r>
      <w:r>
        <w:t xml:space="preserve"> </w:t>
      </w:r>
      <w:r>
        <w:t xml:space="preserve">“</w:t>
      </w:r>
      <w:r>
        <w:t xml:space="preserve">Factors influencing SARS-CoV-2 RNA concentrations in wastewater up to the sampling stage: A systematic review</w:t>
      </w:r>
      <w:r>
        <w:t xml:space="preserve">”</w:t>
      </w:r>
      <w:r>
        <w:t xml:space="preserve"> </w:t>
      </w:r>
      <w:r>
        <w:t xml:space="preserve">(~2022) — author list unconfirmed; relevant to §5, and indirectly to §6’s analytical-variability discussion.</w:t>
      </w:r>
      <w:r>
        <w:t xml:space="preserve"> </w:t>
      </w:r>
      <w:r>
        <w:rPr>
          <w:bCs/>
          <w:b/>
        </w:rPr>
        <w:t xml:space="preserve">Single highest-priority gap to resolve with database access.</w:t>
      </w:r>
    </w:p>
    <w:bookmarkEnd w:id="27"/>
    <w:bookmarkStart w:id="28" w:name="X38d6e3ce937f57045dd159f408ab3f1f54ae221"/>
    <w:p>
      <w:pPr>
        <w:pStyle w:val="Heading2"/>
      </w:pPr>
      <w:r>
        <w:t xml:space="preserve">Items from the user’s original project outline still not independently checked</w:t>
      </w:r>
    </w:p>
    <w:p>
      <w:pPr>
        <w:numPr>
          <w:ilvl w:val="0"/>
          <w:numId w:val="1009"/>
        </w:numPr>
        <w:pStyle w:val="Compact"/>
      </w:pPr>
      <w:r>
        <w:rPr>
          <w:strike/>
        </w:rPr>
        <w:t xml:space="preserve">PubMed 41260128 —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From wastewater to epidemiological insights: A systematic…</w:t>
      </w:r>
      <w:r>
        <w:rPr>
          <w:strike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RESOLVED</w:t>
      </w:r>
      <w:r>
        <w:t xml:space="preserve">: identified and cited as [40] Wang, Amarasiri, Oishi, &amp; Sano (2025),</w:t>
      </w:r>
      <w:r>
        <w:t xml:space="preserve"> </w:t>
      </w:r>
      <w:r>
        <w:rPr>
          <w:iCs/>
          <w:i/>
        </w:rPr>
        <w:t xml:space="preserve">Water Research</w:t>
      </w:r>
      <w:r>
        <w:t xml:space="preserve">, in §7.1.2.</w:t>
      </w:r>
    </w:p>
    <w:p>
      <w:pPr>
        <w:numPr>
          <w:ilvl w:val="0"/>
          <w:numId w:val="1009"/>
        </w:numPr>
        <w:pStyle w:val="Compact"/>
      </w:pPr>
      <w:r>
        <w:t xml:space="preserve">arXiv 2506.14331 — sampler placement optimization — relevant to §5.1; this review’s sampling-location argument was developed independently without drawing on this source, and cross-checking for consistency is recommended once accessible</w:t>
      </w:r>
    </w:p>
    <w:p>
      <w:pPr>
        <w:numPr>
          <w:ilvl w:val="0"/>
          <w:numId w:val="1009"/>
        </w:numPr>
        <w:pStyle w:val="Compact"/>
      </w:pPr>
      <w:r>
        <w:t xml:space="preserve">PMC12005304 — wastewater-based epidemiology health equity — relevant to the not-yet-drafted §9 (public health translation/equity)</w:t>
      </w:r>
    </w:p>
    <w:p>
      <w:r>
        <w:pict>
          <v:rect style="width:0;height:1.5pt" o:hralign="center" o:hrstd="t" o:hr="t"/>
        </w:pict>
      </w:r>
    </w:p>
    <w:bookmarkEnd w:id="28"/>
    <w:bookmarkStart w:id="29" w:name="how-to-close-this-list"/>
    <w:p>
      <w:pPr>
        <w:pStyle w:val="Heading2"/>
      </w:pPr>
      <w:r>
        <w:t xml:space="preserve">How to close this list</w:t>
      </w:r>
    </w:p>
    <w:p>
      <w:pPr>
        <w:pStyle w:val="FirstParagraph"/>
      </w:pPr>
      <w:r>
        <w:t xml:space="preserve">Every item above requires one of: (a) direct database/publisher access (Web of Science, Scopus, or institutional access to ScienceDirect/PMC/Water Research/ES&amp;T, since this session’s WebFetch and Crossref-API access were both blocked throughout); or (b) the user independently confirming a figure and reporting it back. Until then, this list — not the main text’s prose, however confidently worded — is the authoritative record of what remains unverified in this review.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2026-07-13T03:26:14Z</dcterms:created>
  <dcterms:modified xsi:type="dcterms:W3CDTF">2026-07-13T03:26:14Z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