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10-evidence-note-wbe-review"/>
    <w:p>
      <w:pPr>
        <w:pStyle w:val="Heading1"/>
      </w:pPr>
      <w:r>
        <w:t xml:space="preserve">Chapter 10 Evidence Note — WBE Review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A lighter-weight companion than</w:t>
      </w:r>
      <w:r>
        <w:t xml:space="preserve"> </w:t>
      </w:r>
      <w:r>
        <w:rPr>
          <w:rStyle w:val="VerbatimChar"/>
        </w:rPr>
        <w:t xml:space="preserve">WBE_Review_Ch9_Claim_Audit.md</w:t>
      </w:r>
      <w:r>
        <w:t xml:space="preserve">’s full paragraph-by-paragraph audit, per this round’s request — this note summarizes Chapter 10’s evidence base, its six explicit evidence-discipline commitments, and the one documented citogenesis catch, without re-deriving a per-paragraph table.</w:t>
      </w:r>
    </w:p>
    <w:bookmarkStart w:id="20" w:name="reference-summary"/>
    <w:p>
      <w:pPr>
        <w:pStyle w:val="Heading2"/>
      </w:pPr>
      <w:r>
        <w:t xml:space="preserve">Reference summary</w:t>
      </w:r>
    </w:p>
    <w:p>
      <w:pPr>
        <w:pStyle w:val="FirstParagraph"/>
      </w:pPr>
      <w:r>
        <w:t xml:space="preserve">Chapter 10 adds 8 new references, [60]–[67], all first-cited in this chapter (no reuse of Chapters 1–9’s existing references as new citation instances — see the Evidence Freeze Audit §1’s cross-chapter-reuse note).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Schang et al. 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WBE original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(23 authors, dedicated re-search)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 et al. 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Systematic review / secondary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(9 authors)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Sharma et al. 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WBE original study (laboratory)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(4 authors)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Pagsuyoin et al. 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Systematic review / secondary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(4 authors)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Keenum et al. 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/ policy / secondary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Unresolved (duplicated</w:t>
            </w:r>
            <w:r>
              <w:t xml:space="preserve"> </w:t>
            </w:r>
            <w:r>
              <w:t xml:space="preserve">“</w:t>
            </w:r>
            <w:r>
              <w:t xml:space="preserve">Gushgari</w:t>
            </w:r>
            <w:r>
              <w:t xml:space="preserve">”</w:t>
            </w:r>
            <w:r>
              <w:t xml:space="preserve"> </w:t>
            </w:r>
            <w:r>
              <w:t xml:space="preserve">surname)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 et al. 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(non-WBE) methodological literature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(11 authors)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Therrien et al.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WBE original study (infrastructure)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(8 authors)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Malcom &amp; Bowes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Systematic review / secondary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(2 authors)</w:t>
            </w:r>
          </w:p>
        </w:tc>
      </w:tr>
    </w:tbl>
    <w:p>
      <w:pPr>
        <w:pStyle w:val="BodyText"/>
      </w:pPr>
      <w:r>
        <w:rPr>
          <w:bCs/>
          <w:b/>
        </w:rPr>
        <w:t xml:space="preserve">7 of 8 (88%) fully metadata-verified on search</w:t>
      </w:r>
      <w:r>
        <w:t xml:space="preserve"> </w:t>
      </w:r>
      <w:r>
        <w:t xml:space="preserve">— a higher first-pass hit rate than Chapter 9’s.</w:t>
      </w:r>
      <w:r>
        <w:t xml:space="preserve"> </w:t>
      </w:r>
      <w:r>
        <w:rPr>
          <w:bCs/>
          <w:b/>
        </w:rPr>
        <w:t xml:space="preserve">Zero of the 8 are preprints</w:t>
      </w:r>
      <w:r>
        <w:t xml:space="preserve"> </w:t>
      </w:r>
      <w:r>
        <w:t xml:space="preserve">— every Chapter 10 citation is a peer-reviewed journal article (</w:t>
      </w:r>
      <w:r>
        <w:rPr>
          <w:iCs/>
          <w:i/>
        </w:rPr>
        <w:t xml:space="preserve">Environmental Science &amp; Technology</w:t>
      </w:r>
      <w:r>
        <w:t xml:space="preserve"> </w:t>
      </w:r>
      <w:r>
        <w:t xml:space="preserve">×2,</w:t>
      </w:r>
      <w:r>
        <w:t xml:space="preserve"> </w:t>
      </w:r>
      <w:r>
        <w:rPr>
          <w:iCs/>
          <w:i/>
        </w:rPr>
        <w:t xml:space="preserve">Biosensors</w:t>
      </w:r>
      <w:r>
        <w:t xml:space="preserve">,</w:t>
      </w:r>
      <w:r>
        <w:t xml:space="preserve"> </w:t>
      </w:r>
      <w:r>
        <w:rPr>
          <w:iCs/>
          <w:i/>
        </w:rPr>
        <w:t xml:space="preserve">Risk Analysis</w:t>
      </w:r>
      <w:r>
        <w:t xml:space="preserve">,</w:t>
      </w:r>
      <w:r>
        <w:t xml:space="preserve"> </w:t>
      </w:r>
      <w:r>
        <w:rPr>
          <w:iCs/>
          <w:i/>
        </w:rPr>
        <w:t xml:space="preserve">American Journal of Public Health</w:t>
      </w:r>
      <w:r>
        <w:t xml:space="preserve">,</w:t>
      </w:r>
      <w:r>
        <w:t xml:space="preserve"> </w:t>
      </w:r>
      <w:r>
        <w:rPr>
          <w:iCs/>
          <w:i/>
        </w:rPr>
        <w:t xml:space="preserve">Water</w:t>
      </w:r>
      <w:r>
        <w:t xml:space="preserve">,</w:t>
      </w:r>
      <w:r>
        <w:t xml:space="preserve"> </w:t>
      </w:r>
      <w:r>
        <w:rPr>
          <w:iCs/>
          <w:i/>
        </w:rPr>
        <w:t xml:space="preserve">Microorganisms</w:t>
      </w:r>
      <w:r>
        <w:t xml:space="preserve"> </w:t>
      </w:r>
      <w:r>
        <w:t xml:space="preserve">×2), a deliberate improvement over Chapter 9’s necessarily preprint-inclusive alert-detection evidence base and a direct fulfillment of this chapter’s own stated discipline (</w:t>
      </w:r>
      <w:r>
        <w:t xml:space="preserve">“</w:t>
      </w:r>
      <w:r>
        <w:t xml:space="preserve">no preprint solely supports a key conclusion</w:t>
      </w:r>
      <w:r>
        <w:t xml:space="preserve">”</w:t>
      </w:r>
      <w:r>
        <w:t xml:space="preserve">).</w:t>
      </w:r>
    </w:p>
    <w:bookmarkEnd w:id="20"/>
    <w:bookmarkStart w:id="21" w:name="Xd4d63b7f1403957fff571d104a2a51fc20deab2"/>
    <w:p>
      <w:pPr>
        <w:pStyle w:val="Heading2"/>
      </w:pPr>
      <w:r>
        <w:t xml:space="preserve">The six evidence-discipline commitments, and how each was honored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 new citation marks its evidence level explicitly</w:t>
      </w:r>
      <w:r>
        <w:t xml:space="preserve"> </w:t>
      </w:r>
      <w:r>
        <w:t xml:space="preserve">— done throughout §10.1–10.9’s prose and in the table above; no citation in Chapter 10 is presented without an evidence-type label.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unverified market size, cost, sensitivity, or deployment-count figure appears</w:t>
      </w:r>
      <w:r>
        <w:t xml:space="preserve"> </w:t>
      </w:r>
      <w:r>
        <w:t xml:space="preserve">— every specific number in Chapter 10 (e.g., [60]’s prevalence-detection floor, [61]’s</w:t>
      </w:r>
      <w:r>
        <w:t xml:space="preserve"> </w:t>
      </w:r>
      <w:r>
        <w:t xml:space="preserve">“</w:t>
      </w:r>
      <w:r>
        <w:t xml:space="preserve">58 of 147</w:t>
      </w:r>
      <w:r>
        <w:t xml:space="preserve">”</w:t>
      </w:r>
      <w:r>
        <w:t xml:space="preserve"> </w:t>
      </w:r>
      <w:r>
        <w:t xml:space="preserve">ML-adoption figure, [62]’s turnaround time) is explicitly flagged</w:t>
      </w:r>
      <w:r>
        <w:t xml:space="preserve"> </w:t>
      </w:r>
      <w:r>
        <w:t xml:space="preserve">“</w:t>
      </w:r>
      <w:r>
        <w:t xml:space="preserve">pending full-text verification</w:t>
      </w:r>
      <w:r>
        <w:t xml:space="preserve">”</w:t>
      </w:r>
      <w:r>
        <w:t xml:space="preserve"> </w:t>
      </w:r>
      <w:r>
        <w:t xml:space="preserve">at first mention, consistent with the rest of this review, and none is asserted as a settled fact anywhere in the chapter or in Table 8.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preprint solely supports a key conclusion</w:t>
      </w:r>
      <w:r>
        <w:t xml:space="preserve"> </w:t>
      </w:r>
      <w:r>
        <w:t xml:space="preserve">— verified structurally: zero preprints appear anywhere in Chapter 10’s reference list (contrast Chapter 9, which necessarily included two, one later withdrawn).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institutional project webpage is treated as proof of technical performance</w:t>
      </w:r>
      <w:r>
        <w:t xml:space="preserve"> </w:t>
      </w:r>
      <w:r>
        <w:t xml:space="preserve">— [64] (the one institutional/policy-adjacent source) is cited only for its standardization/proficiency-testing</w:t>
      </w:r>
      <w:r>
        <w:t xml:space="preserve"> </w:t>
      </w:r>
      <w:r>
        <w:rPr>
          <w:iCs/>
          <w:i/>
        </w:rPr>
        <w:t xml:space="preserve">argument</w:t>
      </w:r>
      <w:r>
        <w:t xml:space="preserve">, never as evidence that any specific reference material or proficiency-testing program has been shown to work; §10.6’s prose explicitly separates the argument from a performance claim.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detection-capability paper is treated as automatically establishing epidemiological inference capability</w:t>
      </w:r>
      <w:r>
        <w:t xml:space="preserve"> </w:t>
      </w:r>
      <w:r>
        <w:t xml:space="preserve">— this is §10.2’s, §10.4’s, and §10.5’s explicit, repeated argument (a biosensor detecting a target is not the same as that detection informing a population-level inference), and §10.10’s technology-readiness framework formalizes the distinction structurally rather than leaving it as a one-off caveat.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future</w:t>
      </w:r>
      <w:r>
        <w:rPr>
          <w:bCs/>
          <w:b/>
        </w:rPr>
        <w:t xml:space="preserve">”</w:t>
      </w:r>
      <w:r>
        <w:rPr>
          <w:bCs/>
          <w:b/>
        </w:rPr>
        <w:t xml:space="preserve">/</w:t>
      </w:r>
      <w:r>
        <w:rPr>
          <w:bCs/>
          <w:b/>
        </w:rPr>
        <w:t xml:space="preserve">“</w:t>
      </w:r>
      <w:r>
        <w:rPr>
          <w:bCs/>
          <w:b/>
        </w:rPr>
        <w:t xml:space="preserve">emerging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judgment distinguishes technically possible, field-demonstrated, operationally deployed, and decision-value-validated</w:t>
      </w:r>
      <w:r>
        <w:t xml:space="preserve"> </w:t>
      </w:r>
      <w:r>
        <w:t xml:space="preserve">— this is §10.10’s entire content, and Table 8’s</w:t>
      </w:r>
      <w:r>
        <w:t xml:space="preserve"> </w:t>
      </w:r>
      <w:r>
        <w:t xml:space="preserve">“</w:t>
      </w:r>
      <w:r>
        <w:t xml:space="preserve">Readiness level (this review’s assessment)</w:t>
      </w:r>
      <w:r>
        <w:t xml:space="preserve">”</w:t>
      </w:r>
      <w:r>
        <w:t xml:space="preserve"> </w:t>
      </w:r>
      <w:r>
        <w:t xml:space="preserve">column applies the distinction to every technology surveyed in the chapter, finding none confidently above level 3–4 for routine public-health use — a finding stated directly in §10.10’s closing paragraph, not left implicit.</w:t>
      </w:r>
    </w:p>
    <w:bookmarkEnd w:id="21"/>
    <w:bookmarkStart w:id="22" w:name="the-one-documented-citogenesis-catch"/>
    <w:p>
      <w:pPr>
        <w:pStyle w:val="Heading2"/>
      </w:pPr>
      <w:r>
        <w:t xml:space="preserve">The one documented citogenesis catch</w:t>
      </w:r>
    </w:p>
    <w:p>
      <w:pPr>
        <w:pStyle w:val="FirstParagraph"/>
      </w:pPr>
      <w:r>
        <w:t xml:space="preserve">An initial search summary for [60] attributed the paper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Moore et al.</w:t>
      </w:r>
      <w:r>
        <w:rPr>
          <w:bCs/>
          <w:b/>
        </w:rPr>
        <w:t xml:space="preserve">”</w:t>
      </w:r>
      <w:r>
        <w:t xml:space="preserve"> </w:t>
      </w:r>
      <w:r>
        <w:t xml:space="preserve">On inspection, this was identified as a citogenesis artifact: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Moore swab</w:t>
      </w:r>
      <w:r>
        <w:rPr>
          <w:bCs/>
          <w:b/>
        </w:rPr>
        <w:t xml:space="preserve">”</w:t>
      </w:r>
      <w:r>
        <w:t xml:space="preserve"> </w:t>
      </w:r>
      <w:r>
        <w:t xml:space="preserve">is a historically named passive-sampling</w:t>
      </w:r>
      <w:r>
        <w:t xml:space="preserve"> </w:t>
      </w:r>
      <w:r>
        <w:rPr>
          <w:iCs/>
          <w:i/>
        </w:rPr>
        <w:t xml:space="preserve">method</w:t>
      </w:r>
      <w:r>
        <w:t xml:space="preserve"> </w:t>
      </w:r>
      <w:r>
        <w:t xml:space="preserve">(unrelated to this specific 2021 paper’s authorship), and the search tool’s synthesis had conflated the method’s namesake with the paper’s actual author list. A dedicated re-search confirmed the correct, independently-verifiable first author as</w:t>
      </w:r>
      <w:r>
        <w:t xml:space="preserve"> </w:t>
      </w:r>
      <w:r>
        <w:rPr>
          <w:bCs/>
          <w:b/>
        </w:rPr>
        <w:t xml:space="preserve">Christelle Schang</w:t>
      </w:r>
      <w:r>
        <w:t xml:space="preserve">, with a full 23-author list. This is recorded here — and in</w:t>
      </w:r>
      <w:r>
        <w:t xml:space="preserve"> </w:t>
      </w:r>
      <w:r>
        <w:rPr>
          <w:rStyle w:val="VerbatimChar"/>
        </w:rPr>
        <w:t xml:space="preserve">WBE_Review_References.md</w:t>
      </w:r>
      <w:r>
        <w:t xml:space="preserve">, the Citation Verification Table, and Chapter 10’s own §10.0 status note — as a positive instance of this review’s citation-verification discipline catching an error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it entered the main text, consistent with the same discipline that has previously caught and corrected author-order errors (Ahmed et al. [18], Zafeiriadou et al. [22]) and a misattributed lead author (McMahan et al. [42], previously mis-cited as</w:t>
      </w:r>
      <w:r>
        <w:t xml:space="preserve"> </w:t>
      </w:r>
      <w:r>
        <w:t xml:space="preserve">“</w:t>
      </w:r>
      <w:r>
        <w:t xml:space="preserve">Nourbakhsh et al.</w:t>
      </w:r>
      <w:r>
        <w:t xml:space="preserve">”</w:t>
      </w:r>
      <w:r>
        <w:t xml:space="preserve"> </w:t>
      </w:r>
      <w:r>
        <w:t xml:space="preserve">in an earlier project round).</w:t>
      </w:r>
    </w:p>
    <w:bookmarkEnd w:id="22"/>
    <w:bookmarkStart w:id="23" w:name="figuretable-budget-decision"/>
    <w:p>
      <w:pPr>
        <w:pStyle w:val="Heading2"/>
      </w:pPr>
      <w:r>
        <w:t xml:space="preserve">Figure/table budget decision</w:t>
      </w:r>
    </w:p>
    <w:p>
      <w:pPr>
        <w:pStyle w:val="FirstParagraph"/>
      </w:pPr>
      <w:r>
        <w:t xml:space="preserve">No new Figure was added for Chapter 10, despite §10.10’s suggestion of a possible</w:t>
      </w:r>
      <w:r>
        <w:t xml:space="preserve"> </w:t>
      </w:r>
      <w:r>
        <w:t xml:space="preserve">“</w:t>
      </w:r>
      <w:r>
        <w:t xml:space="preserve">technology-readiness pathway</w:t>
      </w:r>
      <w:r>
        <w:t xml:space="preserve">”</w:t>
      </w:r>
      <w:r>
        <w:t xml:space="preserve"> </w:t>
      </w:r>
      <w:r>
        <w:t xml:space="preserve">figure. This review’s document already carries 7 tables (Table 1–7), 3 figures (Figure 1–3), and 4 boxes as of Chapter 9; adding a fourth figure was judged, on this round’s explicit instruction to check total figure/table count and length pressure, to push the document further from a plausible Water Research submission length without adding information not already captured by Table 8 and the accompanying Box. Table 8 and one Box were added; no Figure was.</w:t>
      </w:r>
    </w:p>
    <w:bookmarkEnd w:id="23"/>
    <w:bookmarkStart w:id="24" w:name="what-remains-open"/>
    <w:p>
      <w:pPr>
        <w:pStyle w:val="Heading2"/>
      </w:pPr>
      <w:r>
        <w:t xml:space="preserve">What remains open</w:t>
      </w:r>
    </w:p>
    <w:p>
      <w:pPr>
        <w:pStyle w:val="FirstParagraph"/>
      </w:pPr>
      <w:r>
        <w:t xml:space="preserve">Every</w:t>
      </w:r>
      <w:r>
        <w:t xml:space="preserve"> </w:t>
      </w:r>
      <w:r>
        <w:t xml:space="preserve">“</w:t>
      </w:r>
      <w:r>
        <w:t xml:space="preserve">pending full-text verification</w:t>
      </w:r>
      <w:r>
        <w:t xml:space="preserve">”</w:t>
      </w:r>
      <w:r>
        <w:t xml:space="preserve"> </w:t>
      </w:r>
      <w:r>
        <w:t xml:space="preserve">figure named in the main text is also tracked in the Chapter 10 section of</w:t>
      </w:r>
      <w:r>
        <w:t xml:space="preserve"> </w:t>
      </w:r>
      <w:r>
        <w:rPr>
          <w:rStyle w:val="VerbatimChar"/>
        </w:rPr>
        <w:t xml:space="preserve">WBE_Review_Pending_Verification_List.md</w:t>
      </w:r>
      <w:r>
        <w:t xml:space="preserve">, including [64]’s author-list inconsistency and the absence of a dedicated climate-transfer-validation citation for §10.9 (stated explicitly as a gap in-text rather than filled with an unrelated source). None of these open items block Chapter 10’s own internal argument, which is deliberately built to hold even where a specific supporting figure remains unconfirmed — the chapter’s central claims are about evidentiary</w:t>
      </w:r>
      <w:r>
        <w:t xml:space="preserve"> </w:t>
      </w:r>
      <w:r>
        <w:rPr>
          <w:iCs/>
          <w:i/>
        </w:rPr>
        <w:t xml:space="preserve">structure</w:t>
      </w:r>
      <w:r>
        <w:t xml:space="preserve"> </w:t>
      </w:r>
      <w:r>
        <w:t xml:space="preserve">(which maturity level a technology has reached) rather than about any single number.</w:t>
      </w:r>
    </w:p>
    <w:bookmarkEnd w:id="24"/>
    <w:bookmarkEnd w:id="25"/>
    <w:sectPr>
      <w:pgSz w:h="15840" w:w="12240"/>
      <w:pgMar w:bottom="1008" w:left="864" w:right="864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2026-07-18T08:56:50Z</dcterms:created>
  <dcterms:modified xsi:type="dcterms:W3CDTF">2026-07-18T08:56:50Z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