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85a7666e79178d17e91004dcd559793eb48b3e"/>
    <w:p>
      <w:pPr>
        <w:pStyle w:val="Heading1"/>
      </w:pPr>
      <w:r>
        <w:t xml:space="preserve">Citation Verification Table — WBE Review, Chapters 1–10</w:t>
      </w:r>
    </w:p>
    <w:p>
      <w:pPr>
        <w:pStyle w:val="FirstParagraph"/>
      </w:pPr>
      <w:r>
        <w:rPr>
          <w:bCs/>
          <w:b/>
        </w:rPr>
        <w:t xml:space="preserve">How to read this table.</w:t>
      </w:r>
      <w:r>
        <w:t xml:space="preserve"> </w:t>
      </w:r>
      <w:r>
        <w:t xml:space="preserve">“</w:t>
      </w:r>
      <w:r>
        <w:t xml:space="preserve">Metadata status</w:t>
      </w:r>
      <w:r>
        <w:t xml:space="preserve">”</w:t>
      </w:r>
      <w:r>
        <w:t xml:space="preserve"> </w:t>
      </w:r>
      <w:r>
        <w:t xml:space="preserve">= confidence in author/journal/year/DOI, based on cross-referencing ≥2 independent web-search result sets this session.</w:t>
      </w:r>
      <w:r>
        <w:t xml:space="preserve"> </w:t>
      </w:r>
      <w:r>
        <w:t xml:space="preserve">“</w:t>
      </w:r>
      <w:r>
        <w:t xml:space="preserve">Claim status</w:t>
      </w:r>
      <w:r>
        <w:t xml:space="preserve">”</w:t>
      </w:r>
      <w:r>
        <w:t xml:space="preserve"> </w:t>
      </w:r>
      <w:r>
        <w:t xml:space="preserve">= confidence in the</w:t>
      </w:r>
      <w:r>
        <w:t xml:space="preserve"> </w:t>
      </w:r>
      <w:r>
        <w:rPr>
          <w:iCs/>
          <w:i/>
        </w:rPr>
        <w:t xml:space="preserve">specific quantitative or factual claim</w:t>
      </w:r>
      <w:r>
        <w:t xml:space="preserve"> </w:t>
      </w:r>
      <w:r>
        <w:t xml:space="preserve">attributed to the source in the main text, given that</w:t>
      </w:r>
      <w:r>
        <w:t xml:space="preserve"> </w:t>
      </w:r>
      <w:r>
        <w:rPr>
          <w:bCs/>
          <w:b/>
        </w:rPr>
        <w:t xml:space="preserve">no source was read in full text this session</w:t>
      </w:r>
      <w:r>
        <w:t xml:space="preserve"> </w:t>
      </w:r>
      <w:r>
        <w:t xml:space="preserve">(WebFetch returned HTTP 403 for every publisher domain attempted — PMC, MDPI, PLOS, and DOI-resolved links all failed). Treat every</w:t>
      </w:r>
      <w:r>
        <w:t xml:space="preserve"> </w:t>
      </w:r>
      <w:r>
        <w:t xml:space="preserve">“</w:t>
      </w:r>
      <w:r>
        <w:t xml:space="preserve">待全文核实 / Pending full-text check</w:t>
      </w:r>
      <w:r>
        <w:t xml:space="preserve">”</w:t>
      </w:r>
      <w:r>
        <w:t xml:space="preserve"> </w:t>
      </w:r>
      <w:r>
        <w:t xml:space="preserve">row as</w:t>
      </w:r>
      <w:r>
        <w:t xml:space="preserve"> </w:t>
      </w:r>
      <w:r>
        <w:rPr>
          <w:bCs/>
          <w:b/>
        </w:rPr>
        <w:t xml:space="preserve">not yet citable in a submission draft</w:t>
      </w:r>
      <w:r>
        <w:t xml:space="preserve"> </w:t>
      </w:r>
      <w:r>
        <w:t xml:space="preserve">without independent confirmation.</w:t>
      </w:r>
    </w:p>
    <w:p>
      <w:pPr>
        <w:pStyle w:val="BodyText"/>
      </w:pPr>
      <w:r>
        <w:rPr>
          <w:bCs/>
          <w:b/>
        </w:rPr>
        <w:t xml:space="preserve">Revision history:</w:t>
      </w:r>
      <w:r>
        <w:t xml:space="preserve"> </w:t>
      </w:r>
      <w:r>
        <w:t xml:space="preserve">rows [1]–[17] with Chapters 1–4; rows [18]–[25] added with Chapter 5 (two author-order conflicts, [18] and [22], later resolved). Rows [26]–[34] added with Chapter 6, including an</w:t>
      </w:r>
      <w:r>
        <w:t xml:space="preserve"> </w:t>
      </w:r>
      <w:r>
        <w:t xml:space="preserve">“</w:t>
      </w:r>
      <w:r>
        <w:t xml:space="preserve">Evidence type</w:t>
      </w:r>
      <w:r>
        <w:t xml:space="preserve">”</w:t>
      </w:r>
      <w:r>
        <w:t xml:space="preserve"> </w:t>
      </w:r>
      <w:r>
        <w:t xml:space="preserve">classification added to every row in this table (not just the new ones). Rows [35]–[40] added with Chapter 7 (first pass).</w:t>
      </w:r>
      <w:r>
        <w:t xml:space="preserve"> </w:t>
      </w:r>
      <w:r>
        <w:rPr>
          <w:bCs/>
          <w:b/>
        </w:rPr>
        <w:t xml:space="preserve">2026-07-19 correction round:</w:t>
      </w:r>
      <w:r>
        <w:t xml:space="preserve"> </w:t>
      </w:r>
      <w:r>
        <w:t xml:space="preserve">[32] and [33] fully resolved (author lists confirmed, and [33]’s marker-identity discrepancy retracted as a search-engine error superseded by the formal PubMed record); [32b] added (Thomas et al., 2017, cited for context alongside [32]); rows [41]–[45] added to expand the Chapter 7 method-family evidence base per instruction; evidence-type labels for [34], [37], [39], [40] tightened to explicit categories (systematic review/secondary evidence; general methodological evidence, non-WBE; primary WBE methodological/modelling study).</w:t>
      </w:r>
      <w:r>
        <w:t xml:space="preserve"> </w:t>
      </w:r>
      <w:r>
        <w:rPr>
          <w:bCs/>
          <w:b/>
        </w:rPr>
        <w:t xml:space="preserve">Rows [46]–[48] added with Chapter 8</w:t>
      </w:r>
      <w:r>
        <w:t xml:space="preserve"> </w:t>
      </w:r>
      <w:r>
        <w:t xml:space="preserve">(uncertainty propagation).</w:t>
      </w:r>
      <w:r>
        <w:t xml:space="preserve"> </w:t>
      </w:r>
      <w:r>
        <w:rPr>
          <w:bCs/>
          <w:b/>
        </w:rPr>
        <w:t xml:space="preserve">2026-07-13 consistency-check round:</w:t>
      </w:r>
      <w:r>
        <w:t xml:space="preserve"> </w:t>
      </w:r>
      <w:r>
        <w:t xml:space="preserve">rows [49]–[50] added, naming the two chemical-WBE Monte Carlo studies §8.7 previously referenced without citation; [45] Alhassan et al.’s in-text year resolved from</w:t>
      </w:r>
      <w:r>
        <w:t xml:space="preserve"> </w:t>
      </w:r>
      <w:r>
        <w:t xml:space="preserve">“</w:t>
      </w:r>
      <w:r>
        <w:t xml:space="preserve">2025/2026</w:t>
      </w:r>
      <w:r>
        <w:t xml:space="preserve">”</w:t>
      </w:r>
      <w:r>
        <w:t xml:space="preserve"> </w:t>
      </w:r>
      <w:r>
        <w:t xml:space="preserve">to 2025.</w:t>
      </w:r>
      <w:r>
        <w:t xml:space="preserve"> </w:t>
      </w:r>
      <w:r>
        <w:rPr>
          <w:bCs/>
          <w:b/>
        </w:rPr>
        <w:t xml:space="preserve">2026-07-14: rows [51]–[59] added with Chapter 9</w:t>
      </w:r>
      <w:r>
        <w:t xml:space="preserve"> </w:t>
      </w:r>
      <w:r>
        <w:t xml:space="preserve">(public-health integration and decision-making).</w:t>
      </w:r>
      <w:r>
        <w:t xml:space="preserve"> </w:t>
      </w:r>
      <w:r>
        <w:rPr>
          <w:bCs/>
          <w:b/>
        </w:rPr>
        <w:t xml:space="preserve">2026-07-18 Chapter 9 consistency-audit round:</w:t>
      </w:r>
      <w:r>
        <w:t xml:space="preserve"> </w:t>
      </w:r>
      <w:r>
        <w:t xml:space="preserve">[56] re-searched and WITHDRAWN (still only single-search-result corroboration even for a co-author’s name); [57] re-searched and upgraded (both named authors now independently corroborated across two separate searches).</w:t>
      </w:r>
      <w:r>
        <w:t xml:space="preserve"> </w:t>
      </w:r>
      <w:r>
        <w:rPr>
          <w:bCs/>
          <w:b/>
        </w:rPr>
        <w:t xml:space="preserve">Rows [60]–[67] added the same round with Chapter 10</w:t>
      </w:r>
      <w:r>
        <w:t xml:space="preserve"> </w:t>
      </w:r>
      <w:r>
        <w:t xml:space="preserve">— 8 sources, all peer-reviewed journal articles (deliberately zero preprints), one ([64]) carrying an unresolved internal author-list inconsistency.</w:t>
      </w:r>
      <w:r>
        <w:t xml:space="preserve"> </w:t>
      </w:r>
      <w:r>
        <w:rPr>
          <w:bCs/>
          <w:b/>
        </w:rPr>
        <w:t xml:space="preserve">[60]’s citation-verification process caught and corrected a citogenesis error before it entered the main text</w:t>
      </w:r>
      <w:r>
        <w:t xml:space="preserve"> </w:t>
      </w:r>
      <w:r>
        <w:t xml:space="preserve">— an initial search summary attributed the source to</w:t>
      </w:r>
      <w:r>
        <w:t xml:space="preserve"> </w:t>
      </w:r>
      <w:r>
        <w:t xml:space="preserve">“</w:t>
      </w:r>
      <w:r>
        <w:t xml:space="preserve">Moore et al.</w:t>
      </w:r>
      <w:r>
        <w:t xml:space="preserve">”</w:t>
      </w:r>
      <w:r>
        <w:t xml:space="preserve"> </w:t>
      </w:r>
      <w:r>
        <w:t xml:space="preserve">(confusing the historically-named</w:t>
      </w:r>
      <w:r>
        <w:t xml:space="preserve"> </w:t>
      </w:r>
      <w:r>
        <w:t xml:space="preserve">“</w:t>
      </w:r>
      <w:r>
        <w:t xml:space="preserve">Moore swab</w:t>
      </w:r>
      <w:r>
        <w:t xml:space="preserve">”</w:t>
      </w:r>
      <w:r>
        <w:t xml:space="preserve"> </w:t>
      </w:r>
      <w:r>
        <w:t xml:space="preserve">method with this specific paper’s authorship); the correct author list (Schang et al., 23 authors) was confirmed via dedicated re-search. Total reference numbers issued: 68 ([1]–[67] plus [32b]); active/citable: 67.</w:t>
      </w:r>
    </w:p>
    <w:p>
      <w:pPr>
        <w:pStyle w:val="BodyText"/>
      </w:pPr>
      <w:r>
        <w:t xml:space="preserve">Legend: ✅ = high confidence · ⚠ = moderate confidence, snippet-derived · ⛔ = withdrawn, do not cite (metadata below this table’s minimum bar) · ❌ = could not verify / excluded</w:t>
      </w:r>
    </w:p>
    <w:p>
      <w:r>
        <w:pict>
          <v:rect style="width:0;height:1.5pt" o:hralign="center" o:hrstd="t" o:hr="t"/>
        </w:pic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Source (short)</w:t>
            </w:r>
          </w:p>
        </w:tc>
        <w:tc>
          <w:tcPr/>
          <w:p>
            <w:pPr>
              <w:pStyle w:val="Compact"/>
              <w:jc w:val="left"/>
            </w:pPr>
            <w:r>
              <w:t xml:space="preserve">Evidence type</w:t>
            </w:r>
          </w:p>
        </w:tc>
        <w:tc>
          <w:tcPr/>
          <w:p>
            <w:pPr>
              <w:pStyle w:val="Compact"/>
              <w:jc w:val="left"/>
            </w:pPr>
            <w:r>
              <w:t xml:space="preserve">DOI / link</w:t>
            </w:r>
          </w:p>
        </w:tc>
        <w:tc>
          <w:tcPr/>
          <w:p>
            <w:pPr>
              <w:pStyle w:val="Compact"/>
              <w:jc w:val="left"/>
            </w:pPr>
            <w:r>
              <w:t xml:space="preserve">Specific claim it supports in text</w:t>
            </w:r>
          </w:p>
        </w:tc>
        <w:tc>
          <w:tcPr/>
          <w:p>
            <w:pPr>
              <w:pStyle w:val="Compact"/>
              <w:jc w:val="left"/>
            </w:pPr>
            <w:r>
              <w:t xml:space="preserve">Metadata status</w:t>
            </w:r>
          </w:p>
        </w:tc>
        <w:tc>
          <w:tcPr/>
          <w:p>
            <w:pPr>
              <w:pStyle w:val="Compact"/>
              <w:jc w:val="left"/>
            </w:pPr>
            <w:r>
              <w:t xml:space="preserve">Claim status</w:t>
            </w:r>
          </w:p>
        </w:tc>
      </w:tr>
      <w:tr>
        <w:tc>
          <w:tcPr/>
          <w:p>
            <w:pPr>
              <w:pStyle w:val="Compact"/>
              <w:jc w:val="left"/>
            </w:pPr>
            <w:r>
              <w:t xml:space="preserve">[1]</w:t>
            </w:r>
          </w:p>
        </w:tc>
        <w:tc>
          <w:tcPr/>
          <w:p>
            <w:pPr>
              <w:pStyle w:val="Compact"/>
              <w:jc w:val="left"/>
            </w:pPr>
            <w:r>
              <w:t xml:space="preserve">Blue Community (2025)</w:t>
            </w:r>
          </w:p>
        </w:tc>
        <w:tc>
          <w:tcPr/>
          <w:p>
            <w:pPr>
              <w:pStyle w:val="Compact"/>
              <w:jc w:val="left"/>
            </w:pPr>
            <w:r>
              <w:t xml:space="preserve">Secondary / news commentary</w:t>
            </w:r>
          </w:p>
        </w:tc>
        <w:tc>
          <w:tcPr/>
          <w:p>
            <w:pPr>
              <w:pStyle w:val="Compact"/>
              <w:jc w:val="left"/>
            </w:pPr>
            <w:r>
              <w:t xml:space="preserve">https://blue-community.net/2025/02/new-who-guidance-on-wastewater/</w:t>
            </w:r>
          </w:p>
        </w:tc>
        <w:tc>
          <w:tcPr/>
          <w:p>
            <w:pPr>
              <w:pStyle w:val="Compact"/>
              <w:jc w:val="left"/>
            </w:pPr>
            <w:r>
              <w:t xml:space="preserve">Background mention that WHO issued new WES guidance in 2025 (§1, background)</w:t>
            </w:r>
          </w:p>
        </w:tc>
        <w:tc>
          <w:tcPr/>
          <w:p>
            <w:pPr>
              <w:pStyle w:val="Compact"/>
              <w:jc w:val="left"/>
            </w:pPr>
            <w:r>
              <w:t xml:space="preserve">✅ secondary source, but confirmed via WHO primary sources [14][15]</w:t>
            </w:r>
          </w:p>
        </w:tc>
        <w:tc>
          <w:tcPr/>
          <w:p>
            <w:pPr>
              <w:pStyle w:val="Compact"/>
              <w:jc w:val="left"/>
            </w:pPr>
            <w:r>
              <w:t xml:space="preserve">⚠ secondary/news-derived; prefer [14]/[15] as primary support</w:t>
            </w:r>
          </w:p>
        </w:tc>
      </w:tr>
      <w:tr>
        <w:tc>
          <w:tcPr/>
          <w:p>
            <w:pPr>
              <w:pStyle w:val="Compact"/>
              <w:jc w:val="left"/>
            </w:pPr>
            <w:r>
              <w:t xml:space="preserve">[2]</w:t>
            </w:r>
          </w:p>
        </w:tc>
        <w:tc>
          <w:tcPr/>
          <w:p>
            <w:pPr>
              <w:pStyle w:val="Compact"/>
              <w:jc w:val="left"/>
            </w:pPr>
            <w:r>
              <w:t xml:space="preserve">Boogaerts et al. (2024)</w:t>
            </w:r>
          </w:p>
        </w:tc>
        <w:tc>
          <w:tcPr/>
          <w:p>
            <w:pPr>
              <w:pStyle w:val="Compact"/>
              <w:jc w:val="left"/>
            </w:pPr>
            <w:r>
              <w:t xml:space="preserve">Systematic literature review</w:t>
            </w:r>
          </w:p>
        </w:tc>
        <w:tc>
          <w:tcPr/>
          <w:p>
            <w:pPr>
              <w:pStyle w:val="Compact"/>
              <w:jc w:val="left"/>
            </w:pPr>
            <w:r>
              <w:t xml:space="preserve">https://doi.org/10.1016/j.scitotenv.2024.173223</w:t>
            </w:r>
          </w:p>
        </w:tc>
        <w:tc>
          <w:tcPr/>
          <w:p>
            <w:pPr>
              <w:pStyle w:val="Compact"/>
              <w:jc w:val="left"/>
            </w:pPr>
            <w:r>
              <w:t xml:space="preserve">No consensus on best population-normalization marker (§1, §2.5, §3.1)</w:t>
            </w:r>
          </w:p>
        </w:tc>
        <w:tc>
          <w:tcPr/>
          <w:p>
            <w:pPr>
              <w:pStyle w:val="Compact"/>
              <w:jc w:val="left"/>
            </w:pPr>
            <w:r>
              <w:t xml:space="preserve">✅ author list confirmed across 2 independent searches</w:t>
            </w:r>
          </w:p>
        </w:tc>
        <w:tc>
          <w:tcPr/>
          <w:p>
            <w:pPr>
              <w:pStyle w:val="Compact"/>
              <w:jc w:val="left"/>
            </w:pPr>
            <w:r>
              <w:t xml:space="preserve">⚠ general summary-level claim, snippet-derived; not full-text checked</w:t>
            </w:r>
          </w:p>
        </w:tc>
      </w:tr>
      <w:tr>
        <w:tc>
          <w:tcPr/>
          <w:p>
            <w:pPr>
              <w:pStyle w:val="Compact"/>
              <w:jc w:val="left"/>
            </w:pPr>
            <w:r>
              <w:t xml:space="preserve">[3]</w:t>
            </w:r>
          </w:p>
        </w:tc>
        <w:tc>
          <w:tcPr/>
          <w:p>
            <w:pPr>
              <w:pStyle w:val="Compact"/>
              <w:jc w:val="left"/>
            </w:pPr>
            <w:r>
              <w:t xml:space="preserve">Darling et al. (2025)</w:t>
            </w:r>
          </w:p>
        </w:tc>
        <w:tc>
          <w:tcPr/>
          <w:p>
            <w:pPr>
              <w:pStyle w:val="Compact"/>
              <w:jc w:val="left"/>
            </w:pPr>
            <w:r>
              <w:t xml:space="preserve">Primary field study</w:t>
            </w:r>
          </w:p>
        </w:tc>
        <w:tc>
          <w:tcPr/>
          <w:p>
            <w:pPr>
              <w:pStyle w:val="Compact"/>
              <w:jc w:val="left"/>
            </w:pPr>
            <w:r>
              <w:t xml:space="preserve">https://doi.org/10.1021/acs.est.4c14485</w:t>
            </w:r>
          </w:p>
        </w:tc>
        <w:tc>
          <w:tcPr/>
          <w:p>
            <w:pPr>
              <w:pStyle w:val="Compact"/>
              <w:jc w:val="left"/>
            </w:pPr>
            <w:r>
              <w:t xml:space="preserve">Under substantial inflow/infiltration, standard normalization (incl. flow) becomes unreliable in rural sewersheds (§4.2, §4.3)</w:t>
            </w:r>
          </w:p>
        </w:tc>
        <w:tc>
          <w:tcPr/>
          <w:p>
            <w:pPr>
              <w:pStyle w:val="Compact"/>
              <w:jc w:val="left"/>
            </w:pPr>
            <w:r>
              <w:t xml:space="preserve">✅ full author list + vol/issue/pages confirmed</w:t>
            </w:r>
          </w:p>
        </w:tc>
        <w:tc>
          <w:tcPr/>
          <w:p>
            <w:pPr>
              <w:pStyle w:val="Compact"/>
              <w:jc w:val="left"/>
            </w:pPr>
            <w:r>
              <w:t xml:space="preserve">⚠ paraphrased from snippet; specific unreliability threshold not confirmed</w:t>
            </w:r>
          </w:p>
        </w:tc>
      </w:tr>
      <w:tr>
        <w:tc>
          <w:tcPr/>
          <w:p>
            <w:pPr>
              <w:pStyle w:val="Compact"/>
              <w:jc w:val="left"/>
            </w:pPr>
            <w:r>
              <w:t xml:space="preserve">[4]</w:t>
            </w:r>
          </w:p>
        </w:tc>
        <w:tc>
          <w:tcPr/>
          <w:p>
            <w:pPr>
              <w:pStyle w:val="Compact"/>
              <w:jc w:val="left"/>
            </w:pPr>
            <w:r>
              <w:t xml:space="preserve">European Commission (2025)</w:t>
            </w:r>
          </w:p>
        </w:tc>
        <w:tc>
          <w:tcPr/>
          <w:p>
            <w:pPr>
              <w:pStyle w:val="Compact"/>
              <w:jc w:val="left"/>
            </w:pPr>
            <w:r>
              <w:t xml:space="preserve">Institutional / policy source</w:t>
            </w:r>
          </w:p>
        </w:tc>
        <w:tc>
          <w:tcPr/>
          <w:p>
            <w:pPr>
              <w:pStyle w:val="Compact"/>
              <w:jc w:val="left"/>
            </w:pPr>
            <w:r>
              <w:t xml:space="preserve">https://health.ec.europa.eu/latest-updates/launching-eu-wastewater-surveillance-dashboard-2025-01-29_en</w:t>
            </w:r>
          </w:p>
        </w:tc>
        <w:tc>
          <w:tcPr/>
          <w:p>
            <w:pPr>
              <w:pStyle w:val="Compact"/>
              <w:jc w:val="left"/>
            </w:pPr>
            <w:r>
              <w:t xml:space="preserve">EU dashboard launched Jan 2025; 11 countries; SARS-CoV-2/flu/RSV;</w:t>
            </w:r>
            <w:r>
              <w:t xml:space="preserve"> </w:t>
            </w:r>
            <w:r>
              <w:t xml:space="preserve">“</w:t>
            </w:r>
            <w:r>
              <w:t xml:space="preserve">over one million measurements</w:t>
            </w:r>
            <w:r>
              <w:t xml:space="preserve">”</w:t>
            </w:r>
            <w:r>
              <w:t xml:space="preserve"> </w:t>
            </w:r>
            <w:r>
              <w:t xml:space="preserve">(§1, §2.4)</w:t>
            </w:r>
          </w:p>
        </w:tc>
        <w:tc>
          <w:tcPr/>
          <w:p>
            <w:pPr>
              <w:pStyle w:val="Compact"/>
              <w:jc w:val="left"/>
            </w:pPr>
            <w:r>
              <w:t xml:space="preserve">✅ institutional primary source, page itself not fetched</w:t>
            </w:r>
          </w:p>
        </w:tc>
        <w:tc>
          <w:tcPr/>
          <w:p>
            <w:pPr>
              <w:pStyle w:val="Compact"/>
              <w:jc w:val="left"/>
            </w:pPr>
            <w:r>
              <w:t xml:space="preserve">⚠</w:t>
            </w:r>
            <w:r>
              <w:t xml:space="preserve"> </w:t>
            </w:r>
            <w:r>
              <w:t xml:space="preserve">“</w:t>
            </w:r>
            <w:r>
              <w:t xml:space="preserve">11 countries</w:t>
            </w:r>
            <w:r>
              <w:t xml:space="preserve">”</w:t>
            </w:r>
            <w:r>
              <w:t xml:space="preserve"> </w:t>
            </w:r>
            <w:r>
              <w:t xml:space="preserve">and</w:t>
            </w:r>
            <w:r>
              <w:t xml:space="preserve"> </w:t>
            </w:r>
            <w:r>
              <w:t xml:space="preserve">“</w:t>
            </w:r>
            <w:r>
              <w:t xml:space="preserve">1M+ measurements</w:t>
            </w:r>
            <w:r>
              <w:t xml:space="preserve">”</w:t>
            </w:r>
            <w:r>
              <w:t xml:space="preserve"> </w:t>
            </w:r>
            <w:r>
              <w:t xml:space="preserve">specifically not re-confirmed against live page (WebFetch blocked)</w:t>
            </w:r>
          </w:p>
        </w:tc>
      </w:tr>
      <w:tr>
        <w:tc>
          <w:tcPr/>
          <w:p>
            <w:pPr>
              <w:pStyle w:val="Compact"/>
              <w:jc w:val="left"/>
            </w:pPr>
            <w:r>
              <w:t xml:space="preserve">[5]</w:t>
            </w:r>
          </w:p>
        </w:tc>
        <w:tc>
          <w:tcPr/>
          <w:p>
            <w:pPr>
              <w:pStyle w:val="Compact"/>
              <w:jc w:val="left"/>
            </w:pPr>
            <w:r>
              <w:t xml:space="preserve">Eurosurveillance (2026)</w:t>
            </w:r>
          </w:p>
        </w:tc>
        <w:tc>
          <w:tcPr/>
          <w:p>
            <w:pPr>
              <w:pStyle w:val="Compact"/>
              <w:jc w:val="left"/>
            </w:pPr>
            <w:r>
              <w:t xml:space="preserve">Institutional / policy position paper</w:t>
            </w:r>
          </w:p>
        </w:tc>
        <w:tc>
          <w:tcPr/>
          <w:p>
            <w:pPr>
              <w:pStyle w:val="Compact"/>
              <w:jc w:val="left"/>
            </w:pPr>
            <w:r>
              <w:t xml:space="preserve">https://doi.org/10.2807/1560-7917.ES.2026.31.3.2500289</w:t>
            </w:r>
          </w:p>
        </w:tc>
        <w:tc>
          <w:tcPr/>
          <w:p>
            <w:pPr>
              <w:pStyle w:val="Compact"/>
              <w:jc w:val="left"/>
            </w:pPr>
            <w:r>
              <w:t xml:space="preserve">Recast UWWTD mandates AMR wastewater monitoring for ≥100,000 population-equivalent agglomerations (§1, §2.4)</w:t>
            </w:r>
          </w:p>
        </w:tc>
        <w:tc>
          <w:tcPr/>
          <w:p>
            <w:pPr>
              <w:pStyle w:val="Compact"/>
              <w:jc w:val="left"/>
            </w:pPr>
            <w:r>
              <w:t xml:space="preserve">⚠ title/journal/vol/issue confirmed;</w:t>
            </w:r>
            <w:r>
              <w:t xml:space="preserve"> </w:t>
            </w:r>
            <w:r>
              <w:rPr>
                <w:bCs/>
                <w:b/>
              </w:rPr>
              <w:t xml:space="preserve">author list NOT confirmed</w:t>
            </w:r>
          </w:p>
        </w:tc>
        <w:tc>
          <w:tcPr/>
          <w:p>
            <w:pPr>
              <w:pStyle w:val="Compact"/>
              <w:jc w:val="left"/>
            </w:pPr>
            <w:r>
              <w:t xml:space="preserve">⚠ regulatory-threshold figure (100,000 p.e.) snippet-derived</w:t>
            </w:r>
          </w:p>
        </w:tc>
      </w:tr>
      <w:tr>
        <w:tc>
          <w:tcPr/>
          <w:p>
            <w:pPr>
              <w:pStyle w:val="Compact"/>
              <w:jc w:val="left"/>
            </w:pPr>
            <w:r>
              <w:t xml:space="preserve">[6]</w:t>
            </w:r>
          </w:p>
        </w:tc>
        <w:tc>
          <w:tcPr/>
          <w:p>
            <w:pPr>
              <w:pStyle w:val="Compact"/>
              <w:jc w:val="left"/>
            </w:pPr>
            <w:r>
              <w:t xml:space="preserve">Guo et al. (2023)</w:t>
            </w:r>
          </w:p>
        </w:tc>
        <w:tc>
          <w:tcPr/>
          <w:p>
            <w:pPr>
              <w:pStyle w:val="Compact"/>
              <w:jc w:val="left"/>
            </w:pPr>
            <w:r>
              <w:t xml:space="preserve">Narrative review</w:t>
            </w:r>
          </w:p>
        </w:tc>
        <w:tc>
          <w:tcPr/>
          <w:p>
            <w:pPr>
              <w:pStyle w:val="Compact"/>
              <w:jc w:val="left"/>
            </w:pPr>
            <w:r>
              <w:t xml:space="preserve">https://doi.org/10.3390/w15061051</w:t>
            </w:r>
          </w:p>
        </w:tc>
        <w:tc>
          <w:tcPr/>
          <w:p>
            <w:pPr>
              <w:pStyle w:val="Compact"/>
              <w:jc w:val="left"/>
            </w:pPr>
            <w:r>
              <w:t xml:space="preserve">Coronavirus RNA decay accelerates markedly above ~26 °C (§4.2)</w:t>
            </w:r>
          </w:p>
        </w:tc>
        <w:tc>
          <w:tcPr/>
          <w:p>
            <w:pPr>
              <w:pStyle w:val="Compact"/>
              <w:jc w:val="left"/>
            </w:pPr>
            <w:r>
              <w:t xml:space="preserve">✅ full author list + DOI confirmed</w:t>
            </w:r>
          </w:p>
        </w:tc>
        <w:tc>
          <w:tcPr/>
          <w:p>
            <w:pPr>
              <w:pStyle w:val="Compact"/>
              <w:jc w:val="left"/>
            </w:pPr>
            <w:r>
              <w:t xml:space="preserve">⚠ specific 26 °C threshold is snippet-paraphrased, not confirmed against a table/figure</w:t>
            </w:r>
          </w:p>
        </w:tc>
      </w:tr>
      <w:tr>
        <w:tc>
          <w:tcPr/>
          <w:p>
            <w:pPr>
              <w:pStyle w:val="Compact"/>
              <w:jc w:val="left"/>
            </w:pPr>
            <w:r>
              <w:t xml:space="preserve">[7]</w:t>
            </w:r>
          </w:p>
        </w:tc>
        <w:tc>
          <w:tcPr/>
          <w:p>
            <w:pPr>
              <w:pStyle w:val="Compact"/>
              <w:jc w:val="left"/>
            </w:pPr>
            <w:r>
              <w:t xml:space="preserve">Han et al. (2025)</w:t>
            </w:r>
          </w:p>
        </w:tc>
        <w:tc>
          <w:tcPr/>
          <w:p>
            <w:pPr>
              <w:pStyle w:val="Compact"/>
              <w:jc w:val="left"/>
            </w:pPr>
            <w:r>
              <w:t xml:space="preserve">Institutional program report</w:t>
            </w:r>
          </w:p>
        </w:tc>
        <w:tc>
          <w:tcPr/>
          <w:p>
            <w:pPr>
              <w:pStyle w:val="Compact"/>
              <w:jc w:val="left"/>
            </w:pPr>
            <w:r>
              <w:t xml:space="preserve">https://doi.org/10.46234/ccdcw2025.267</w:t>
            </w:r>
          </w:p>
        </w:tc>
        <w:tc>
          <w:tcPr/>
          <w:p>
            <w:pPr>
              <w:pStyle w:val="Compact"/>
              <w:jc w:val="left"/>
            </w:pPr>
            <w:r>
              <w:t xml:space="preserve">China’s national wastewater surveillance system, 3 components, Jan 2023–Jun 2025, poliovirus isolation</w:t>
            </w:r>
            <w:r>
              <w:t xml:space="preserve"> </w:t>
            </w:r>
            <w:r>
              <w:t xml:space="preserve">“</w:t>
            </w:r>
            <w:r>
              <w:t xml:space="preserve">roughly doubled</w:t>
            </w:r>
            <w:r>
              <w:t xml:space="preserve">”</w:t>
            </w:r>
            <w:r>
              <w:t xml:space="preserve"> </w:t>
            </w:r>
            <w:r>
              <w:t xml:space="preserve">(§1, §2.4)</w:t>
            </w:r>
          </w:p>
        </w:tc>
        <w:tc>
          <w:tcPr/>
          <w:p>
            <w:pPr>
              <w:pStyle w:val="Compact"/>
              <w:jc w:val="left"/>
            </w:pPr>
            <w:r>
              <w:t xml:space="preserve">⚠ author list truncated (</w:t>
            </w:r>
            <w:r>
              <w:t xml:space="preserve">“</w:t>
            </w:r>
            <w:r>
              <w:t xml:space="preserve">et al.</w:t>
            </w:r>
            <w:r>
              <w:t xml:space="preserve">”</w:t>
            </w:r>
            <w:r>
              <w:t xml:space="preserve">) in every search result —</w:t>
            </w:r>
            <w:r>
              <w:t xml:space="preserve"> </w:t>
            </w:r>
            <w:r>
              <w:rPr>
                <w:bCs/>
                <w:b/>
              </w:rPr>
              <w:t xml:space="preserve">incomplete</w:t>
            </w:r>
          </w:p>
        </w:tc>
        <w:tc>
          <w:tcPr/>
          <w:p>
            <w:pPr>
              <w:pStyle w:val="Compact"/>
              <w:jc w:val="left"/>
            </w:pPr>
            <w:r>
              <w:t xml:space="preserve">⚠</w:t>
            </w:r>
            <w:r>
              <w:t xml:space="preserve"> </w:t>
            </w:r>
            <w:r>
              <w:t xml:space="preserve">“</w:t>
            </w:r>
            <w:r>
              <w:t xml:space="preserve">doubled</w:t>
            </w:r>
            <w:r>
              <w:t xml:space="preserve">”</w:t>
            </w:r>
            <w:r>
              <w:t xml:space="preserve"> </w:t>
            </w:r>
            <w:r>
              <w:t xml:space="preserve">figure and 3-component description are snippet-derived</w:t>
            </w:r>
          </w:p>
        </w:tc>
      </w:tr>
      <w:tr>
        <w:tc>
          <w:tcPr/>
          <w:p>
            <w:pPr>
              <w:pStyle w:val="Compact"/>
              <w:jc w:val="left"/>
            </w:pPr>
            <w:r>
              <w:t xml:space="preserve">[8]</w:t>
            </w:r>
          </w:p>
        </w:tc>
        <w:tc>
          <w:tcPr/>
          <w:p>
            <w:pPr>
              <w:pStyle w:val="Compact"/>
              <w:jc w:val="left"/>
            </w:pPr>
            <w:r>
              <w:t xml:space="preserve">Janssens et al. (2022)</w:t>
            </w:r>
          </w:p>
        </w:tc>
        <w:tc>
          <w:tcPr/>
          <w:p>
            <w:pPr>
              <w:pStyle w:val="Compact"/>
              <w:jc w:val="left"/>
            </w:pPr>
            <w:r>
              <w:t xml:space="preserve">Primary field study</w:t>
            </w:r>
          </w:p>
        </w:tc>
        <w:tc>
          <w:tcPr/>
          <w:p>
            <w:pPr>
              <w:pStyle w:val="Compact"/>
              <w:jc w:val="left"/>
            </w:pPr>
            <w:r>
              <w:t xml:space="preserve">https://doi.org/10.3390/v14091950</w:t>
            </w:r>
          </w:p>
        </w:tc>
        <w:tc>
          <w:tcPr/>
          <w:p>
            <w:pPr>
              <w:pStyle w:val="Compact"/>
              <w:jc w:val="left"/>
            </w:pPr>
            <w:r>
              <w:t xml:space="preserve">Belgian national program: rainfall-correcting SARS-CoV-2 wastewater data improved correlation with clinical cases; uncorrected rainy-period data underestimated signal (§4.2, §4.3)</w:t>
            </w:r>
          </w:p>
        </w:tc>
        <w:tc>
          <w:tcPr/>
          <w:p>
            <w:pPr>
              <w:pStyle w:val="Compact"/>
              <w:jc w:val="left"/>
            </w:pPr>
            <w:r>
              <w:t xml:space="preserve">✅ full 16-author list + DOI confirmed via dedicated follow-up search</w:t>
            </w:r>
          </w:p>
        </w:tc>
        <w:tc>
          <w:tcPr/>
          <w:p>
            <w:pPr>
              <w:pStyle w:val="Compact"/>
              <w:jc w:val="left"/>
            </w:pPr>
            <w:r>
              <w:t xml:space="preserve">⚠ correlation-improvement claim is snippet-derived, effect size not quantified in text (intentionally, pending full-text)</w:t>
            </w:r>
          </w:p>
        </w:tc>
      </w:tr>
      <w:tr>
        <w:tc>
          <w:tcPr/>
          <w:p>
            <w:pPr>
              <w:pStyle w:val="Compact"/>
              <w:jc w:val="left"/>
            </w:pPr>
            <w:r>
              <w:t xml:space="preserve">[9]</w:t>
            </w:r>
          </w:p>
        </w:tc>
        <w:tc>
          <w:tcPr/>
          <w:p>
            <w:pPr>
              <w:pStyle w:val="Compact"/>
              <w:jc w:val="left"/>
            </w:pPr>
            <w:r>
              <w:t xml:space="preserve">Jung et al. (2026)</w:t>
            </w:r>
          </w:p>
        </w:tc>
        <w:tc>
          <w:tcPr/>
          <w:p>
            <w:pPr>
              <w:pStyle w:val="Compact"/>
              <w:jc w:val="left"/>
            </w:pPr>
            <w:r>
              <w:t xml:space="preserve">Primary laboratory study</w:t>
            </w:r>
          </w:p>
        </w:tc>
        <w:tc>
          <w:tcPr/>
          <w:p>
            <w:pPr>
              <w:pStyle w:val="Compact"/>
              <w:jc w:val="left"/>
            </w:pPr>
            <w:r>
              <w:t xml:space="preserve">https://doi.org/10.1038/s41598-026-44857-y</w:t>
            </w:r>
          </w:p>
        </w:tc>
        <w:tc>
          <w:tcPr/>
          <w:p>
            <w:pPr>
              <w:pStyle w:val="Compact"/>
              <w:jc w:val="left"/>
            </w:pPr>
            <w:r>
              <w:t xml:space="preserve">Microbial activity is dominant driver of in-sewer RNA decay; decay increases with transport distance; specific first-order rate constants (§1, §4.1, §4.2)</w:t>
            </w:r>
          </w:p>
        </w:tc>
        <w:tc>
          <w:tcPr/>
          <w:p>
            <w:pPr>
              <w:pStyle w:val="Compact"/>
              <w:jc w:val="left"/>
            </w:pPr>
            <w:r>
              <w:t xml:space="preserve">✅ full author list + volume/article number confirmed</w:t>
            </w:r>
          </w:p>
        </w:tc>
        <w:tc>
          <w:tcPr/>
          <w:p>
            <w:pPr>
              <w:pStyle w:val="Compact"/>
              <w:jc w:val="left"/>
            </w:pPr>
            <w:r>
              <w:t xml:space="preserve">⚠</w:t>
            </w:r>
            <w:r>
              <w:t xml:space="preserve"> </w:t>
            </w:r>
            <w:r>
              <w:rPr>
                <w:bCs/>
                <w:b/>
              </w:rPr>
              <w:t xml:space="preserve">rate-constant values (k ≈ 2.21 d⁻¹ vs. 1.12–0.47 d⁻¹) are snippet-derived — flag explicitly before quoting these numbers in a submission draft</w:t>
            </w:r>
          </w:p>
        </w:tc>
      </w:tr>
      <w:tr>
        <w:tc>
          <w:tcPr/>
          <w:p>
            <w:pPr>
              <w:pStyle w:val="Compact"/>
              <w:jc w:val="left"/>
            </w:pPr>
            <w:r>
              <w:t xml:space="preserve">[10]</w:t>
            </w:r>
          </w:p>
        </w:tc>
        <w:tc>
          <w:tcPr/>
          <w:p>
            <w:pPr>
              <w:pStyle w:val="Compact"/>
              <w:jc w:val="left"/>
            </w:pPr>
            <w:r>
              <w:t xml:space="preserve">Miura, Kitajima, &amp; Omori (2021)</w:t>
            </w:r>
          </w:p>
        </w:tc>
        <w:tc>
          <w:tcPr/>
          <w:p>
            <w:pPr>
              <w:pStyle w:val="Compact"/>
              <w:jc w:val="left"/>
            </w:pPr>
            <w:r>
              <w:t xml:space="preserve">Primary modeling / re-analysis study</w:t>
            </w:r>
          </w:p>
        </w:tc>
        <w:tc>
          <w:tcPr/>
          <w:p>
            <w:pPr>
              <w:pStyle w:val="Compact"/>
              <w:jc w:val="left"/>
            </w:pPr>
            <w:r>
              <w:t xml:space="preserve">https://doi.org/10.1016/j.scitotenv.2020.144549</w:t>
            </w:r>
          </w:p>
        </w:tc>
        <w:tc>
          <w:tcPr/>
          <w:p>
            <w:pPr>
              <w:pStyle w:val="Compact"/>
              <w:jc w:val="left"/>
            </w:pPr>
            <w:r>
              <w:t xml:space="preserve">Fecal shedding duration can extend well beyond 3 weeks in some re-analyses (§3.1)</w:t>
            </w:r>
          </w:p>
        </w:tc>
        <w:tc>
          <w:tcPr/>
          <w:p>
            <w:pPr>
              <w:pStyle w:val="Compact"/>
              <w:jc w:val="left"/>
            </w:pPr>
            <w:r>
              <w:t xml:space="preserve">✅ author list + DOI + volume confirmed</w:t>
            </w:r>
          </w:p>
        </w:tc>
        <w:tc>
          <w:tcPr/>
          <w:p>
            <w:pPr>
              <w:pStyle w:val="Compact"/>
              <w:jc w:val="left"/>
            </w:pPr>
            <w:r>
              <w:t xml:space="preserve">❌</w:t>
            </w:r>
            <w:r>
              <w:t xml:space="preserve"> </w:t>
            </w:r>
            <w:r>
              <w:rPr>
                <w:bCs/>
                <w:b/>
              </w:rPr>
              <w:t xml:space="preserve">internally inconsistent across 2 searches</w:t>
            </w:r>
            <w:r>
              <w:t xml:space="preserve"> </w:t>
            </w:r>
            <w:r>
              <w:t xml:space="preserve">(3.4 vs. 2.6 log copies/g; 26.0-day vs. 20–32-day range) — text deliberately avoids citing a specific number; resolve by reading primary source</w:t>
            </w:r>
          </w:p>
        </w:tc>
      </w:tr>
      <w:tr>
        <w:tc>
          <w:tcPr/>
          <w:p>
            <w:pPr>
              <w:pStyle w:val="Compact"/>
              <w:jc w:val="left"/>
            </w:pPr>
            <w:r>
              <w:t xml:space="preserve">[11]</w:t>
            </w:r>
          </w:p>
        </w:tc>
        <w:tc>
          <w:tcPr/>
          <w:p>
            <w:pPr>
              <w:pStyle w:val="Compact"/>
              <w:jc w:val="left"/>
            </w:pPr>
            <w:r>
              <w:t xml:space="preserve">NASEM (2023)</w:t>
            </w:r>
          </w:p>
        </w:tc>
        <w:tc>
          <w:tcPr/>
          <w:p>
            <w:pPr>
              <w:pStyle w:val="Compact"/>
              <w:jc w:val="left"/>
            </w:pPr>
            <w:r>
              <w:t xml:space="preserve">Institutional consensus report</w:t>
            </w:r>
          </w:p>
        </w:tc>
        <w:tc>
          <w:tcPr/>
          <w:p>
            <w:pPr>
              <w:pStyle w:val="Compact"/>
              <w:jc w:val="left"/>
            </w:pPr>
            <w:r>
              <w:t xml:space="preserve">https://doi.org/10.17226/26767</w:t>
            </w:r>
          </w:p>
        </w:tc>
        <w:tc>
          <w:tcPr/>
          <w:p>
            <w:pPr>
              <w:pStyle w:val="Compact"/>
              <w:jc w:val="left"/>
            </w:pPr>
            <w:r>
              <w:t xml:space="preserve">WBE’s comparative advantage of capturing asymptomatic/undiagnosed individuals; national vision for an equitable, representative surveillance system (§1, §2.4, §3.1)</w:t>
            </w:r>
          </w:p>
        </w:tc>
        <w:tc>
          <w:tcPr/>
          <w:p>
            <w:pPr>
              <w:pStyle w:val="Compact"/>
              <w:jc w:val="left"/>
            </w:pPr>
            <w:r>
              <w:t xml:space="preserve">✅ official National Academies Press report, DOI confirmed</w:t>
            </w:r>
          </w:p>
        </w:tc>
        <w:tc>
          <w:tcPr/>
          <w:p>
            <w:pPr>
              <w:pStyle w:val="Compact"/>
              <w:jc w:val="left"/>
            </w:pPr>
            <w:r>
              <w:t xml:space="preserve">✅ high confidence — official consensus-study report, claims are report-level framing rather than narrow quantitative figures</w:t>
            </w:r>
          </w:p>
        </w:tc>
      </w:tr>
      <w:tr>
        <w:tc>
          <w:tcPr/>
          <w:p>
            <w:pPr>
              <w:pStyle w:val="Compact"/>
              <w:jc w:val="left"/>
            </w:pPr>
            <w:r>
              <w:t xml:space="preserve">[12]</w:t>
            </w:r>
          </w:p>
        </w:tc>
        <w:tc>
          <w:tcPr/>
          <w:p>
            <w:pPr>
              <w:pStyle w:val="Compact"/>
              <w:jc w:val="left"/>
            </w:pPr>
            <w:r>
              <w:t xml:space="preserve">Punch et al. (2025)</w:t>
            </w:r>
          </w:p>
        </w:tc>
        <w:tc>
          <w:tcPr/>
          <w:p>
            <w:pPr>
              <w:pStyle w:val="Compact"/>
              <w:jc w:val="left"/>
            </w:pPr>
            <w:r>
              <w:t xml:space="preserve">Systematic scoping review</w:t>
            </w:r>
          </w:p>
        </w:tc>
        <w:tc>
          <w:tcPr/>
          <w:p>
            <w:pPr>
              <w:pStyle w:val="Compact"/>
              <w:jc w:val="left"/>
            </w:pPr>
            <w:r>
              <w:t xml:space="preserve">https://doi.org/10.1016/j.onehlt.2025.101139</w:t>
            </w:r>
          </w:p>
        </w:tc>
        <w:tc>
          <w:tcPr/>
          <w:p>
            <w:pPr>
              <w:pStyle w:val="Compact"/>
              <w:jc w:val="left"/>
            </w:pPr>
            <w:r>
              <w:t xml:space="preserve">AMR wastewater surveillance is now global; 177 reports identified 2014–2024, 76.8% published after 2019 (§2.5)</w:t>
            </w:r>
          </w:p>
        </w:tc>
        <w:tc>
          <w:tcPr/>
          <w:p>
            <w:pPr>
              <w:pStyle w:val="Compact"/>
              <w:jc w:val="left"/>
            </w:pPr>
            <w:r>
              <w:t xml:space="preserve">✅ full author list + vol/issue/page/DOI confirmed</w:t>
            </w:r>
          </w:p>
        </w:tc>
        <w:tc>
          <w:tcPr/>
          <w:p>
            <w:pPr>
              <w:pStyle w:val="Compact"/>
              <w:jc w:val="left"/>
            </w:pPr>
            <w:r>
              <w:t xml:space="preserve">⚠ the 177/76.8% figures are snippet-derived, not confirmed against the paper’s own summary table</w:t>
            </w:r>
          </w:p>
        </w:tc>
      </w:tr>
      <w:tr>
        <w:tc>
          <w:tcPr/>
          <w:p>
            <w:pPr>
              <w:pStyle w:val="Compact"/>
              <w:jc w:val="left"/>
            </w:pPr>
            <w:r>
              <w:t xml:space="preserve">[13]</w:t>
            </w:r>
          </w:p>
        </w:tc>
        <w:tc>
          <w:tcPr/>
          <w:p>
            <w:pPr>
              <w:pStyle w:val="Compact"/>
              <w:jc w:val="left"/>
            </w:pPr>
            <w:r>
              <w:t xml:space="preserve">Rainey et al. (2023)</w:t>
            </w:r>
          </w:p>
        </w:tc>
        <w:tc>
          <w:tcPr/>
          <w:p>
            <w:pPr>
              <w:pStyle w:val="Compact"/>
              <w:jc w:val="left"/>
            </w:pPr>
            <w:r>
              <w:t xml:space="preserve">Primary multi-site field study</w:t>
            </w:r>
          </w:p>
        </w:tc>
        <w:tc>
          <w:tcPr/>
          <w:p>
            <w:pPr>
              <w:pStyle w:val="Compact"/>
              <w:jc w:val="left"/>
            </w:pPr>
            <w:r>
              <w:t xml:space="preserve">https://doi.org/10.1371/journal.pone.0284370</w:t>
            </w:r>
          </w:p>
        </w:tc>
        <w:tc>
          <w:tcPr/>
          <w:p>
            <w:pPr>
              <w:pStyle w:val="Compact"/>
              <w:jc w:val="left"/>
            </w:pPr>
            <w:r>
              <w:t xml:space="preserve">Flow normalization outperformed 3 fecal biomarkers (crAssphage, F+ coliphage, PMMoV) across 182 U.S. communities/6 states (§1, §4.3)</w:t>
            </w:r>
          </w:p>
        </w:tc>
        <w:tc>
          <w:tcPr/>
          <w:p>
            <w:pPr>
              <w:pStyle w:val="Compact"/>
              <w:jc w:val="left"/>
            </w:pPr>
            <w:r>
              <w:t xml:space="preserve">✅ full author list + vol/issue/page/DOI confirmed</w:t>
            </w:r>
          </w:p>
        </w:tc>
        <w:tc>
          <w:tcPr/>
          <w:p>
            <w:pPr>
              <w:pStyle w:val="Compact"/>
              <w:jc w:val="left"/>
            </w:pPr>
            <w:r>
              <w:t xml:space="preserve">✅ moderate-high confidence — same quantitative finding (182 communities, flow &gt; biomarkers) recurred consistently across 2 independent search queries</w:t>
            </w:r>
          </w:p>
        </w:tc>
      </w:tr>
      <w:tr>
        <w:tc>
          <w:tcPr/>
          <w:p>
            <w:pPr>
              <w:pStyle w:val="Compact"/>
              <w:jc w:val="left"/>
            </w:pPr>
            <w:r>
              <w:t xml:space="preserve">[14]</w:t>
            </w:r>
          </w:p>
        </w:tc>
        <w:tc>
          <w:tcPr/>
          <w:p>
            <w:pPr>
              <w:pStyle w:val="Compact"/>
              <w:jc w:val="left"/>
            </w:pPr>
            <w:r>
              <w:t xml:space="preserve">WHO (2025a)</w:t>
            </w:r>
          </w:p>
        </w:tc>
        <w:tc>
          <w:tcPr/>
          <w:p>
            <w:pPr>
              <w:pStyle w:val="Compact"/>
              <w:jc w:val="left"/>
            </w:pPr>
            <w:r>
              <w:t xml:space="preserve">Institutional / policy source</w:t>
            </w:r>
          </w:p>
        </w:tc>
        <w:tc>
          <w:tcPr/>
          <w:p>
            <w:pPr>
              <w:pStyle w:val="Compact"/>
              <w:jc w:val="left"/>
            </w:pPr>
            <w:r>
              <w:t xml:space="preserve">https://www.who.int/teams/environment-climate-change-and-health/water-sanitation-and-health/sanitation-safety/wastewater</w:t>
            </w:r>
          </w:p>
        </w:tc>
        <w:tc>
          <w:tcPr/>
          <w:p>
            <w:pPr>
              <w:pStyle w:val="Compact"/>
              <w:jc w:val="left"/>
            </w:pPr>
            <w:r>
              <w:t xml:space="preserve">WES framed explicitly as complementary to, not a replacement for, conventional disease surveillance (§1, §2.4)</w:t>
            </w:r>
          </w:p>
        </w:tc>
        <w:tc>
          <w:tcPr/>
          <w:p>
            <w:pPr>
              <w:pStyle w:val="Compact"/>
              <w:jc w:val="left"/>
            </w:pPr>
            <w:r>
              <w:t xml:space="preserve">✅ official WHO page (primary source)</w:t>
            </w:r>
          </w:p>
        </w:tc>
        <w:tc>
          <w:tcPr/>
          <w:p>
            <w:pPr>
              <w:pStyle w:val="Compact"/>
              <w:jc w:val="left"/>
            </w:pPr>
            <w:r>
              <w:t xml:space="preserve">✅ high confidence — framing language, low risk of snippet distortion</w:t>
            </w:r>
          </w:p>
        </w:tc>
      </w:tr>
      <w:tr>
        <w:tc>
          <w:tcPr/>
          <w:p>
            <w:pPr>
              <w:pStyle w:val="Compact"/>
              <w:jc w:val="left"/>
            </w:pPr>
            <w:r>
              <w:t xml:space="preserve">[15]</w:t>
            </w:r>
          </w:p>
        </w:tc>
        <w:tc>
          <w:tcPr/>
          <w:p>
            <w:pPr>
              <w:pStyle w:val="Compact"/>
              <w:jc w:val="left"/>
            </w:pPr>
            <w:r>
              <w:t xml:space="preserve">WHO (2025b)</w:t>
            </w:r>
          </w:p>
        </w:tc>
        <w:tc>
          <w:tcPr/>
          <w:p>
            <w:pPr>
              <w:pStyle w:val="Compact"/>
              <w:jc w:val="left"/>
            </w:pPr>
            <w:r>
              <w:t xml:space="preserve">Institutional / policy guidance</w:t>
            </w:r>
          </w:p>
        </w:tc>
        <w:tc>
          <w:tcPr/>
          <w:p>
            <w:pPr>
              <w:pStyle w:val="Compact"/>
              <w:jc w:val="left"/>
            </w:pPr>
            <w:r>
              <w:t xml:space="preserve">WHO WES pilot guidance PDF (see references file)</w:t>
            </w:r>
          </w:p>
        </w:tc>
        <w:tc>
          <w:tcPr/>
          <w:p>
            <w:pPr>
              <w:pStyle w:val="Compact"/>
              <w:jc w:val="left"/>
            </w:pPr>
            <w:r>
              <w:t xml:space="preserve">Pilot pathogen-agnostic prioritization guidance + 6 pathogen summary sheets released Dec 2024; feedback period through 2025 (§1, §2.4)</w:t>
            </w:r>
          </w:p>
        </w:tc>
        <w:tc>
          <w:tcPr/>
          <w:p>
            <w:pPr>
              <w:pStyle w:val="Compact"/>
              <w:jc w:val="left"/>
            </w:pPr>
            <w:r>
              <w:t xml:space="preserve">✅ official WHO PDF (primary source)</w:t>
            </w:r>
          </w:p>
        </w:tc>
        <w:tc>
          <w:tcPr/>
          <w:p>
            <w:pPr>
              <w:pStyle w:val="Compact"/>
              <w:jc w:val="left"/>
            </w:pPr>
            <w:r>
              <w:t xml:space="preserve">⚠ high confidence on release date/existence; PDF’s full content not read page-by-page</w:t>
            </w:r>
          </w:p>
        </w:tc>
      </w:tr>
      <w:tr>
        <w:tc>
          <w:tcPr/>
          <w:p>
            <w:pPr>
              <w:pStyle w:val="Compact"/>
              <w:jc w:val="left"/>
            </w:pPr>
            <w:r>
              <w:t xml:space="preserve">[16]</w:t>
            </w:r>
          </w:p>
        </w:tc>
        <w:tc>
          <w:tcPr/>
          <w:p>
            <w:pPr>
              <w:pStyle w:val="Compact"/>
              <w:jc w:val="left"/>
            </w:pPr>
            <w:r>
              <w:t xml:space="preserve">Zhang et al. (2023)</w:t>
            </w:r>
          </w:p>
        </w:tc>
        <w:tc>
          <w:tcPr/>
          <w:p>
            <w:pPr>
              <w:pStyle w:val="Compact"/>
              <w:jc w:val="left"/>
            </w:pPr>
            <w:r>
              <w:t xml:space="preserve">Primary laboratory study</w:t>
            </w:r>
          </w:p>
        </w:tc>
        <w:tc>
          <w:tcPr/>
          <w:p>
            <w:pPr>
              <w:pStyle w:val="Compact"/>
              <w:jc w:val="left"/>
            </w:pPr>
            <w:r>
              <w:t xml:space="preserve">https://doi.org/10.3390/w15112132</w:t>
            </w:r>
          </w:p>
        </w:tc>
        <w:tc>
          <w:tcPr/>
          <w:p>
            <w:pPr>
              <w:pStyle w:val="Compact"/>
              <w:jc w:val="left"/>
            </w:pPr>
            <w:r>
              <w:t xml:space="preserve">~90% SARS-CoV-2 RNA reduction within 2 hours in biofilm-colonized sewer reactors (§4.1, §4.2)</w:t>
            </w:r>
          </w:p>
        </w:tc>
        <w:tc>
          <w:tcPr/>
          <w:p>
            <w:pPr>
              <w:pStyle w:val="Compact"/>
              <w:jc w:val="left"/>
            </w:pPr>
            <w:r>
              <w:t xml:space="preserve">✅ full 9-author list + DOI confirmed</w:t>
            </w:r>
          </w:p>
        </w:tc>
        <w:tc>
          <w:tcPr/>
          <w:p>
            <w:pPr>
              <w:pStyle w:val="Compact"/>
              <w:jc w:val="left"/>
            </w:pPr>
            <w:r>
              <w:t xml:space="preserve">⚠</w:t>
            </w:r>
            <w:r>
              <w:t xml:space="preserve"> </w:t>
            </w:r>
            <w:r>
              <w:rPr>
                <w:bCs/>
                <w:b/>
              </w:rPr>
              <w:t xml:space="preserve">the specific</w:t>
            </w:r>
            <w:r>
              <w:rPr>
                <w:bCs/>
                <w:b/>
              </w:rPr>
              <w:t xml:space="preserve"> </w:t>
            </w:r>
            <w:r>
              <w:rPr>
                <w:bCs/>
                <w:b/>
              </w:rPr>
              <w:t xml:space="preserve">“</w:t>
            </w:r>
            <w:r>
              <w:rPr>
                <w:bCs/>
                <w:b/>
              </w:rPr>
              <w:t xml:space="preserve">90% in 2 hours</w:t>
            </w:r>
            <w:r>
              <w:rPr>
                <w:bCs/>
                <w:b/>
              </w:rPr>
              <w:t xml:space="preserve">”</w:t>
            </w:r>
            <w:r>
              <w:rPr>
                <w:bCs/>
                <w:b/>
              </w:rPr>
              <w:t xml:space="preserve"> </w:t>
            </w:r>
            <w:r>
              <w:rPr>
                <w:bCs/>
                <w:b/>
              </w:rPr>
              <w:t xml:space="preserve">figure is snippet-derived — flag before quoting in submission draft</w:t>
            </w:r>
          </w:p>
        </w:tc>
      </w:tr>
      <w:tr>
        <w:tc>
          <w:tcPr/>
          <w:p>
            <w:pPr>
              <w:pStyle w:val="Compact"/>
              <w:jc w:val="left"/>
            </w:pPr>
            <w:r>
              <w:t xml:space="preserve">[17]</w:t>
            </w:r>
          </w:p>
        </w:tc>
        <w:tc>
          <w:tcPr/>
          <w:p>
            <w:pPr>
              <w:pStyle w:val="Compact"/>
              <w:jc w:val="left"/>
            </w:pPr>
            <w:r>
              <w:t xml:space="preserve">Zhu et al. (2025)</w:t>
            </w:r>
          </w:p>
        </w:tc>
        <w:tc>
          <w:tcPr/>
          <w:p>
            <w:pPr>
              <w:pStyle w:val="Compact"/>
              <w:jc w:val="left"/>
            </w:pPr>
            <w:r>
              <w:t xml:space="preserve">Narrative / methodological review</w:t>
            </w:r>
          </w:p>
        </w:tc>
        <w:tc>
          <w:tcPr/>
          <w:p>
            <w:pPr>
              <w:pStyle w:val="Compact"/>
              <w:jc w:val="left"/>
            </w:pPr>
            <w:r>
              <w:t xml:space="preserve">https://doi.org/10.3390/microorganisms13051169</w:t>
            </w:r>
          </w:p>
        </w:tc>
        <w:tc>
          <w:tcPr/>
          <w:p>
            <w:pPr>
              <w:pStyle w:val="Compact"/>
              <w:jc w:val="left"/>
            </w:pPr>
            <w:r>
              <w:t xml:space="preserve">Methodological-framework review organized around sampling strategy, detection platforms, and ML-based predictive modeling (§2.4, §2.5)</w:t>
            </w:r>
          </w:p>
        </w:tc>
        <w:tc>
          <w:tcPr/>
          <w:p>
            <w:pPr>
              <w:pStyle w:val="Compact"/>
              <w:jc w:val="left"/>
            </w:pPr>
            <w:r>
              <w:t xml:space="preserve">✅ full 5-author list + DOI confirmed</w:t>
            </w:r>
          </w:p>
        </w:tc>
        <w:tc>
          <w:tcPr/>
          <w:p>
            <w:pPr>
              <w:pStyle w:val="Compact"/>
              <w:jc w:val="left"/>
            </w:pPr>
            <w:r>
              <w:t xml:space="preserve">✅ high confidence — claim is a structural description of the review’s own stated scope, low distortion risk</w:t>
            </w:r>
          </w:p>
        </w:tc>
      </w:tr>
      <w:tr>
        <w:tc>
          <w:tcPr/>
          <w:p>
            <w:pPr>
              <w:pStyle w:val="Compact"/>
              <w:jc w:val="left"/>
            </w:pPr>
            <w:r>
              <w:t xml:space="preserve">[18]</w:t>
            </w:r>
          </w:p>
        </w:tc>
        <w:tc>
          <w:tcPr/>
          <w:p>
            <w:pPr>
              <w:pStyle w:val="Compact"/>
              <w:jc w:val="left"/>
            </w:pPr>
            <w:r>
              <w:t xml:space="preserve">Ahmed et al. (2022)</w:t>
            </w:r>
          </w:p>
        </w:tc>
        <w:tc>
          <w:tcPr/>
          <w:p>
            <w:pPr>
              <w:pStyle w:val="Compact"/>
              <w:jc w:val="left"/>
            </w:pPr>
            <w:r>
              <w:t xml:space="preserve">Primary method-comparison study</w:t>
            </w:r>
          </w:p>
        </w:tc>
        <w:tc>
          <w:tcPr/>
          <w:p>
            <w:pPr>
              <w:pStyle w:val="Compact"/>
              <w:jc w:val="left"/>
            </w:pPr>
            <w:r>
              <w:t xml:space="preserve">https://doi.org/10.1016/j.watres.2022.118132 (PMID 35152136)</w:t>
            </w:r>
          </w:p>
        </w:tc>
        <w:tc>
          <w:tcPr/>
          <w:p>
            <w:pPr>
              <w:pStyle w:val="Compact"/>
              <w:jc w:val="left"/>
            </w:pPr>
            <w:r>
              <w:t xml:space="preserve">“</w:t>
            </w:r>
            <w:r>
              <w:t xml:space="preserve">Process limit of detection</w:t>
            </w:r>
            <w:r>
              <w:t xml:space="preserve">”</w:t>
            </w:r>
            <w:r>
              <w:t xml:space="preserve"> </w:t>
            </w:r>
            <w:r>
              <w:t xml:space="preserve">varies by assay/platform; RT-qPCR vs RT-dPCR CVs (§5.5)</w:t>
            </w:r>
          </w:p>
        </w:tc>
        <w:tc>
          <w:tcPr/>
          <w:p>
            <w:pPr>
              <w:pStyle w:val="Compact"/>
              <w:jc w:val="left"/>
            </w:pPr>
            <w:r>
              <w:t xml:space="preserve">✅</w:t>
            </w:r>
            <w:r>
              <w:t xml:space="preserve"> </w:t>
            </w:r>
            <w:r>
              <w:rPr>
                <w:bCs/>
                <w:b/>
              </w:rPr>
              <w:t xml:space="preserve">RESOLVED 2026-07-12</w:t>
            </w:r>
            <w:r>
              <w:t xml:space="preserve">: PubMed’s indexed citation record confirms Ahmed as first author (Ahmed W, Bivins A, Metcalfe S, Smith WJM, Verbyla ME, Symonds EM, Simpson SL); the earlier</w:t>
            </w:r>
            <w:r>
              <w:t xml:space="preserve"> </w:t>
            </w:r>
            <w:r>
              <w:t xml:space="preserve">“</w:t>
            </w:r>
            <w:r>
              <w:t xml:space="preserve">Verbyla as lead author</w:t>
            </w:r>
            <w:r>
              <w:t xml:space="preserve">”</w:t>
            </w:r>
            <w:r>
              <w:t xml:space="preserve"> </w:t>
            </w:r>
            <w:r>
              <w:t xml:space="preserve">summary was a search-tool paraphrase error. DOI, volume (213), and article number (118132) now confirmed.</w:t>
            </w:r>
          </w:p>
        </w:tc>
        <w:tc>
          <w:tcPr/>
          <w:p>
            <w:pPr>
              <w:pStyle w:val="Compact"/>
              <w:jc w:val="left"/>
            </w:pPr>
            <w:r>
              <w:t xml:space="preserve">⚠ specific CV figures (~40–60%) remain snippet-derived and are explicitly hedged in text as</w:t>
            </w:r>
            <w:r>
              <w:t xml:space="preserve"> </w:t>
            </w:r>
            <w:r>
              <w:t xml:space="preserve">“</w:t>
            </w:r>
            <w:r>
              <w:t xml:space="preserve">pending full-text confirmation</w:t>
            </w:r>
            <w:r>
              <w:t xml:space="preserve">”</w:t>
            </w:r>
            <w:r>
              <w:t xml:space="preserve"> </w:t>
            </w:r>
            <w:r>
              <w:t xml:space="preserve">— metadata resolution does not extend to the numeric claims</w:t>
            </w:r>
          </w:p>
        </w:tc>
      </w:tr>
      <w:tr>
        <w:tc>
          <w:tcPr/>
          <w:p>
            <w:pPr>
              <w:pStyle w:val="Compact"/>
              <w:jc w:val="left"/>
            </w:pPr>
            <w:r>
              <w:t xml:space="preserve">[19]</w:t>
            </w:r>
          </w:p>
        </w:tc>
        <w:tc>
          <w:tcPr/>
          <w:p>
            <w:pPr>
              <w:pStyle w:val="Compact"/>
              <w:jc w:val="left"/>
            </w:pPr>
            <w:r>
              <w:t xml:space="preserve">Cha et al. (2023)</w:t>
            </w:r>
          </w:p>
        </w:tc>
        <w:tc>
          <w:tcPr/>
          <w:p>
            <w:pPr>
              <w:pStyle w:val="Compact"/>
              <w:jc w:val="left"/>
            </w:pPr>
            <w:r>
              <w:t xml:space="preserve">Primary field comparison study</w:t>
            </w:r>
          </w:p>
        </w:tc>
        <w:tc>
          <w:tcPr/>
          <w:p>
            <w:pPr>
              <w:pStyle w:val="Compact"/>
              <w:jc w:val="left"/>
            </w:pPr>
            <w:r>
              <w:t xml:space="preserve">DOI not confirmed; vol/page decoded from ADS bibcode only (see references file)</w:t>
            </w:r>
          </w:p>
        </w:tc>
        <w:tc>
          <w:tcPr/>
          <w:p>
            <w:pPr>
              <w:pStyle w:val="Compact"/>
              <w:jc w:val="left"/>
            </w:pPr>
            <w:r>
              <w:t xml:space="preserve">Passive (Moore swab) sampling ≈ composite, &gt; grab sampling for SARS-CoV-2 detection in small-community/campus settings (§5.2)</w:t>
            </w:r>
          </w:p>
        </w:tc>
        <w:tc>
          <w:tcPr/>
          <w:p>
            <w:pPr>
              <w:pStyle w:val="Compact"/>
              <w:jc w:val="left"/>
            </w:pPr>
            <w:r>
              <w:t xml:space="preserve">⚠ author list very long and truncated (</w:t>
            </w:r>
            <w:r>
              <w:t xml:space="preserve">“</w:t>
            </w:r>
            <w:r>
              <w:t xml:space="preserve">and others</w:t>
            </w:r>
            <w:r>
              <w:t xml:space="preserve">”</w:t>
            </w:r>
            <w:r>
              <w:t xml:space="preserve">) in every search result</w:t>
            </w:r>
          </w:p>
        </w:tc>
        <w:tc>
          <w:tcPr/>
          <w:p>
            <w:pPr>
              <w:pStyle w:val="Compact"/>
              <w:jc w:val="left"/>
            </w:pPr>
            <w:r>
              <w:t xml:space="preserve">⚠ qualitative ranking (passive ≈ composite &gt; grab) recurred across 2 independent searches; no specific percentages asserted in text</w:t>
            </w:r>
          </w:p>
        </w:tc>
      </w:tr>
      <w:tr>
        <w:tc>
          <w:tcPr/>
          <w:p>
            <w:pPr>
              <w:pStyle w:val="Compact"/>
              <w:jc w:val="left"/>
            </w:pPr>
            <w:r>
              <w:t xml:space="preserve">[20]</w:t>
            </w:r>
          </w:p>
        </w:tc>
        <w:tc>
          <w:tcPr/>
          <w:p>
            <w:pPr>
              <w:pStyle w:val="Compact"/>
              <w:jc w:val="left"/>
            </w:pPr>
            <w:r>
              <w:t xml:space="preserve">Kim et al. (2022)</w:t>
            </w:r>
          </w:p>
        </w:tc>
        <w:tc>
          <w:tcPr/>
          <w:p>
            <w:pPr>
              <w:pStyle w:val="Compact"/>
              <w:jc w:val="left"/>
            </w:pPr>
            <w:r>
              <w:t xml:space="preserve">Primary field study</w:t>
            </w:r>
          </w:p>
        </w:tc>
        <w:tc>
          <w:tcPr/>
          <w:p>
            <w:pPr>
              <w:pStyle w:val="Compact"/>
              <w:jc w:val="left"/>
            </w:pPr>
            <w:r>
              <w:t xml:space="preserve">https://doi.org/10.1039/D1EW00826A</w:t>
            </w:r>
          </w:p>
        </w:tc>
        <w:tc>
          <w:tcPr/>
          <w:p>
            <w:pPr>
              <w:pStyle w:val="Compact"/>
              <w:jc w:val="left"/>
            </w:pPr>
            <w:r>
              <w:t xml:space="preserve">SARS-CoV-2 RNA enriched ~3 orders of magnitude in settled solids vs. liquid influent (§5.3)</w:t>
            </w:r>
          </w:p>
        </w:tc>
        <w:tc>
          <w:tcPr/>
          <w:p>
            <w:pPr>
              <w:pStyle w:val="Compact"/>
              <w:jc w:val="left"/>
            </w:pPr>
            <w:r>
              <w:t xml:space="preserve">⚠ author list truncated (</w:t>
            </w:r>
            <w:r>
              <w:t xml:space="preserve">“</w:t>
            </w:r>
            <w:r>
              <w:t xml:space="preserve">et al.</w:t>
            </w:r>
            <w:r>
              <w:t xml:space="preserve">”</w:t>
            </w:r>
            <w:r>
              <w:t xml:space="preserve">) — partial only</w:t>
            </w:r>
          </w:p>
        </w:tc>
        <w:tc>
          <w:tcPr/>
          <w:p>
            <w:pPr>
              <w:pStyle w:val="Compact"/>
              <w:jc w:val="left"/>
            </w:pPr>
            <w:r>
              <w:t xml:space="preserve">⚠ enrichment-magnitude figure snippet-derived; text explicitly notes other studies report contradictory partitioning ratios, so no single number is treated as settled</w:t>
            </w:r>
          </w:p>
        </w:tc>
      </w:tr>
      <w:tr>
        <w:tc>
          <w:tcPr/>
          <w:p>
            <w:pPr>
              <w:pStyle w:val="Compact"/>
              <w:jc w:val="left"/>
            </w:pPr>
            <w:r>
              <w:t xml:space="preserve">[21]</w:t>
            </w:r>
          </w:p>
        </w:tc>
        <w:tc>
          <w:tcPr/>
          <w:p>
            <w:pPr>
              <w:pStyle w:val="Compact"/>
              <w:jc w:val="left"/>
            </w:pPr>
            <w:r>
              <w:t xml:space="preserve">Williams et al. (2024)</w:t>
            </w:r>
          </w:p>
        </w:tc>
        <w:tc>
          <w:tcPr/>
          <w:p>
            <w:pPr>
              <w:pStyle w:val="Compact"/>
              <w:jc w:val="left"/>
            </w:pPr>
            <w:r>
              <w:t xml:space="preserve">Primary laboratory study</w:t>
            </w:r>
          </w:p>
        </w:tc>
        <w:tc>
          <w:tcPr/>
          <w:p>
            <w:pPr>
              <w:pStyle w:val="Compact"/>
              <w:jc w:val="left"/>
            </w:pPr>
            <w:r>
              <w:t xml:space="preserve">https://doi.org/10.1016/j.watres.2024.121879</w:t>
            </w:r>
          </w:p>
        </w:tc>
        <w:tc>
          <w:tcPr/>
          <w:p>
            <w:pPr>
              <w:pStyle w:val="Compact"/>
              <w:jc w:val="left"/>
            </w:pPr>
            <w:r>
              <w:t xml:space="preserve">4°C storage &gt; freezing for RNA recovery; S gene more freeze-thaw-sensitive than E/N; short-term (~days) stability at 4°C/ambient; long-term stability at −80°C (§5.4)</w:t>
            </w:r>
          </w:p>
        </w:tc>
        <w:tc>
          <w:tcPr/>
          <w:p>
            <w:pPr>
              <w:pStyle w:val="Compact"/>
              <w:jc w:val="left"/>
            </w:pPr>
            <w:r>
              <w:t xml:space="preserve">✅ full 12-author list confirmed, DOI confirmed</w:t>
            </w:r>
          </w:p>
        </w:tc>
        <w:tc>
          <w:tcPr/>
          <w:p>
            <w:pPr>
              <w:pStyle w:val="Compact"/>
              <w:jc w:val="left"/>
            </w:pPr>
            <w:r>
              <w:t xml:space="preserve">⚠ qualitative direction of each finding recurred consistently across search results; exact recovery percentages not asserted in text (intentionally)</w:t>
            </w:r>
          </w:p>
        </w:tc>
      </w:tr>
      <w:tr>
        <w:tc>
          <w:tcPr/>
          <w:p>
            <w:pPr>
              <w:pStyle w:val="Compact"/>
              <w:jc w:val="left"/>
            </w:pPr>
            <w:r>
              <w:t xml:space="preserve">[22]</w:t>
            </w:r>
          </w:p>
        </w:tc>
        <w:tc>
          <w:tcPr/>
          <w:p>
            <w:pPr>
              <w:pStyle w:val="Compact"/>
              <w:jc w:val="left"/>
            </w:pPr>
            <w:r>
              <w:t xml:space="preserve">Zafeiriadou et al. (2024)</w:t>
            </w:r>
          </w:p>
        </w:tc>
        <w:tc>
          <w:tcPr/>
          <w:p>
            <w:pPr>
              <w:pStyle w:val="Compact"/>
              <w:jc w:val="left"/>
            </w:pPr>
            <w:r>
              <w:t xml:space="preserve">Primary laboratory study</w:t>
            </w:r>
          </w:p>
        </w:tc>
        <w:tc>
          <w:tcPr/>
          <w:p>
            <w:pPr>
              <w:pStyle w:val="Compact"/>
              <w:jc w:val="left"/>
            </w:pPr>
            <w:r>
              <w:t xml:space="preserve">https://doi.org/10.1016/j.scitotenv.2024.176768 (PMID 39393702)</w:t>
            </w:r>
          </w:p>
        </w:tc>
        <w:tc>
          <w:tcPr/>
          <w:p>
            <w:pPr>
              <w:pStyle w:val="Compact"/>
              <w:jc w:val="left"/>
            </w:pPr>
            <w:r>
              <w:t xml:space="preserve">Wastewater PCR inhibitors are matrix/catchment-variable; dilution, inhibitor-removal kits, and gp32 addition are common mitigation strategies (§5.5)</w:t>
            </w:r>
          </w:p>
        </w:tc>
        <w:tc>
          <w:tcPr/>
          <w:p>
            <w:pPr>
              <w:pStyle w:val="Compact"/>
              <w:jc w:val="left"/>
            </w:pPr>
            <w:r>
              <w:t xml:space="preserve">✅</w:t>
            </w:r>
            <w:r>
              <w:t xml:space="preserve"> </w:t>
            </w:r>
            <w:r>
              <w:rPr>
                <w:bCs/>
                <w:b/>
              </w:rPr>
              <w:t xml:space="preserve">RESOLVED 2026-07-12</w:t>
            </w:r>
            <w:r>
              <w:t xml:space="preserve">: two independent checks (PubMed’s indexed citation record; Elsevier/ScienceDirect journal page for STOTEN vol. 955) both confirm Zafeiriadou as first author, agreeing with each other. An SSRN preprint listing (Markou first) is treated as an earlier ordering superseded by the published version. DOI now confirmed.</w:t>
            </w:r>
          </w:p>
        </w:tc>
        <w:tc>
          <w:tcPr/>
          <w:p>
            <w:pPr>
              <w:pStyle w:val="Compact"/>
              <w:jc w:val="left"/>
            </w:pPr>
            <w:r>
              <w:t xml:space="preserve">⚠ general mitigation-strategy list is consistent across sources; no specific performance percentage asserted in text</w:t>
            </w:r>
          </w:p>
        </w:tc>
      </w:tr>
      <w:tr>
        <w:tc>
          <w:tcPr/>
          <w:p>
            <w:pPr>
              <w:pStyle w:val="Compact"/>
              <w:jc w:val="left"/>
            </w:pPr>
            <w:r>
              <w:t xml:space="preserve">[23]</w:t>
            </w:r>
          </w:p>
        </w:tc>
        <w:tc>
          <w:tcPr/>
          <w:p>
            <w:pPr>
              <w:pStyle w:val="Compact"/>
              <w:jc w:val="left"/>
            </w:pPr>
            <w:r>
              <w:t xml:space="preserve">Elbait et al. (2024)</w:t>
            </w:r>
          </w:p>
        </w:tc>
        <w:tc>
          <w:tcPr/>
          <w:p>
            <w:pPr>
              <w:pStyle w:val="Compact"/>
              <w:jc w:val="left"/>
            </w:pPr>
            <w:r>
              <w:t xml:space="preserve">Primary method-comparison study</w:t>
            </w:r>
          </w:p>
        </w:tc>
        <w:tc>
          <w:tcPr/>
          <w:p>
            <w:pPr>
              <w:pStyle w:val="Compact"/>
              <w:jc w:val="left"/>
            </w:pPr>
            <w:r>
              <w:t xml:space="preserve">https://doi.org/10.1371/journal.pone.0298325</w:t>
            </w:r>
          </w:p>
        </w:tc>
        <w:tc>
          <w:tcPr/>
          <w:p>
            <w:pPr>
              <w:pStyle w:val="Compact"/>
              <w:jc w:val="left"/>
            </w:pPr>
            <w:r>
              <w:t xml:space="preserve">qPCR vs. metagenomic sequencing give meaningfully different quantitative pictures of ARGs in the same wastewater samples (§5.6)</w:t>
            </w:r>
          </w:p>
        </w:tc>
        <w:tc>
          <w:tcPr/>
          <w:p>
            <w:pPr>
              <w:pStyle w:val="Compact"/>
              <w:jc w:val="left"/>
            </w:pPr>
            <w:r>
              <w:t xml:space="preserve">⚠ author list truncated (</w:t>
            </w:r>
            <w:r>
              <w:t xml:space="preserve">“</w:t>
            </w:r>
            <w:r>
              <w:t xml:space="preserve">et al.</w:t>
            </w:r>
            <w:r>
              <w:t xml:space="preserve">”</w:t>
            </w:r>
            <w:r>
              <w:t xml:space="preserve">) — partial only</w:t>
            </w:r>
          </w:p>
        </w:tc>
        <w:tc>
          <w:tcPr/>
          <w:p>
            <w:pPr>
              <w:pStyle w:val="Compact"/>
              <w:jc w:val="left"/>
            </w:pPr>
            <w:r>
              <w:t xml:space="preserve">⚠ qualitative discordance claim snippet-derived; no specific concordance statistic asserted in text</w:t>
            </w:r>
          </w:p>
        </w:tc>
      </w:tr>
      <w:tr>
        <w:tc>
          <w:tcPr/>
          <w:p>
            <w:pPr>
              <w:pStyle w:val="Compact"/>
              <w:jc w:val="left"/>
            </w:pPr>
            <w:r>
              <w:t xml:space="preserve">[24]</w:t>
            </w:r>
          </w:p>
        </w:tc>
        <w:tc>
          <w:tcPr/>
          <w:p>
            <w:pPr>
              <w:pStyle w:val="Compact"/>
              <w:jc w:val="left"/>
            </w:pPr>
            <w:r>
              <w:t xml:space="preserve">Pecson et al. (2021)</w:t>
            </w:r>
          </w:p>
        </w:tc>
        <w:tc>
          <w:tcPr/>
          <w:p>
            <w:pPr>
              <w:pStyle w:val="Compact"/>
              <w:jc w:val="left"/>
            </w:pPr>
            <w:r>
              <w:t xml:space="preserve">Primary interlaboratory study</w:t>
            </w:r>
          </w:p>
        </w:tc>
        <w:tc>
          <w:tcPr/>
          <w:p>
            <w:pPr>
              <w:pStyle w:val="Compact"/>
              <w:jc w:val="left"/>
            </w:pPr>
            <w:r>
              <w:t xml:space="preserve">DOI pattern-inferred, not confirmed (see references file)</w:t>
            </w:r>
          </w:p>
        </w:tc>
        <w:tc>
          <w:tcPr/>
          <w:p>
            <w:pPr>
              <w:pStyle w:val="Compact"/>
              <w:jc w:val="left"/>
            </w:pPr>
            <w:r>
              <w:t xml:space="preserve">36-SOP U.S. interlab comparison: ~7 log₁₀ range in recovery/LOD across methods; ~2.3 log₁₀ GC spread in recovery-corrected 10th–90th percentile results; within-SOP reproducibility &gt;&gt; across-SOP (§5.5)</w:t>
            </w:r>
          </w:p>
        </w:tc>
        <w:tc>
          <w:tcPr/>
          <w:p>
            <w:pPr>
              <w:pStyle w:val="Compact"/>
              <w:jc w:val="left"/>
            </w:pPr>
            <w:r>
              <w:t xml:space="preserve">✅ full 17-named-author + consortium byline confirmed via dedicated search</w:t>
            </w:r>
          </w:p>
        </w:tc>
        <w:tc>
          <w:tcPr/>
          <w:p>
            <w:pPr>
              <w:pStyle w:val="Compact"/>
              <w:jc w:val="left"/>
            </w:pPr>
            <w:r>
              <w:t xml:space="preserve">⚠ specific log₁₀ figures snippet-derived, explicitly hedged in text as</w:t>
            </w:r>
            <w:r>
              <w:t xml:space="preserve"> </w:t>
            </w:r>
            <w:r>
              <w:t xml:space="preserve">“</w:t>
            </w:r>
            <w:r>
              <w:t xml:space="preserve">pending full-text confirmation</w:t>
            </w:r>
            <w:r>
              <w:t xml:space="preserve">”</w:t>
            </w:r>
          </w:p>
        </w:tc>
      </w:tr>
      <w:tr>
        <w:tc>
          <w:tcPr/>
          <w:p>
            <w:pPr>
              <w:pStyle w:val="Compact"/>
              <w:jc w:val="left"/>
            </w:pPr>
            <w:r>
              <w:t xml:space="preserve">[25]</w:t>
            </w:r>
          </w:p>
        </w:tc>
        <w:tc>
          <w:tcPr/>
          <w:p>
            <w:pPr>
              <w:pStyle w:val="Compact"/>
              <w:jc w:val="left"/>
            </w:pPr>
            <w:r>
              <w:t xml:space="preserve">Chen et al. (2024, arXiv preprint)</w:t>
            </w:r>
          </w:p>
        </w:tc>
        <w:tc>
          <w:tcPr/>
          <w:p>
            <w:pPr>
              <w:pStyle w:val="Compact"/>
              <w:jc w:val="left"/>
            </w:pPr>
            <w:r>
              <w:t xml:space="preserve">Preprint survey (non-peer-reviewed)</w:t>
            </w:r>
          </w:p>
        </w:tc>
        <w:tc>
          <w:tcPr/>
          <w:p>
            <w:pPr>
              <w:pStyle w:val="Compact"/>
              <w:jc w:val="left"/>
            </w:pPr>
            <w:r>
              <w:t xml:space="preserve">https://arxiv.org/abs/2403.15291</w:t>
            </w:r>
          </w:p>
        </w:tc>
        <w:tc>
          <w:tcPr/>
          <w:p>
            <w:pPr>
              <w:pStyle w:val="Compact"/>
              <w:jc w:val="left"/>
            </w:pPr>
            <w:r>
              <w:t xml:space="preserve">Main text (as of 2026-07-12 revision) now cites this source only for a qualitative claim: grab sampling has weaker representativeness than flow-proportional composite sampling (§5.2)</w:t>
            </w:r>
          </w:p>
        </w:tc>
        <w:tc>
          <w:tcPr/>
          <w:p>
            <w:pPr>
              <w:pStyle w:val="Compact"/>
              <w:jc w:val="left"/>
            </w:pPr>
            <w:r>
              <w:t xml:space="preserve">✅ full 13-author list confirmed</w:t>
            </w:r>
          </w:p>
        </w:tc>
        <w:tc>
          <w:tcPr/>
          <w:p>
            <w:pPr>
              <w:pStyle w:val="Compact"/>
              <w:jc w:val="left"/>
            </w:pPr>
            <w:r>
              <w:t xml:space="preserve">❌</w:t>
            </w:r>
            <w:r>
              <w:t xml:space="preserve"> </w:t>
            </w:r>
            <w:r>
              <w:rPr>
                <w:bCs/>
                <w:b/>
              </w:rPr>
              <w:t xml:space="preserve">the specific</w:t>
            </w:r>
            <w:r>
              <w:rPr>
                <w:bCs/>
                <w:b/>
              </w:rPr>
              <w:t xml:space="preserve"> </w:t>
            </w:r>
            <w:r>
              <w:rPr>
                <w:bCs/>
                <w:b/>
              </w:rPr>
              <w:t xml:space="preserve">“</w:t>
            </w:r>
            <w:r>
              <w:rPr>
                <w:bCs/>
                <w:b/>
              </w:rPr>
              <w:t xml:space="preserve">≈30% vs. &lt;10%</w:t>
            </w:r>
            <w:r>
              <w:rPr>
                <w:bCs/>
                <w:b/>
              </w:rPr>
              <w:t xml:space="preserve">”</w:t>
            </w:r>
            <w:r>
              <w:rPr>
                <w:bCs/>
                <w:b/>
              </w:rPr>
              <w:t xml:space="preserve"> </w:t>
            </w:r>
            <w:r>
              <w:rPr>
                <w:bCs/>
                <w:b/>
              </w:rPr>
              <w:t xml:space="preserve">figures have been removed from main-text prose per author instruction</w:t>
            </w:r>
            <w:r>
              <w:t xml:space="preserve"> </w:t>
            </w:r>
            <w:r>
              <w:t xml:space="preserve">— they remain here and in the references file as pending full-text verification / pending identification of the original primary source this preprint survey is itself restating; do not reintroduce them into the main text without tracing to that primary source</w:t>
            </w:r>
          </w:p>
        </w:tc>
      </w:tr>
      <w:tr>
        <w:tc>
          <w:tcPr/>
          <w:p>
            <w:pPr>
              <w:pStyle w:val="Compact"/>
              <w:jc w:val="left"/>
            </w:pPr>
            <w:r>
              <w:t xml:space="preserve">[26]</w:t>
            </w:r>
          </w:p>
        </w:tc>
        <w:tc>
          <w:tcPr/>
          <w:p>
            <w:pPr>
              <w:pStyle w:val="Compact"/>
              <w:jc w:val="left"/>
            </w:pPr>
            <w:r>
              <w:t xml:space="preserve">Langeveld et al. (2022)</w:t>
            </w:r>
          </w:p>
        </w:tc>
        <w:tc>
          <w:tcPr/>
          <w:p>
            <w:pPr>
              <w:pStyle w:val="Compact"/>
              <w:jc w:val="left"/>
            </w:pPr>
            <w:r>
              <w:t xml:space="preserve">Primary field study</w:t>
            </w:r>
          </w:p>
        </w:tc>
        <w:tc>
          <w:tcPr/>
          <w:p>
            <w:pPr>
              <w:pStyle w:val="Compact"/>
              <w:jc w:val="left"/>
            </w:pPr>
            <w:r>
              <w:t xml:space="preserve">DOI not confirmed (see references file)</w:t>
            </w:r>
          </w:p>
        </w:tc>
        <w:tc>
          <w:tcPr/>
          <w:p>
            <w:pPr>
              <w:pStyle w:val="Compact"/>
              <w:jc w:val="left"/>
            </w:pPr>
            <w:r>
              <w:t xml:space="preserve">Flow normalization necessary for reliable short-term trend detection; conductivity/crAssphage recommended as quality check, not replacement (§6.2, Table 3)</w:t>
            </w:r>
          </w:p>
        </w:tc>
        <w:tc>
          <w:tcPr/>
          <w:p>
            <w:pPr>
              <w:pStyle w:val="Compact"/>
              <w:jc w:val="left"/>
            </w:pPr>
            <w:r>
              <w:t xml:space="preserve">⚠ full 10-author list confirmed via dedicated search; vol/page/DOI not confirmed</w:t>
            </w:r>
          </w:p>
        </w:tc>
        <w:tc>
          <w:tcPr/>
          <w:p>
            <w:pPr>
              <w:pStyle w:val="Compact"/>
              <w:jc w:val="left"/>
            </w:pPr>
            <w:r>
              <w:t xml:space="preserve">⚠ study-design facts (9 sites, ~1,100 samples, 1 year) snippet-derived; interpretive conclusion (flow necessary, not sufficient) recurred consistently across 2 searches</w:t>
            </w:r>
          </w:p>
        </w:tc>
      </w:tr>
      <w:tr>
        <w:tc>
          <w:tcPr/>
          <w:p>
            <w:pPr>
              <w:pStyle w:val="Compact"/>
              <w:jc w:val="left"/>
            </w:pPr>
            <w:r>
              <w:t xml:space="preserve">[27]</w:t>
            </w:r>
          </w:p>
        </w:tc>
        <w:tc>
          <w:tcPr/>
          <w:p>
            <w:pPr>
              <w:pStyle w:val="Compact"/>
              <w:jc w:val="left"/>
            </w:pPr>
            <w:r>
              <w:t xml:space="preserve">Hsu et al. (2022, Water Research)</w:t>
            </w:r>
          </w:p>
        </w:tc>
        <w:tc>
          <w:tcPr/>
          <w:p>
            <w:pPr>
              <w:pStyle w:val="Compact"/>
              <w:jc w:val="left"/>
            </w:pPr>
            <w:r>
              <w:t xml:space="preserve">Primary field/validation study</w:t>
            </w:r>
          </w:p>
        </w:tc>
        <w:tc>
          <w:tcPr/>
          <w:p>
            <w:pPr>
              <w:pStyle w:val="Compact"/>
              <w:jc w:val="left"/>
            </w:pPr>
            <w:r>
              <w:t xml:space="preserve">PMID 35313587; DOI not independently confirmed</w:t>
            </w:r>
          </w:p>
        </w:tc>
        <w:tc>
          <w:tcPr/>
          <w:p>
            <w:pPr>
              <w:pStyle w:val="Compact"/>
              <w:jc w:val="left"/>
            </w:pPr>
            <w:r>
              <w:t xml:space="preserve">Paraxanthine outperformed PMMoV, creatinine, 5-HIAA across 64 Missouri WWTPs (§6.4, Table 3)</w:t>
            </w:r>
          </w:p>
        </w:tc>
        <w:tc>
          <w:tcPr/>
          <w:p>
            <w:pPr>
              <w:pStyle w:val="Compact"/>
              <w:jc w:val="left"/>
            </w:pPr>
            <w:r>
              <w:t xml:space="preserve">✅ full 15-author list + PMID confirmed</w:t>
            </w:r>
          </w:p>
        </w:tc>
        <w:tc>
          <w:tcPr/>
          <w:p>
            <w:pPr>
              <w:pStyle w:val="Compact"/>
              <w:jc w:val="left"/>
            </w:pPr>
            <w:r>
              <w:t xml:space="preserve">⚠</w:t>
            </w:r>
            <w:r>
              <w:t xml:space="preserve"> </w:t>
            </w:r>
            <w:r>
              <w:rPr>
                <w:bCs/>
                <w:b/>
              </w:rPr>
              <w:t xml:space="preserve">relationship to a same-author medRxiv preprint with a near-identical title/topic was not resolved</w:t>
            </w:r>
            <w:r>
              <w:t xml:space="preserve"> </w:t>
            </w:r>
            <w:r>
              <w:t xml:space="preserve">— flagged explicitly in references file to avoid double-counting one dataset as two independent validations; treat the</w:t>
            </w:r>
            <w:r>
              <w:t xml:space="preserve"> </w:t>
            </w:r>
            <w:r>
              <w:t xml:space="preserve">“</w:t>
            </w:r>
            <w:r>
              <w:t xml:space="preserve">single statewide program</w:t>
            </w:r>
            <w:r>
              <w:t xml:space="preserve">”</w:t>
            </w:r>
            <w:r>
              <w:t xml:space="preserve"> </w:t>
            </w:r>
            <w:r>
              <w:t xml:space="preserve">caveat in §6.4 as binding regardless of how this resolves</w:t>
            </w:r>
          </w:p>
        </w:tc>
      </w:tr>
      <w:tr>
        <w:tc>
          <w:tcPr/>
          <w:p>
            <w:pPr>
              <w:pStyle w:val="Compact"/>
              <w:jc w:val="left"/>
            </w:pPr>
            <w:r>
              <w:t xml:space="preserve">[28]</w:t>
            </w:r>
          </w:p>
        </w:tc>
        <w:tc>
          <w:tcPr/>
          <w:p>
            <w:pPr>
              <w:pStyle w:val="Compact"/>
              <w:jc w:val="left"/>
            </w:pPr>
            <w:r>
              <w:t xml:space="preserve">Maal-Bared et al. (2023)</w:t>
            </w:r>
          </w:p>
        </w:tc>
        <w:tc>
          <w:tcPr/>
          <w:p>
            <w:pPr>
              <w:pStyle w:val="Compact"/>
              <w:jc w:val="left"/>
            </w:pPr>
            <w:r>
              <w:t xml:space="preserve">Primary field comparison study</w:t>
            </w:r>
          </w:p>
        </w:tc>
        <w:tc>
          <w:tcPr/>
          <w:p>
            <w:pPr>
              <w:pStyle w:val="Compact"/>
              <w:jc w:val="left"/>
            </w:pPr>
            <w:r>
              <w:t xml:space="preserve">DOI not confirmed (see references file)</w:t>
            </w:r>
          </w:p>
        </w:tc>
        <w:tc>
          <w:tcPr/>
          <w:p>
            <w:pPr>
              <w:pStyle w:val="Compact"/>
              <w:jc w:val="left"/>
            </w:pPr>
            <w:r>
              <w:t xml:space="preserve">PMMoV improved correlation at only 2/12 Alberta systems; ammonia/TKN/TP produced the largest pooled correlation improvement of markers tested (§6.4, §6.5, Table 3)</w:t>
            </w:r>
          </w:p>
        </w:tc>
        <w:tc>
          <w:tcPr/>
          <w:p>
            <w:pPr>
              <w:pStyle w:val="Compact"/>
              <w:jc w:val="left"/>
            </w:pPr>
            <w:r>
              <w:t xml:space="preserve">✅ full 10-author list confirmed via dedicated search</w:t>
            </w:r>
          </w:p>
        </w:tc>
        <w:tc>
          <w:tcPr/>
          <w:p>
            <w:pPr>
              <w:pStyle w:val="Compact"/>
              <w:jc w:val="left"/>
            </w:pPr>
            <w:r>
              <w:t xml:space="preserve">⚠ the</w:t>
            </w:r>
            <w:r>
              <w:t xml:space="preserve"> </w:t>
            </w:r>
            <w:r>
              <w:t xml:space="preserve">“</w:t>
            </w:r>
            <w:r>
              <w:t xml:space="preserve">2 of 12</w:t>
            </w:r>
            <w:r>
              <w:t xml:space="preserve">”</w:t>
            </w:r>
            <w:r>
              <w:t xml:space="preserve"> </w:t>
            </w:r>
            <w:r>
              <w:t xml:space="preserve">and pooled-improvement-magnitude figures are snippet-derived; qualitative ranking (ammonia/TKN/TP &gt; PMMoV) recurred across the search</w:t>
            </w:r>
          </w:p>
        </w:tc>
      </w:tr>
      <w:tr>
        <w:tc>
          <w:tcPr/>
          <w:p>
            <w:pPr>
              <w:pStyle w:val="Compact"/>
              <w:jc w:val="left"/>
            </w:pPr>
            <w:r>
              <w:t xml:space="preserve">[29]</w:t>
            </w:r>
          </w:p>
        </w:tc>
        <w:tc>
          <w:tcPr/>
          <w:p>
            <w:pPr>
              <w:pStyle w:val="Compact"/>
              <w:jc w:val="left"/>
            </w:pPr>
            <w:r>
              <w:t xml:space="preserve">Dhiyebi et al. (2023)</w:t>
            </w:r>
          </w:p>
        </w:tc>
        <w:tc>
          <w:tcPr/>
          <w:p>
            <w:pPr>
              <w:pStyle w:val="Compact"/>
              <w:jc w:val="left"/>
            </w:pPr>
            <w:r>
              <w:t xml:space="preserve">Primary field study</w:t>
            </w:r>
          </w:p>
        </w:tc>
        <w:tc>
          <w:tcPr/>
          <w:p>
            <w:pPr>
              <w:pStyle w:val="Compact"/>
              <w:jc w:val="left"/>
            </w:pPr>
            <w:r>
              <w:t xml:space="preserve">https://doi.org/10.3389/fpubh.2023.1186525</w:t>
            </w:r>
          </w:p>
        </w:tc>
        <w:tc>
          <w:tcPr/>
          <w:p>
            <w:pPr>
              <w:pStyle w:val="Compact"/>
              <w:jc w:val="left"/>
            </w:pPr>
            <w:r>
              <w:t xml:space="preserve">PMMoV normalization did not improve correlation at one Ontario site and significantly reduced it at two others (§6.5, Table 3)</w:t>
            </w:r>
          </w:p>
        </w:tc>
        <w:tc>
          <w:tcPr/>
          <w:p>
            <w:pPr>
              <w:pStyle w:val="Compact"/>
              <w:jc w:val="left"/>
            </w:pPr>
            <w:r>
              <w:t xml:space="preserve">✅ full 16-author list + DOI confirmed</w:t>
            </w:r>
          </w:p>
        </w:tc>
        <w:tc>
          <w:tcPr/>
          <w:p>
            <w:pPr>
              <w:pStyle w:val="Compact"/>
              <w:jc w:val="left"/>
            </w:pPr>
            <w:r>
              <w:t xml:space="preserve">⚠ site-specific correlation-reduction claim is snippet-derived, not confirmed against the paper’s own statistics</w:t>
            </w:r>
          </w:p>
        </w:tc>
      </w:tr>
      <w:tr>
        <w:tc>
          <w:tcPr/>
          <w:p>
            <w:pPr>
              <w:pStyle w:val="Compact"/>
              <w:jc w:val="left"/>
            </w:pPr>
            <w:r>
              <w:t xml:space="preserve">[30]</w:t>
            </w:r>
          </w:p>
        </w:tc>
        <w:tc>
          <w:tcPr/>
          <w:p>
            <w:pPr>
              <w:pStyle w:val="Compact"/>
              <w:jc w:val="left"/>
            </w:pPr>
            <w:r>
              <w:t xml:space="preserve">Chen et al. (2014)</w:t>
            </w:r>
          </w:p>
        </w:tc>
        <w:tc>
          <w:tcPr/>
          <w:p>
            <w:pPr>
              <w:pStyle w:val="Compact"/>
              <w:jc w:val="left"/>
            </w:pPr>
            <w:r>
              <w:t xml:space="preserve">Primary validation study</w:t>
            </w:r>
          </w:p>
        </w:tc>
        <w:tc>
          <w:tcPr/>
          <w:p>
            <w:pPr>
              <w:pStyle w:val="Compact"/>
              <w:jc w:val="left"/>
            </w:pPr>
            <w:r>
              <w:t xml:space="preserve">DOI pattern-inferred (see references file)</w:t>
            </w:r>
          </w:p>
        </w:tc>
        <w:tc>
          <w:tcPr/>
          <w:p>
            <w:pPr>
              <w:pStyle w:val="Compact"/>
              <w:jc w:val="left"/>
            </w:pPr>
            <w:r>
              <w:t xml:space="preserve">Creatinine disqualified for in-sewer instability; cotinine and 5-HIAA identified as most promising of 7 candidates tested; 5-HIAA preferred for cross-population comparison (§6.4, Table 3)</w:t>
            </w:r>
          </w:p>
        </w:tc>
        <w:tc>
          <w:tcPr/>
          <w:p>
            <w:pPr>
              <w:pStyle w:val="Compact"/>
              <w:jc w:val="left"/>
            </w:pPr>
            <w:r>
              <w:t xml:space="preserve">✅ full 6-author list confirmed</w:t>
            </w:r>
          </w:p>
        </w:tc>
        <w:tc>
          <w:tcPr/>
          <w:p>
            <w:pPr>
              <w:pStyle w:val="Compact"/>
              <w:jc w:val="left"/>
            </w:pPr>
            <w:r>
              <w:t xml:space="preserve">⚠ specific claim (7 candidates, which 2</w:t>
            </w:r>
            <w:r>
              <w:t xml:space="preserve"> </w:t>
            </w:r>
            <w:r>
              <w:t xml:space="preserve">“</w:t>
            </w:r>
            <w:r>
              <w:t xml:space="preserve">most promising</w:t>
            </w:r>
            <w:r>
              <w:t xml:space="preserve">”</w:t>
            </w:r>
            <w:r>
              <w:t xml:space="preserve">) recurred consistently across search results — comparatively high confidence for a snippet-derived claim, but still unread in full text</w:t>
            </w:r>
          </w:p>
        </w:tc>
      </w:tr>
      <w:tr>
        <w:tc>
          <w:tcPr/>
          <w:p>
            <w:pPr>
              <w:pStyle w:val="Compact"/>
              <w:jc w:val="left"/>
            </w:pPr>
            <w:r>
              <w:t xml:space="preserve">[31]</w:t>
            </w:r>
          </w:p>
        </w:tc>
        <w:tc>
          <w:tcPr/>
          <w:p>
            <w:pPr>
              <w:pStyle w:val="Compact"/>
              <w:jc w:val="left"/>
            </w:pPr>
            <w:r>
              <w:t xml:space="preserve">Been et al. (2014)</w:t>
            </w:r>
          </w:p>
        </w:tc>
        <w:tc>
          <w:tcPr/>
          <w:p>
            <w:pPr>
              <w:pStyle w:val="Compact"/>
              <w:jc w:val="left"/>
            </w:pPr>
            <w:r>
              <w:t xml:space="preserve">Primary field study</w:t>
            </w:r>
          </w:p>
        </w:tc>
        <w:tc>
          <w:tcPr/>
          <w:p>
            <w:pPr>
              <w:pStyle w:val="Compact"/>
              <w:jc w:val="left"/>
            </w:pPr>
            <w:r>
              <w:t xml:space="preserve">https://doi.org/10.1021/es5008388</w:t>
            </w:r>
          </w:p>
        </w:tc>
        <w:tc>
          <w:tcPr/>
          <w:p>
            <w:pPr>
              <w:pStyle w:val="Compact"/>
              <w:jc w:val="left"/>
            </w:pPr>
            <w:r>
              <w:t xml:space="preserve">Continuous ammonium load tracked weekly (commuter) and seasonal (holiday) population fluctuation; drug-metabolite diurnal profiles correlated with ammonium signal (§6.3, Table 3)</w:t>
            </w:r>
          </w:p>
        </w:tc>
        <w:tc>
          <w:tcPr/>
          <w:p>
            <w:pPr>
              <w:pStyle w:val="Compact"/>
              <w:jc w:val="left"/>
            </w:pPr>
            <w:r>
              <w:t xml:space="preserve">⚠ author list truncated (</w:t>
            </w:r>
            <w:r>
              <w:t xml:space="preserve">“</w:t>
            </w:r>
            <w:r>
              <w:t xml:space="preserve">et al.</w:t>
            </w:r>
            <w:r>
              <w:t xml:space="preserve">”</w:t>
            </w:r>
            <w:r>
              <w:t xml:space="preserve">) — partial only</w:t>
            </w:r>
          </w:p>
        </w:tc>
        <w:tc>
          <w:tcPr/>
          <w:p>
            <w:pPr>
              <w:pStyle w:val="Compact"/>
              <w:jc w:val="left"/>
            </w:pPr>
            <w:r>
              <w:t xml:space="preserve">⚠ qualitative correlation claim snippet-derived, no coefficient asserted in main text</w:t>
            </w:r>
          </w:p>
        </w:tc>
      </w:tr>
      <w:tr>
        <w:tc>
          <w:tcPr/>
          <w:p>
            <w:pPr>
              <w:pStyle w:val="Compact"/>
              <w:jc w:val="left"/>
            </w:pPr>
            <w:r>
              <w:t xml:space="preserve">[32]</w:t>
            </w:r>
          </w:p>
        </w:tc>
        <w:tc>
          <w:tcPr/>
          <w:p>
            <w:pPr>
              <w:pStyle w:val="Compact"/>
              <w:jc w:val="left"/>
            </w:pPr>
            <w:r>
              <w:t xml:space="preserve">Baz-Lomba et al. (2019)</w:t>
            </w:r>
          </w:p>
        </w:tc>
        <w:tc>
          <w:tcPr/>
          <w:p>
            <w:pPr>
              <w:pStyle w:val="Compact"/>
              <w:jc w:val="left"/>
            </w:pPr>
            <w:r>
              <w:t xml:space="preserve">Primary field study</w:t>
            </w:r>
          </w:p>
        </w:tc>
        <w:tc>
          <w:tcPr/>
          <w:p>
            <w:pPr>
              <w:pStyle w:val="Compact"/>
              <w:jc w:val="left"/>
            </w:pPr>
            <w:r>
              <w:t xml:space="preserve">PMID 30645103; https://doi.org/10.1021/acs.est.8b05389</w:t>
            </w:r>
          </w:p>
        </w:tc>
        <w:tc>
          <w:tcPr/>
          <w:p>
            <w:pPr>
              <w:pStyle w:val="Compact"/>
              <w:jc w:val="left"/>
            </w:pPr>
            <w:r>
              <w:t xml:space="preserve">Ammonium-based linear model best-correlated (</w:t>
            </w:r>
            <m:oMath>
              <m:sSup>
                <m:e>
                  <m:r>
                    <m:t>R</m:t>
                  </m:r>
                </m:e>
                <m:sup>
                  <m:r>
                    <m:t>2</m:t>
                  </m:r>
                </m:sup>
              </m:sSup>
              <m:r>
                <m:rPr>
                  <m:sty m:val="p"/>
                </m:rPr>
                <m:t>=</m:t>
              </m:r>
              <m:r>
                <m:t>0.88</m:t>
              </m:r>
            </m:oMath>
            <w:r>
              <w:t xml:space="preserve">) of 3 low-cost dynamic-population proxies against Oslo mobile-device data; &lt;10% mean error (§6.3, Table 3)</w:t>
            </w:r>
          </w:p>
        </w:tc>
        <w:tc>
          <w:tcPr/>
          <w:p>
            <w:pPr>
              <w:pStyle w:val="Compact"/>
              <w:jc w:val="left"/>
            </w:pPr>
            <w:r>
              <w:t xml:space="preserve">✅</w:t>
            </w:r>
            <w:r>
              <w:t xml:space="preserve"> </w:t>
            </w:r>
            <w:r>
              <w:rPr>
                <w:bCs/>
                <w:b/>
              </w:rPr>
              <w:t xml:space="preserve">RESOLVED 2026-07-12</w:t>
            </w:r>
            <w:r>
              <w:t xml:space="preserve">: full 5-author list confirmed (Baz-Lomba, Di Ruscio, Amador, Reid, Thomas) via dedicated search</w:t>
            </w:r>
          </w:p>
        </w:tc>
        <w:tc>
          <w:tcPr/>
          <w:p>
            <w:pPr>
              <w:pStyle w:val="Compact"/>
              <w:jc w:val="left"/>
            </w:pPr>
            <w:r>
              <w:t xml:space="preserve">⚠</w:t>
            </w:r>
            <w:r>
              <w:t xml:space="preserve"> </w:t>
            </w:r>
            <m:oMath>
              <m:sSup>
                <m:e>
                  <m:r>
                    <m:t>R</m:t>
                  </m:r>
                </m:e>
                <m:sup>
                  <m:r>
                    <m:t>2</m:t>
                  </m:r>
                </m:sup>
              </m:sSup>
            </m:oMath>
            <w:r>
              <w:t xml:space="preserve"> </w:t>
            </w:r>
            <w:r>
              <w:t xml:space="preserve">and error figures recurred consistently across 2 independent searches</w:t>
            </w:r>
          </w:p>
        </w:tc>
      </w:tr>
      <w:tr>
        <w:tc>
          <w:tcPr/>
          <w:p>
            <w:pPr>
              <w:pStyle w:val="Compact"/>
              <w:jc w:val="left"/>
            </w:pPr>
            <w:r>
              <w:t xml:space="preserve">[32b]</w:t>
            </w:r>
          </w:p>
        </w:tc>
        <w:tc>
          <w:tcPr/>
          <w:p>
            <w:pPr>
              <w:pStyle w:val="Compact"/>
              <w:jc w:val="left"/>
            </w:pPr>
            <w:r>
              <w:t xml:space="preserve">Thomas et al. (2017)</w:t>
            </w:r>
          </w:p>
        </w:tc>
        <w:tc>
          <w:tcPr/>
          <w:p>
            <w:pPr>
              <w:pStyle w:val="Compact"/>
              <w:jc w:val="left"/>
            </w:pPr>
            <w:r>
              <w:t xml:space="preserve">Primary field study</w:t>
            </w:r>
          </w:p>
        </w:tc>
        <w:tc>
          <w:tcPr/>
          <w:p>
            <w:pPr>
              <w:pStyle w:val="Compact"/>
              <w:jc w:val="left"/>
            </w:pPr>
            <w:r>
              <w:t xml:space="preserve">DOI not independently confirmed</w:t>
            </w:r>
          </w:p>
        </w:tc>
        <w:tc>
          <w:tcPr/>
          <w:p>
            <w:pPr>
              <w:pStyle w:val="Compact"/>
              <w:jc w:val="left"/>
            </w:pPr>
            <w:r>
              <w:t xml:space="preserve">Established mobile-device data as a validation reference for wastewater population-proxy comparisons (§6.3, context only)</w:t>
            </w:r>
          </w:p>
        </w:tc>
        <w:tc>
          <w:tcPr/>
          <w:p>
            <w:pPr>
              <w:pStyle w:val="Compact"/>
              <w:jc w:val="left"/>
            </w:pPr>
            <w:r>
              <w:t xml:space="preserve">⚠ lead author (Kevin V. Thomas) confirmed; full co-author list not independently confirmed this session</w:t>
            </w:r>
          </w:p>
        </w:tc>
        <w:tc>
          <w:tcPr/>
          <w:p>
            <w:pPr>
              <w:pStyle w:val="Compact"/>
              <w:jc w:val="left"/>
            </w:pPr>
            <w:r>
              <w:t xml:space="preserve">⚠ cited for context only — main text explicitly does not attribute the</w:t>
            </w:r>
            <w:r>
              <w:t xml:space="preserve"> </w:t>
            </w:r>
            <m:oMath>
              <m:sSup>
                <m:e>
                  <m:r>
                    <m:t>R</m:t>
                  </m:r>
                </m:e>
                <m:sup>
                  <m:r>
                    <m:t>2</m:t>
                  </m:r>
                </m:sup>
              </m:sSup>
              <m:r>
                <m:rPr>
                  <m:sty m:val="p"/>
                </m:rPr>
                <m:t>=</m:t>
              </m:r>
              <m:r>
                <m:t>0.88</m:t>
              </m:r>
            </m:oMath>
            <w:r>
              <w:t xml:space="preserve">/&lt;10%-error figures to this source, only to [32]</w:t>
            </w:r>
          </w:p>
        </w:tc>
      </w:tr>
      <w:tr>
        <w:tc>
          <w:tcPr/>
          <w:p>
            <w:pPr>
              <w:pStyle w:val="Compact"/>
              <w:jc w:val="left"/>
            </w:pPr>
            <w:r>
              <w:t xml:space="preserve">[33]</w:t>
            </w:r>
          </w:p>
        </w:tc>
        <w:tc>
          <w:tcPr/>
          <w:p>
            <w:pPr>
              <w:pStyle w:val="Compact"/>
              <w:jc w:val="left"/>
            </w:pPr>
            <w:r>
              <w:t xml:space="preserve">Chettleburgh et al. (2023)</w:t>
            </w:r>
          </w:p>
        </w:tc>
        <w:tc>
          <w:tcPr/>
          <w:p>
            <w:pPr>
              <w:pStyle w:val="Compact"/>
              <w:jc w:val="left"/>
            </w:pPr>
            <w:r>
              <w:t xml:space="preserve">Primary field comparison study</w:t>
            </w:r>
          </w:p>
        </w:tc>
        <w:tc>
          <w:tcPr/>
          <w:p>
            <w:pPr>
              <w:pStyle w:val="Compact"/>
              <w:jc w:val="left"/>
            </w:pPr>
            <w:r>
              <w:t xml:space="preserve">PMID 37660819; DOI pattern-inferred (see references file)</w:t>
            </w:r>
          </w:p>
        </w:tc>
        <w:tc>
          <w:tcPr/>
          <w:p>
            <w:pPr>
              <w:pStyle w:val="Compact"/>
              <w:jc w:val="left"/>
            </w:pPr>
            <w:r>
              <w:t xml:space="preserve">BacHuman outperformed HF183 on tested metrics; BacHuman and crAssphage showed lower CV than PMMoV/HF183, among 4 confirmed biomarkers (PMMoV, crAssphage, HF183, BacHuman) tested across 10 Southern Ontario WWTPs (§6.5, Table 3)</w:t>
            </w:r>
          </w:p>
        </w:tc>
        <w:tc>
          <w:tcPr/>
          <w:p>
            <w:pPr>
              <w:pStyle w:val="Compact"/>
              <w:jc w:val="left"/>
            </w:pPr>
            <w:r>
              <w:t xml:space="preserve">✅</w:t>
            </w:r>
            <w:r>
              <w:t xml:space="preserve"> </w:t>
            </w:r>
            <w:r>
              <w:rPr>
                <w:bCs/>
                <w:b/>
              </w:rPr>
              <w:t xml:space="preserve">RESOLVED 2026-07-12</w:t>
            </w:r>
            <w:r>
              <w:t xml:space="preserve">: full 10-author list confirmed via PubMed’s indexed citation record (Chettleburgh, Ma, Swinwood-Sky, McDougall, Kireina, Taggar, McBean, Parreira, Goodridge, Habash); volume/page (904, 166542) confirmed</w:t>
            </w:r>
          </w:p>
        </w:tc>
        <w:tc>
          <w:tcPr/>
          <w:p>
            <w:pPr>
              <w:pStyle w:val="Compact"/>
              <w:jc w:val="left"/>
            </w:pPr>
            <w:r>
              <w:t xml:space="preserve">⚠</w:t>
            </w:r>
            <w:r>
              <w:t xml:space="preserve"> </w:t>
            </w:r>
            <w:r>
              <w:rPr>
                <w:bCs/>
                <w:b/>
              </w:rPr>
              <w:t xml:space="preserve">the earlier</w:t>
            </w:r>
            <w:r>
              <w:rPr>
                <w:bCs/>
                <w:b/>
              </w:rPr>
              <w:t xml:space="preserve"> </w:t>
            </w:r>
            <w:r>
              <w:rPr>
                <w:bCs/>
                <w:b/>
              </w:rPr>
              <w:t xml:space="preserve">“</w:t>
            </w:r>
            <w:r>
              <w:rPr>
                <w:bCs/>
                <w:b/>
              </w:rPr>
              <w:t xml:space="preserve">marker-identity discrepancy</w:t>
            </w:r>
            <w:r>
              <w:rPr>
                <w:bCs/>
                <w:b/>
              </w:rPr>
              <w:t xml:space="preserve">”</w:t>
            </w:r>
            <w:r>
              <w:rPr>
                <w:bCs/>
                <w:b/>
              </w:rPr>
              <w:t xml:space="preserve"> </w:t>
            </w:r>
            <w:r>
              <w:rPr>
                <w:bCs/>
                <w:b/>
              </w:rPr>
              <w:t xml:space="preserve">flag is RESOLVED</w:t>
            </w:r>
            <w:r>
              <w:t xml:space="preserve">: the</w:t>
            </w:r>
            <w:r>
              <w:t xml:space="preserve"> </w:t>
            </w:r>
            <w:r>
              <w:t xml:space="preserve">“</w:t>
            </w:r>
            <w:r>
              <w:t xml:space="preserve">Bacteroides rRNA / human 18S rRNA</w:t>
            </w:r>
            <w:r>
              <w:t xml:space="preserve">”</w:t>
            </w:r>
            <w:r>
              <w:t xml:space="preserve"> </w:t>
            </w:r>
            <w:r>
              <w:t xml:space="preserve">description was a search-engine summarization error from an earlier round, superseded by PubMed’s formal record and the published paper’s own confirmed biomarker list (PMMoV, crAssphage, HF183, BacHuman). Specific median-concentration and CV figures remain snippet-derived and pending full-text confirmation, but the marker identities themselves are no longer in question.</w:t>
            </w:r>
          </w:p>
        </w:tc>
      </w:tr>
      <w:tr>
        <w:tc>
          <w:tcPr/>
          <w:p>
            <w:pPr>
              <w:pStyle w:val="Compact"/>
              <w:jc w:val="left"/>
            </w:pPr>
            <w:r>
              <w:t xml:space="preserve">[34]</w:t>
            </w:r>
          </w:p>
        </w:tc>
        <w:tc>
          <w:tcPr/>
          <w:p>
            <w:pPr>
              <w:pStyle w:val="Compact"/>
              <w:jc w:val="left"/>
            </w:pPr>
            <w:r>
              <w:t xml:space="preserve">Ahmed, Philo, Boehm, Halden, Bibby, &amp; Delgado Vela (2026)</w:t>
            </w:r>
          </w:p>
        </w:tc>
        <w:tc>
          <w:tcPr/>
          <w:p>
            <w:pPr>
              <w:pStyle w:val="Compact"/>
              <w:jc w:val="left"/>
            </w:pPr>
            <w:r>
              <w:t xml:space="preserve">Systematic review — critical/meta-level source, NOT a primary validation study</w:t>
            </w:r>
          </w:p>
        </w:tc>
        <w:tc>
          <w:tcPr/>
          <w:p>
            <w:pPr>
              <w:pStyle w:val="Compact"/>
              <w:jc w:val="left"/>
            </w:pPr>
            <w:r>
              <w:t xml:space="preserve">DOI pattern-inferred (see references file)</w:t>
            </w:r>
          </w:p>
        </w:tc>
        <w:tc>
          <w:tcPr/>
          <w:p>
            <w:pPr>
              <w:pStyle w:val="Compact"/>
              <w:jc w:val="left"/>
            </w:pPr>
            <w:r>
              <w:t xml:space="preserve">Systematic review of 247 WBE-normalization articles; normalization goals frequently unspecified or inconsistently reported (§6.1)</w:t>
            </w:r>
          </w:p>
        </w:tc>
        <w:tc>
          <w:tcPr/>
          <w:p>
            <w:pPr>
              <w:pStyle w:val="Compact"/>
              <w:jc w:val="left"/>
            </w:pPr>
            <w:r>
              <w:t xml:space="preserve">⚠ full 6-author list confirmed via search; DOI not independently confirmed</w:t>
            </w:r>
          </w:p>
        </w:tc>
        <w:tc>
          <w:tcPr/>
          <w:p>
            <w:pPr>
              <w:pStyle w:val="Compact"/>
              <w:jc w:val="left"/>
            </w:pPr>
            <w:r>
              <w:t xml:space="preserve">⚠ the</w:t>
            </w:r>
            <w:r>
              <w:t xml:space="preserve"> </w:t>
            </w:r>
            <w:r>
              <w:t xml:space="preserve">“</w:t>
            </w:r>
            <w:r>
              <w:t xml:space="preserve">247 articles</w:t>
            </w:r>
            <w:r>
              <w:t xml:space="preserve">”</w:t>
            </w:r>
            <w:r>
              <w:t xml:space="preserve"> </w:t>
            </w:r>
            <w:r>
              <w:t xml:space="preserve">figure and the</w:t>
            </w:r>
            <w:r>
              <w:t xml:space="preserve"> </w:t>
            </w:r>
            <w:r>
              <w:t xml:space="preserve">“</w:t>
            </w:r>
            <w:r>
              <w:t xml:space="preserve">goals frequently unspecified</w:t>
            </w:r>
            <w:r>
              <w:t xml:space="preserve">”</w:t>
            </w:r>
            <w:r>
              <w:t xml:space="preserve"> </w:t>
            </w:r>
            <w:r>
              <w:t xml:space="preserve">finding recurred consistently in the search summary — this is the direct resolution of the previously-unverified</w:t>
            </w:r>
            <w:r>
              <w:t xml:space="preserve"> </w:t>
            </w:r>
            <w:r>
              <w:t xml:space="preserve">“</w:t>
            </w:r>
            <w:r>
              <w:t xml:space="preserve">247 papers</w:t>
            </w:r>
            <w:r>
              <w:t xml:space="preserve">”</w:t>
            </w:r>
            <w:r>
              <w:t xml:space="preserve"> </w:t>
            </w:r>
            <w:r>
              <w:t xml:space="preserve">claim from the original project outline</w:t>
            </w:r>
          </w:p>
        </w:tc>
      </w:tr>
      <w:tr>
        <w:tc>
          <w:tcPr/>
          <w:p>
            <w:pPr>
              <w:pStyle w:val="Compact"/>
              <w:jc w:val="left"/>
            </w:pPr>
            <w:r>
              <w:t xml:space="preserve">[35]</w:t>
            </w:r>
          </w:p>
        </w:tc>
        <w:tc>
          <w:tcPr/>
          <w:p>
            <w:pPr>
              <w:pStyle w:val="Compact"/>
              <w:jc w:val="left"/>
            </w:pPr>
            <w:r>
              <w:t xml:space="preserve">Huisman et al. (2022)</w:t>
            </w:r>
          </w:p>
        </w:tc>
        <w:tc>
          <w:tcPr/>
          <w:p>
            <w:pPr>
              <w:pStyle w:val="Compact"/>
              <w:jc w:val="left"/>
            </w:pPr>
            <w:r>
              <w:rPr>
                <w:bCs/>
                <w:b/>
              </w:rPr>
              <w:t xml:space="preserve">Primary WBE methodological/modelling study</w:t>
            </w:r>
          </w:p>
        </w:tc>
        <w:tc>
          <w:tcPr/>
          <w:p>
            <w:pPr>
              <w:pStyle w:val="Compact"/>
              <w:jc w:val="left"/>
            </w:pPr>
            <w:r>
              <w:t xml:space="preserve">PMID 35617001; DOI not independently confirmed</w:t>
            </w:r>
          </w:p>
        </w:tc>
        <w:tc>
          <w:tcPr/>
          <w:p>
            <w:pPr>
              <w:pStyle w:val="Compact"/>
              <w:jc w:val="left"/>
            </w:pPr>
            <w:r>
              <w:t xml:space="preserve">Deconvolution of wastewater signal using a shedding-load kernel, combined with EpiEstim, estimates SARS-CoV-2</w:t>
            </w:r>
            <w:r>
              <w:t xml:space="preserve"> </w:t>
            </w:r>
            <m:oMath>
              <m:sSub>
                <m:e>
                  <m:r>
                    <m:t>R</m:t>
                  </m:r>
                </m:e>
                <m:sub>
                  <m:r>
                    <m:t>t</m:t>
                  </m:r>
                </m:sub>
              </m:sSub>
            </m:oMath>
            <w:r>
              <w:t xml:space="preserve"> </w:t>
            </w:r>
            <w:r>
              <w:t xml:space="preserve">independent of clinical data (§7.1.2, §7.3, Table 5)</w:t>
            </w:r>
          </w:p>
        </w:tc>
        <w:tc>
          <w:tcPr/>
          <w:p>
            <w:pPr>
              <w:pStyle w:val="Compact"/>
              <w:jc w:val="left"/>
            </w:pPr>
            <w:r>
              <w:t xml:space="preserve">✅ full 18-author list confirmed via dedicated search</w:t>
            </w:r>
          </w:p>
        </w:tc>
        <w:tc>
          <w:tcPr/>
          <w:p>
            <w:pPr>
              <w:pStyle w:val="Compact"/>
              <w:jc w:val="left"/>
            </w:pPr>
            <w:r>
              <w:t xml:space="preserve">⚠ the qualitative method description (deconvolution + EpiEstim) recurred consistently across multiple independent search results; specific quantitative comparison to clinical-case-based</w:t>
            </w:r>
            <w:r>
              <w:t xml:space="preserve"> </w:t>
            </w:r>
            <m:oMath>
              <m:sSub>
                <m:e>
                  <m:r>
                    <m:t>R</m:t>
                  </m:r>
                </m:e>
                <m:sub>
                  <m:r>
                    <m:t>t</m:t>
                  </m:r>
                </m:sub>
              </m:sSub>
            </m:oMath>
            <w:r>
              <w:t xml:space="preserve"> </w:t>
            </w:r>
            <w:r>
              <w:t xml:space="preserve">estimates not confirmed against full text</w:t>
            </w:r>
          </w:p>
        </w:tc>
      </w:tr>
      <w:tr>
        <w:tc>
          <w:tcPr/>
          <w:p>
            <w:pPr>
              <w:pStyle w:val="Compact"/>
              <w:jc w:val="left"/>
            </w:pPr>
            <w:r>
              <w:t xml:space="preserve">[36]</w:t>
            </w:r>
          </w:p>
        </w:tc>
        <w:tc>
          <w:tcPr/>
          <w:p>
            <w:pPr>
              <w:pStyle w:val="Compact"/>
              <w:jc w:val="left"/>
            </w:pPr>
            <w:r>
              <w:t xml:space="preserve">Ramin et al. (2017)</w:t>
            </w:r>
          </w:p>
        </w:tc>
        <w:tc>
          <w:tcPr/>
          <w:p>
            <w:pPr>
              <w:pStyle w:val="Compact"/>
              <w:jc w:val="left"/>
            </w:pPr>
            <w:r>
              <w:rPr>
                <w:bCs/>
                <w:b/>
              </w:rPr>
              <w:t xml:space="preserve">Primary WBE methodological/modelling study</w:t>
            </w:r>
          </w:p>
        </w:tc>
        <w:tc>
          <w:tcPr/>
          <w:p>
            <w:pPr>
              <w:pStyle w:val="Compact"/>
              <w:jc w:val="left"/>
            </w:pPr>
            <w:r>
              <w:t xml:space="preserve">https://doi.org/10.1038/s41598-017-09313-y</w:t>
            </w:r>
          </w:p>
        </w:tc>
        <w:tc>
          <w:tcPr/>
          <w:p>
            <w:pPr>
              <w:pStyle w:val="Compact"/>
              <w:jc w:val="left"/>
            </w:pPr>
            <w:r>
              <w:t xml:space="preserve">Multiple plausible transformation-pathway model structures fit the same heroin/codeine biomarker wastewater data equally well while implying different consumption estimates (§7.1.1, Table 5)</w:t>
            </w:r>
          </w:p>
        </w:tc>
        <w:tc>
          <w:tcPr/>
          <w:p>
            <w:pPr>
              <w:pStyle w:val="Compact"/>
              <w:jc w:val="left"/>
            </w:pPr>
            <w:r>
              <w:t xml:space="preserve">✅ full 5-author list + DOI confirmed</w:t>
            </w:r>
          </w:p>
        </w:tc>
        <w:tc>
          <w:tcPr/>
          <w:p>
            <w:pPr>
              <w:pStyle w:val="Compact"/>
              <w:jc w:val="left"/>
            </w:pPr>
            <w:r>
              <w:t xml:space="preserve">⚠ general finding (structural non-uniqueness of fitted pathway models) recurred across search results; specific model-comparison statistics not confirmed against full text</w:t>
            </w:r>
          </w:p>
        </w:tc>
      </w:tr>
      <w:tr>
        <w:tc>
          <w:tcPr/>
          <w:p>
            <w:pPr>
              <w:pStyle w:val="Compact"/>
              <w:jc w:val="left"/>
            </w:pPr>
            <w:r>
              <w:t xml:space="preserve">[37]</w:t>
            </w:r>
          </w:p>
        </w:tc>
        <w:tc>
          <w:tcPr/>
          <w:p>
            <w:pPr>
              <w:pStyle w:val="Compact"/>
              <w:jc w:val="left"/>
            </w:pPr>
            <w:r>
              <w:t xml:space="preserve">Deva et al. (2021, arXiv preprint)</w:t>
            </w:r>
          </w:p>
        </w:tc>
        <w:tc>
          <w:tcPr/>
          <w:p>
            <w:pPr>
              <w:pStyle w:val="Compact"/>
              <w:jc w:val="left"/>
            </w:pPr>
            <w:r>
              <w:rPr>
                <w:bCs/>
                <w:b/>
              </w:rPr>
              <w:t xml:space="preserve">General methodological evidence (non-WBE)</w:t>
            </w:r>
            <w:r>
              <w:t xml:space="preserve"> </w:t>
            </w:r>
            <w:r>
              <w:t xml:space="preserve">— preprint, not peer-reviewed</w:t>
            </w:r>
          </w:p>
        </w:tc>
        <w:tc>
          <w:tcPr/>
          <w:p>
            <w:pPr>
              <w:pStyle w:val="Compact"/>
              <w:jc w:val="left"/>
            </w:pPr>
            <w:r>
              <w:t xml:space="preserve">arXiv:2104.14821</w:t>
            </w:r>
          </w:p>
        </w:tc>
        <w:tc>
          <w:tcPr/>
          <w:p>
            <w:pPr>
              <w:pStyle w:val="Compact"/>
              <w:jc w:val="left"/>
            </w:pPr>
            <w:r>
              <w:t xml:space="preserve">General compartmental epidemic models frequently exhibit parameter non-identifiability, where different parameter combinations produce near-identical forecasts (§7.0, §7.3)</w:t>
            </w:r>
          </w:p>
        </w:tc>
        <w:tc>
          <w:tcPr/>
          <w:p>
            <w:pPr>
              <w:pStyle w:val="Compact"/>
              <w:jc w:val="left"/>
            </w:pPr>
            <w:r>
              <w:t xml:space="preserve">✅ full 8-author list confirmed</w:t>
            </w:r>
          </w:p>
        </w:tc>
        <w:tc>
          <w:tcPr/>
          <w:p>
            <w:pPr>
              <w:pStyle w:val="Compact"/>
              <w:jc w:val="left"/>
            </w:pPr>
            <w:r>
              <w:t xml:space="preserve">⚠ general conceptual framework recurred consistently across search results; this is a preprint, and its findings are about epidemic models generally, not wastewater-specific models — cited accordingly, not as WBE evidence</w:t>
            </w:r>
          </w:p>
        </w:tc>
      </w:tr>
      <w:tr>
        <w:tc>
          <w:tcPr/>
          <w:p>
            <w:pPr>
              <w:pStyle w:val="Compact"/>
              <w:jc w:val="left"/>
            </w:pPr>
            <w:r>
              <w:t xml:space="preserve">[38]</w:t>
            </w:r>
          </w:p>
        </w:tc>
        <w:tc>
          <w:tcPr/>
          <w:p>
            <w:pPr>
              <w:pStyle w:val="Compact"/>
              <w:jc w:val="left"/>
            </w:pPr>
            <w:r>
              <w:t xml:space="preserve">Ai et al. (2022)</w:t>
            </w:r>
          </w:p>
        </w:tc>
        <w:tc>
          <w:tcPr/>
          <w:p>
            <w:pPr>
              <w:pStyle w:val="Compact"/>
              <w:jc w:val="left"/>
            </w:pPr>
            <w:r>
              <w:rPr>
                <w:bCs/>
                <w:b/>
              </w:rPr>
              <w:t xml:space="preserve">Primary WBE methodological/modelling study</w:t>
            </w:r>
          </w:p>
        </w:tc>
        <w:tc>
          <w:tcPr/>
          <w:p>
            <w:pPr>
              <w:pStyle w:val="Compact"/>
              <w:jc w:val="left"/>
            </w:pPr>
            <w:r>
              <w:t xml:space="preserve">DOI pattern-inferred (see references file)</w:t>
            </w:r>
          </w:p>
        </w:tc>
        <w:tc>
          <w:tcPr/>
          <w:p>
            <w:pPr>
              <w:pStyle w:val="Compact"/>
              <w:jc w:val="left"/>
            </w:pPr>
            <w:r>
              <w:t xml:space="preserve">ML models (train/test split) achieved useful short-horizon predictive performance for multi-community COVID-19 outbreak trend prediction from wastewater (§7.1.2, §7.5, Table 5)</w:t>
            </w:r>
          </w:p>
        </w:tc>
        <w:tc>
          <w:tcPr/>
          <w:p>
            <w:pPr>
              <w:pStyle w:val="Compact"/>
              <w:jc w:val="left"/>
            </w:pPr>
            <w:r>
              <w:t xml:space="preserve">✅ full 4-author list confirmed</w:t>
            </w:r>
          </w:p>
        </w:tc>
        <w:tc>
          <w:tcPr/>
          <w:p>
            <w:pPr>
              <w:pStyle w:val="Compact"/>
              <w:jc w:val="left"/>
            </w:pPr>
            <w:r>
              <w:t xml:space="preserve">⚠ general finding (useful short-horizon predictive performance) recurred across search results; specific error/accuracy metrics not confirmed against full text</w:t>
            </w:r>
          </w:p>
        </w:tc>
      </w:tr>
      <w:tr>
        <w:tc>
          <w:tcPr/>
          <w:p>
            <w:pPr>
              <w:pStyle w:val="Compact"/>
              <w:jc w:val="left"/>
            </w:pPr>
            <w:r>
              <w:t xml:space="preserve">[39]</w:t>
            </w:r>
          </w:p>
        </w:tc>
        <w:tc>
          <w:tcPr/>
          <w:p>
            <w:pPr>
              <w:pStyle w:val="Compact"/>
              <w:jc w:val="left"/>
            </w:pPr>
            <w:r>
              <w:t xml:space="preserve">Liyanage et al. (2025)</w:t>
            </w:r>
          </w:p>
        </w:tc>
        <w:tc>
          <w:tcPr/>
          <w:p>
            <w:pPr>
              <w:pStyle w:val="Compact"/>
              <w:jc w:val="left"/>
            </w:pPr>
            <w:r>
              <w:rPr>
                <w:bCs/>
                <w:b/>
              </w:rPr>
              <w:t xml:space="preserve">General methodological evidence (non-WBE)</w:t>
            </w:r>
          </w:p>
        </w:tc>
        <w:tc>
          <w:tcPr/>
          <w:p>
            <w:pPr>
              <w:pStyle w:val="Compact"/>
              <w:jc w:val="left"/>
            </w:pPr>
            <w:r>
              <w:t xml:space="preserve">https://doi.org/10.3390/v17040496</w:t>
            </w:r>
          </w:p>
        </w:tc>
        <w:tc>
          <w:tcPr/>
          <w:p>
            <w:pPr>
              <w:pStyle w:val="Compact"/>
              <w:jc w:val="left"/>
            </w:pPr>
            <w:r>
              <w:t xml:space="preserve">Structural identifiability is a property of model equations independent of data quantity/quality; practical identifiability concerns numerical recoverability from finite noisy data — distinction demonstrated across 6 growth-model types and 3 disease datasets (§7.3)</w:t>
            </w:r>
          </w:p>
        </w:tc>
        <w:tc>
          <w:tcPr/>
          <w:p>
            <w:pPr>
              <w:pStyle w:val="Compact"/>
              <w:jc w:val="left"/>
            </w:pPr>
            <w:r>
              <w:t xml:space="preserve">✅ full 4-author list + DOI confirmed</w:t>
            </w:r>
          </w:p>
        </w:tc>
        <w:tc>
          <w:tcPr/>
          <w:p>
            <w:pPr>
              <w:pStyle w:val="Compact"/>
              <w:jc w:val="left"/>
            </w:pPr>
            <w:r>
              <w:t xml:space="preserve">✅ moderate-high confidence — the structural-vs-practical distinction itself is a well-established methodological concept, and this paper’s application of it recurred consistently and specifically across search results</w:t>
            </w:r>
          </w:p>
        </w:tc>
      </w:tr>
      <w:tr>
        <w:tc>
          <w:tcPr/>
          <w:p>
            <w:pPr>
              <w:pStyle w:val="Compact"/>
              <w:jc w:val="left"/>
            </w:pPr>
            <w:r>
              <w:t xml:space="preserve">[40]</w:t>
            </w:r>
          </w:p>
        </w:tc>
        <w:tc>
          <w:tcPr/>
          <w:p>
            <w:pPr>
              <w:pStyle w:val="Compact"/>
              <w:jc w:val="left"/>
            </w:pPr>
            <w:r>
              <w:t xml:space="preserve">Wang, Amarasiri, Oishi, &amp; Sano (2026)</w:t>
            </w:r>
          </w:p>
        </w:tc>
        <w:tc>
          <w:tcPr/>
          <w:p>
            <w:pPr>
              <w:pStyle w:val="Compact"/>
              <w:jc w:val="left"/>
            </w:pPr>
            <w:r>
              <w:rPr>
                <w:bCs/>
                <w:b/>
              </w:rPr>
              <w:t xml:space="preserve">Systematic review / secondary evidence</w:t>
            </w:r>
            <w:r>
              <w:t xml:space="preserve"> </w:t>
            </w:r>
            <w:r>
              <w:t xml:space="preserve">— NOT a primary validation study</w:t>
            </w:r>
          </w:p>
        </w:tc>
        <w:tc>
          <w:tcPr/>
          <w:p>
            <w:pPr>
              <w:pStyle w:val="Compact"/>
              <w:jc w:val="left"/>
            </w:pPr>
            <w:r>
              <w:t xml:space="preserve">DOI pattern-inferred (see references file)</w:t>
            </w:r>
          </w:p>
        </w:tc>
        <w:tc>
          <w:tcPr/>
          <w:p>
            <w:pPr>
              <w:pStyle w:val="Compact"/>
              <w:jc w:val="left"/>
            </w:pPr>
            <w:r>
              <w:t xml:space="preserve">Independently-derived taxonomy of WBE infectious-disease modeling strategies (compartmental, regression, ML/DL, shedding-dynamics-based) broadly consistent with this chapter’s method survey (§7.1.2)</w:t>
            </w:r>
          </w:p>
        </w:tc>
        <w:tc>
          <w:tcPr/>
          <w:p>
            <w:pPr>
              <w:pStyle w:val="Compact"/>
              <w:jc w:val="left"/>
            </w:pPr>
            <w:r>
              <w:t xml:space="preserve">✅ full 4-author list confirmed;</w:t>
            </w:r>
            <w:r>
              <w:t xml:space="preserve"> </w:t>
            </w:r>
            <w:r>
              <w:rPr>
                <w:bCs/>
                <w:b/>
              </w:rPr>
              <w:t xml:space="preserve">formal citation year corrected to 2026 (online-first 2025) per user instruction</w:t>
            </w:r>
            <w:r>
              <w:t xml:space="preserve"> </w:t>
            </w:r>
            <w:r>
              <w:t xml:space="preserve">— see references file</w:t>
            </w:r>
          </w:p>
        </w:tc>
        <w:tc>
          <w:tcPr/>
          <w:p>
            <w:pPr>
              <w:pStyle w:val="Compact"/>
              <w:jc w:val="left"/>
            </w:pPr>
            <w:r>
              <w:t xml:space="preserve">⚠ taxonomy-level description recurred consistently; specific limitation findings the review itself reports are not confirmed against full text — this is the resolution of the previously-unverified</w:t>
            </w:r>
            <w:r>
              <w:t xml:space="preserve"> </w:t>
            </w:r>
            <w:r>
              <w:t xml:space="preserve">“</w:t>
            </w:r>
            <w:r>
              <w:t xml:space="preserve">PubMed 41260128</w:t>
            </w:r>
            <w:r>
              <w:t xml:space="preserve">”</w:t>
            </w:r>
            <w:r>
              <w:t xml:space="preserve"> </w:t>
            </w:r>
            <w:r>
              <w:t xml:space="preserve">item</w:t>
            </w:r>
          </w:p>
        </w:tc>
      </w:tr>
      <w:tr>
        <w:tc>
          <w:tcPr/>
          <w:p>
            <w:pPr>
              <w:pStyle w:val="Compact"/>
              <w:jc w:val="left"/>
            </w:pPr>
            <w:r>
              <w:t xml:space="preserve">[41]</w:t>
            </w:r>
          </w:p>
        </w:tc>
        <w:tc>
          <w:tcPr/>
          <w:p>
            <w:pPr>
              <w:pStyle w:val="Compact"/>
              <w:jc w:val="left"/>
            </w:pPr>
            <w:r>
              <w:t xml:space="preserve">Zuccato et al. (2008)</w:t>
            </w:r>
          </w:p>
        </w:tc>
        <w:tc>
          <w:tcPr/>
          <w:p>
            <w:pPr>
              <w:pStyle w:val="Compact"/>
              <w:jc w:val="left"/>
            </w:pPr>
            <w:r>
              <w:rPr>
                <w:bCs/>
                <w:b/>
              </w:rPr>
              <w:t xml:space="preserve">Primary WBE methodological/modelling study</w:t>
            </w:r>
          </w:p>
        </w:tc>
        <w:tc>
          <w:tcPr/>
          <w:p>
            <w:pPr>
              <w:pStyle w:val="Compact"/>
              <w:jc w:val="left"/>
            </w:pPr>
            <w:r>
              <w:t xml:space="preserve">DOI not independently confirmed</w:t>
            </w:r>
          </w:p>
        </w:tc>
        <w:tc>
          <w:tcPr/>
          <w:p>
            <w:pPr>
              <w:pStyle w:val="Compact"/>
              <w:jc w:val="left"/>
            </w:pPr>
            <w:r>
              <w:t xml:space="preserve">Deterministic mass-balance back-calculation of community cocaine consumption from wastewater benzoylecgonine concentrations across 3 European cities (§7.1.1 expansion, Table 5)</w:t>
            </w:r>
          </w:p>
        </w:tc>
        <w:tc>
          <w:tcPr/>
          <w:p>
            <w:pPr>
              <w:pStyle w:val="Compact"/>
              <w:jc w:val="left"/>
            </w:pPr>
            <w:r>
              <w:t xml:space="preserve">⚠ author list confirmed via search (Zuccato, Chiabrando, Castiglioni, Bagnati, Fanelli); vol/page/DOI not independently confirmed</w:t>
            </w:r>
          </w:p>
        </w:tc>
        <w:tc>
          <w:tcPr/>
          <w:p>
            <w:pPr>
              <w:pStyle w:val="Compact"/>
              <w:jc w:val="left"/>
            </w:pPr>
            <w:r>
              <w:t xml:space="preserve">⚠ general method description and 3-city comparison recurred across search results; specific consumption-estimate figures pending full-text confirmation</w:t>
            </w:r>
          </w:p>
        </w:tc>
      </w:tr>
      <w:tr>
        <w:tc>
          <w:tcPr/>
          <w:p>
            <w:pPr>
              <w:pStyle w:val="Compact"/>
              <w:jc w:val="left"/>
            </w:pPr>
            <w:r>
              <w:t xml:space="preserve">[42]</w:t>
            </w:r>
          </w:p>
        </w:tc>
        <w:tc>
          <w:tcPr/>
          <w:p>
            <w:pPr>
              <w:pStyle w:val="Compact"/>
              <w:jc w:val="left"/>
            </w:pPr>
            <w:r>
              <w:t xml:space="preserve">McMahan et al. (2021)</w:t>
            </w:r>
          </w:p>
        </w:tc>
        <w:tc>
          <w:tcPr/>
          <w:p>
            <w:pPr>
              <w:pStyle w:val="Compact"/>
              <w:jc w:val="left"/>
            </w:pPr>
            <w:r>
              <w:rPr>
                <w:bCs/>
                <w:b/>
              </w:rPr>
              <w:t xml:space="preserve">Primary WBE methodological/modelling study</w:t>
            </w:r>
          </w:p>
        </w:tc>
        <w:tc>
          <w:tcPr/>
          <w:p>
            <w:pPr>
              <w:pStyle w:val="Compact"/>
              <w:jc w:val="left"/>
            </w:pPr>
            <w:r>
              <w:t xml:space="preserve">DOI not independently confirmed</w:t>
            </w:r>
          </w:p>
        </w:tc>
        <w:tc>
          <w:tcPr/>
          <w:p>
            <w:pPr>
              <w:pStyle w:val="Compact"/>
              <w:jc w:val="left"/>
            </w:pPr>
            <w:r>
              <w:t xml:space="preserve">SEIR compartmental model driven by wastewater SARS-CoV-2 mass rate estimates total infected individuals per sewershed, South Carolina (§7.1.2 expansion, Table 5)</w:t>
            </w:r>
          </w:p>
        </w:tc>
        <w:tc>
          <w:tcPr/>
          <w:p>
            <w:pPr>
              <w:pStyle w:val="Compact"/>
              <w:jc w:val="left"/>
            </w:pPr>
            <w:r>
              <w:t xml:space="preserve">⚠ author list confirmed via search (McMahan, Self, Rennert, Kalbaugh, Kriebel, Graves, Colby, Deaver, Popat, Karanfil, Freedman); vol/page/DOI not independently confirmed.</w:t>
            </w:r>
            <w:r>
              <w:t xml:space="preserve"> </w:t>
            </w:r>
            <w:r>
              <w:rPr>
                <w:bCs/>
                <w:b/>
              </w:rPr>
              <w:t xml:space="preserve">Note: an earlier search-engine summary misattributed this paper to</w:t>
            </w:r>
            <w:r>
              <w:rPr>
                <w:bCs/>
                <w:b/>
              </w:rPr>
              <w:t xml:space="preserve"> </w:t>
            </w:r>
            <w:r>
              <w:rPr>
                <w:bCs/>
                <w:b/>
              </w:rPr>
              <w:t xml:space="preserve">“</w:t>
            </w:r>
            <w:r>
              <w:rPr>
                <w:bCs/>
                <w:b/>
              </w:rPr>
              <w:t xml:space="preserve">Nourbakhsh et al.</w:t>
            </w:r>
            <w:r>
              <w:rPr>
                <w:bCs/>
                <w:b/>
              </w:rPr>
              <w:t xml:space="preserve">”</w:t>
            </w:r>
            <w:r>
              <w:rPr>
                <w:bCs/>
                <w:b/>
              </w:rPr>
              <w:t xml:space="preserve"> </w:t>
            </w:r>
            <w:r>
              <w:rPr>
                <w:bCs/>
                <w:b/>
              </w:rPr>
              <w:t xml:space="preserve">— corrected here after a dedicated author-list search; treat the earlier attribution as an error, not a co-existing alternate source.</w:t>
            </w:r>
          </w:p>
        </w:tc>
        <w:tc>
          <w:tcPr/>
          <w:p>
            <w:pPr>
              <w:pStyle w:val="Compact"/>
              <w:jc w:val="left"/>
            </w:pPr>
            <w:r>
              <w:t xml:space="preserve">⚠ general method/finding recurred across searches; specific infection-count estimates pending full-text confirmation</w:t>
            </w:r>
          </w:p>
        </w:tc>
      </w:tr>
      <w:tr>
        <w:tc>
          <w:tcPr/>
          <w:p>
            <w:pPr>
              <w:pStyle w:val="Compact"/>
              <w:jc w:val="left"/>
            </w:pPr>
            <w:r>
              <w:t xml:space="preserve">[43]</w:t>
            </w:r>
          </w:p>
        </w:tc>
        <w:tc>
          <w:tcPr/>
          <w:p>
            <w:pPr>
              <w:pStyle w:val="Compact"/>
              <w:jc w:val="left"/>
            </w:pPr>
            <w:r>
              <w:t xml:space="preserve">Schoen et al. (2022)</w:t>
            </w:r>
          </w:p>
        </w:tc>
        <w:tc>
          <w:tcPr/>
          <w:p>
            <w:pPr>
              <w:pStyle w:val="Compact"/>
              <w:jc w:val="left"/>
            </w:pPr>
            <w:r>
              <w:rPr>
                <w:bCs/>
                <w:b/>
              </w:rPr>
              <w:t xml:space="preserve">Primary WBE methodological/modelling study</w:t>
            </w:r>
          </w:p>
        </w:tc>
        <w:tc>
          <w:tcPr/>
          <w:p>
            <w:pPr>
              <w:pStyle w:val="Compact"/>
              <w:jc w:val="left"/>
            </w:pPr>
            <w:r>
              <w:t xml:space="preserve">DOI not independently confirmed</w:t>
            </w:r>
          </w:p>
        </w:tc>
        <w:tc>
          <w:tcPr/>
          <w:p>
            <w:pPr>
              <w:pStyle w:val="Compact"/>
              <w:jc w:val="left"/>
            </w:pPr>
            <w:r>
              <w:t xml:space="preserve">Distributed lag model predicts COVID-19 incidence from wastewater settled-solids SARS-CoV-2 concentrations across 4 California WWTPs; evaluates sampling-frequency impact on prediction error (§7.1.2 expansion, Table 5)</w:t>
            </w:r>
          </w:p>
        </w:tc>
        <w:tc>
          <w:tcPr/>
          <w:p>
            <w:pPr>
              <w:pStyle w:val="Compact"/>
              <w:jc w:val="left"/>
            </w:pPr>
            <w:r>
              <w:t xml:space="preserve">⚠ author list confirmed via search (Schoen, Wolfe, Li, Duong, White, Hughes, Boehm); vol/page/DOI not independently confirmed</w:t>
            </w:r>
          </w:p>
        </w:tc>
        <w:tc>
          <w:tcPr/>
          <w:p>
            <w:pPr>
              <w:pStyle w:val="Compact"/>
              <w:jc w:val="left"/>
            </w:pPr>
            <w:r>
              <w:t xml:space="preserve">⚠ general method/finding recurred across searches; specific RMSE/error figures pending full-text confirmation</w:t>
            </w:r>
          </w:p>
        </w:tc>
      </w:tr>
      <w:tr>
        <w:tc>
          <w:tcPr/>
          <w:p>
            <w:pPr>
              <w:pStyle w:val="Compact"/>
              <w:jc w:val="left"/>
            </w:pPr>
            <w:r>
              <w:t xml:space="preserve">[44]</w:t>
            </w:r>
          </w:p>
        </w:tc>
        <w:tc>
          <w:tcPr/>
          <w:p>
            <w:pPr>
              <w:pStyle w:val="Compact"/>
              <w:jc w:val="left"/>
            </w:pPr>
            <w:r>
              <w:t xml:space="preserve">Dai et al. (2024)</w:t>
            </w:r>
          </w:p>
        </w:tc>
        <w:tc>
          <w:tcPr/>
          <w:p>
            <w:pPr>
              <w:pStyle w:val="Compact"/>
              <w:jc w:val="left"/>
            </w:pPr>
            <w:r>
              <w:rPr>
                <w:bCs/>
                <w:b/>
              </w:rPr>
              <w:t xml:space="preserve">Primary WBE methodological/modelling study</w:t>
            </w:r>
          </w:p>
        </w:tc>
        <w:tc>
          <w:tcPr/>
          <w:p>
            <w:pPr>
              <w:pStyle w:val="Compact"/>
              <w:jc w:val="left"/>
            </w:pPr>
            <w:r>
              <w:t xml:space="preserve">https://doi.org/10.1002/sim.10009</w:t>
            </w:r>
          </w:p>
        </w:tc>
        <w:tc>
          <w:tcPr/>
          <w:p>
            <w:pPr>
              <w:pStyle w:val="Compact"/>
              <w:jc w:val="left"/>
            </w:pPr>
            <w:r>
              <w:t xml:space="preserve">Bayesian functional-data-analysis framework predicts daily COVID-19 case counts from weekly, incomplete wastewater SARS-CoV-2 monitoring data, Calgary (§7.1.2 expansion, Table 5)</w:t>
            </w:r>
          </w:p>
        </w:tc>
        <w:tc>
          <w:tcPr/>
          <w:p>
            <w:pPr>
              <w:pStyle w:val="Compact"/>
              <w:jc w:val="left"/>
            </w:pPr>
            <w:r>
              <w:t xml:space="preserve">✅ full 23-author list confirmed via dedicated search; DOI confirmed</w:t>
            </w:r>
          </w:p>
        </w:tc>
        <w:tc>
          <w:tcPr/>
          <w:p>
            <w:pPr>
              <w:pStyle w:val="Compact"/>
              <w:jc w:val="left"/>
            </w:pPr>
            <w:r>
              <w:t xml:space="preserve">⚠ general method description recurred across search results; specific predictive-accuracy figures pending full-text confirmation</w:t>
            </w:r>
          </w:p>
        </w:tc>
      </w:tr>
      <w:tr>
        <w:tc>
          <w:tcPr/>
          <w:p>
            <w:pPr>
              <w:pStyle w:val="Compact"/>
              <w:jc w:val="left"/>
            </w:pPr>
            <w:r>
              <w:t xml:space="preserve">[45]</w:t>
            </w:r>
          </w:p>
        </w:tc>
        <w:tc>
          <w:tcPr/>
          <w:p>
            <w:pPr>
              <w:pStyle w:val="Compact"/>
              <w:jc w:val="left"/>
            </w:pPr>
            <w:r>
              <w:t xml:space="preserve">Alhassan et al. (2025, arXiv preprint)</w:t>
            </w:r>
          </w:p>
        </w:tc>
        <w:tc>
          <w:tcPr/>
          <w:p>
            <w:pPr>
              <w:pStyle w:val="Compact"/>
              <w:jc w:val="left"/>
            </w:pPr>
            <w:r>
              <w:rPr>
                <w:bCs/>
                <w:b/>
              </w:rPr>
              <w:t xml:space="preserve">General/multi-model methodological evidence</w:t>
            </w:r>
            <w:r>
              <w:t xml:space="preserve"> </w:t>
            </w:r>
            <w:r>
              <w:t xml:space="preserve">— preprint, not peer-reviewed</w:t>
            </w:r>
          </w:p>
        </w:tc>
        <w:tc>
          <w:tcPr/>
          <w:p>
            <w:pPr>
              <w:pStyle w:val="Compact"/>
              <w:jc w:val="left"/>
            </w:pPr>
            <w:r>
              <w:t xml:space="preserve">arXiv:2512.01074</w:t>
            </w:r>
          </w:p>
        </w:tc>
        <w:tc>
          <w:tcPr/>
          <w:p>
            <w:pPr>
              <w:pStyle w:val="Compact"/>
              <w:jc w:val="left"/>
            </w:pPr>
            <w:r>
              <w:t xml:space="preserve">Retrospective multi-model (11-model ensemble: ARIMA, GAM, SLR, Prophet, n-sub-epidemic framework) comparison of COVID-19 forecasts from U.S. national wastewater surveillance data, 2022–2024 (§7.1.2 expansion, Table 5)</w:t>
            </w:r>
          </w:p>
        </w:tc>
        <w:tc>
          <w:tcPr/>
          <w:p>
            <w:pPr>
              <w:pStyle w:val="Compact"/>
              <w:jc w:val="left"/>
            </w:pPr>
            <w:r>
              <w:t xml:space="preserve">✅ full 7-author list confirmed via dedicated search</w:t>
            </w:r>
          </w:p>
        </w:tc>
        <w:tc>
          <w:tcPr/>
          <w:p>
            <w:pPr>
              <w:pStyle w:val="Compact"/>
              <w:jc w:val="left"/>
            </w:pPr>
            <w:r>
              <w:t xml:space="preserve">⚠ general study-design description recurred across search results; specific model-ranking/accuracy figures pending full-text confirmation.</w:t>
            </w:r>
            <w:r>
              <w:t xml:space="preserve"> </w:t>
            </w:r>
            <w:r>
              <w:rPr>
                <w:bCs/>
                <w:b/>
              </w:rPr>
              <w:t xml:space="preserve">This is a multi-model ensemble comparison using wastewater data alone, not a clinical+mobility+genomic multi-source fusion study — cited for the ensemble/multi-model-comparison category, with this scope difference flagged explicitly in-text.</w:t>
            </w:r>
          </w:p>
        </w:tc>
      </w:tr>
      <w:tr>
        <w:tc>
          <w:tcPr/>
          <w:p>
            <w:pPr>
              <w:pStyle w:val="Compact"/>
              <w:jc w:val="left"/>
            </w:pPr>
            <w:r>
              <w:t xml:space="preserve">[46]</w:t>
            </w:r>
          </w:p>
        </w:tc>
        <w:tc>
          <w:tcPr/>
          <w:p>
            <w:pPr>
              <w:pStyle w:val="Compact"/>
              <w:jc w:val="left"/>
            </w:pPr>
            <w:r>
              <w:t xml:space="preserve">Jones et al. (2014)</w:t>
            </w:r>
          </w:p>
        </w:tc>
        <w:tc>
          <w:tcPr/>
          <w:p>
            <w:pPr>
              <w:pStyle w:val="Compact"/>
              <w:jc w:val="left"/>
            </w:pPr>
            <w:r>
              <w:rPr>
                <w:bCs/>
                <w:b/>
              </w:rPr>
              <w:t xml:space="preserve">Primary WBE methodological/modelling study</w:t>
            </w:r>
          </w:p>
        </w:tc>
        <w:tc>
          <w:tcPr/>
          <w:p>
            <w:pPr>
              <w:pStyle w:val="Compact"/>
              <w:jc w:val="left"/>
            </w:pPr>
            <w:r>
              <w:t xml:space="preserve">DOI not independently confirmed this session</w:t>
            </w:r>
          </w:p>
        </w:tc>
        <w:tc>
          <w:tcPr/>
          <w:p>
            <w:pPr>
              <w:pStyle w:val="Compact"/>
              <w:jc w:val="left"/>
            </w:pPr>
            <w:r>
              <w:t xml:space="preserve">Formal Bayesian statistical framework placing back-calculation of community drug consumption within an explicit source-end (excretion-fraction, pharmacokinetic) uncertainty model (§8.2)</w:t>
            </w:r>
          </w:p>
        </w:tc>
        <w:tc>
          <w:tcPr/>
          <w:p>
            <w:pPr>
              <w:pStyle w:val="Compact"/>
              <w:jc w:val="left"/>
            </w:pPr>
            <w:r>
              <w:t xml:space="preserve">⚠ full 6-author list retained from earlier retrieval, not re-confirmed via a second independent search this session</w:t>
            </w:r>
          </w:p>
        </w:tc>
        <w:tc>
          <w:tcPr/>
          <w:p>
            <w:pPr>
              <w:pStyle w:val="Compact"/>
              <w:jc w:val="left"/>
            </w:pPr>
            <w:r>
              <w:t xml:space="preserve">⚠ general framework description recurred across search results; specific posterior/interval figures not confirmed against full text</w:t>
            </w:r>
          </w:p>
        </w:tc>
      </w:tr>
      <w:tr>
        <w:tc>
          <w:tcPr/>
          <w:p>
            <w:pPr>
              <w:pStyle w:val="Compact"/>
              <w:jc w:val="left"/>
            </w:pPr>
            <w:r>
              <w:t xml:space="preserve">[47]</w:t>
            </w:r>
          </w:p>
        </w:tc>
        <w:tc>
          <w:tcPr/>
          <w:p>
            <w:pPr>
              <w:pStyle w:val="Compact"/>
              <w:jc w:val="left"/>
            </w:pPr>
            <w:r>
              <w:t xml:space="preserve">Yang et al. (2024)</w:t>
            </w:r>
          </w:p>
        </w:tc>
        <w:tc>
          <w:tcPr/>
          <w:p>
            <w:pPr>
              <w:pStyle w:val="Compact"/>
              <w:jc w:val="left"/>
            </w:pPr>
            <w:r>
              <w:rPr>
                <w:bCs/>
                <w:b/>
              </w:rPr>
              <w:t xml:space="preserve">Systematic review / secondary evidence</w:t>
            </w:r>
          </w:p>
        </w:tc>
        <w:tc>
          <w:tcPr/>
          <w:p>
            <w:pPr>
              <w:pStyle w:val="Compact"/>
              <w:jc w:val="left"/>
            </w:pPr>
            <w:r>
              <w:t xml:space="preserve">Vol/pages/DOI not independently confirmed this session</w:t>
            </w:r>
          </w:p>
        </w:tc>
        <w:tc>
          <w:tcPr/>
          <w:p>
            <w:pPr>
              <w:pStyle w:val="Compact"/>
              <w:jc w:val="left"/>
            </w:pPr>
            <w:r>
              <w:t xml:space="preserve">Synthesizes measurement-level (sampling, extraction, RT-qPCR/RT-dPCR) uncertainty magnitudes across the SARS-CoV-2 WBE literature (§8.4)</w:t>
            </w:r>
          </w:p>
        </w:tc>
        <w:tc>
          <w:tcPr/>
          <w:p>
            <w:pPr>
              <w:pStyle w:val="Compact"/>
              <w:jc w:val="left"/>
            </w:pPr>
            <w:r>
              <w:t xml:space="preserve">⚠ 8-author list retained from earlier retrieval, not re-confirmed via a second independent search this session</w:t>
            </w:r>
          </w:p>
        </w:tc>
        <w:tc>
          <w:tcPr/>
          <w:p>
            <w:pPr>
              <w:pStyle w:val="Compact"/>
              <w:jc w:val="left"/>
            </w:pPr>
            <w:r>
              <w:t xml:space="preserve">⚠ general synthesis-level description recurred across search results; specific uncertainty-magnitude figures not confirmed against full text</w:t>
            </w:r>
          </w:p>
        </w:tc>
      </w:tr>
      <w:tr>
        <w:tc>
          <w:tcPr/>
          <w:p>
            <w:pPr>
              <w:pStyle w:val="Compact"/>
              <w:jc w:val="left"/>
            </w:pPr>
            <w:r>
              <w:t xml:space="preserve">[48]</w:t>
            </w:r>
          </w:p>
        </w:tc>
        <w:tc>
          <w:tcPr/>
          <w:p>
            <w:pPr>
              <w:pStyle w:val="Compact"/>
              <w:jc w:val="left"/>
            </w:pPr>
            <w:r>
              <w:t xml:space="preserve">Safford et al. (2022)</w:t>
            </w:r>
          </w:p>
        </w:tc>
        <w:tc>
          <w:tcPr/>
          <w:p>
            <w:pPr>
              <w:pStyle w:val="Compact"/>
              <w:jc w:val="left"/>
            </w:pPr>
            <w:r>
              <w:rPr>
                <w:bCs/>
                <w:b/>
              </w:rPr>
              <w:t xml:space="preserve">Primary WBE methodological/modelling study</w:t>
            </w:r>
          </w:p>
        </w:tc>
        <w:tc>
          <w:tcPr/>
          <w:p>
            <w:pPr>
              <w:pStyle w:val="Compact"/>
              <w:jc w:val="left"/>
            </w:pPr>
            <w:r>
              <w:t xml:space="preserve">https://doi.org/10.1021/acsestwater.2c00053</w:t>
            </w:r>
          </w:p>
        </w:tc>
        <w:tc>
          <w:tcPr/>
          <w:p>
            <w:pPr>
              <w:pStyle w:val="Compact"/>
              <w:jc w:val="left"/>
            </w:pPr>
            <w:r>
              <w:t xml:space="preserve">Comparative evaluation of EM- and MCMC-based statistical methods for handling censored/nondetect SARS-CoV-2 wastewater concentration data, critiquing ad hoc substitution approaches (§8.11)</w:t>
            </w:r>
          </w:p>
        </w:tc>
        <w:tc>
          <w:tcPr/>
          <w:p>
            <w:pPr>
              <w:pStyle w:val="Compact"/>
              <w:jc w:val="left"/>
            </w:pPr>
            <w:r>
              <w:t xml:space="preserve">✅ full 8-author list + DOI confirmed</w:t>
            </w:r>
          </w:p>
        </w:tc>
        <w:tc>
          <w:tcPr/>
          <w:p>
            <w:pPr>
              <w:pStyle w:val="Compact"/>
              <w:jc w:val="left"/>
            </w:pPr>
            <w:r>
              <w:t xml:space="preserve">⚠ general method-comparison framing recurred across search results; specific coverage/performance figures for each censoring method not confirmed against full text</w:t>
            </w:r>
          </w:p>
        </w:tc>
      </w:tr>
      <w:tr>
        <w:tc>
          <w:tcPr/>
          <w:p>
            <w:pPr>
              <w:pStyle w:val="Compact"/>
              <w:jc w:val="left"/>
            </w:pPr>
            <w:r>
              <w:t xml:space="preserve">[49]</w:t>
            </w:r>
          </w:p>
        </w:tc>
        <w:tc>
          <w:tcPr/>
          <w:p>
            <w:pPr>
              <w:pStyle w:val="Compact"/>
              <w:jc w:val="left"/>
            </w:pPr>
            <w:r>
              <w:t xml:space="preserve">Pei et al. (2016)</w:t>
            </w:r>
          </w:p>
        </w:tc>
        <w:tc>
          <w:tcPr/>
          <w:p>
            <w:pPr>
              <w:pStyle w:val="Compact"/>
              <w:jc w:val="left"/>
            </w:pPr>
            <w:r>
              <w:rPr>
                <w:bCs/>
                <w:b/>
              </w:rPr>
              <w:t xml:space="preserve">Primary WBE methodological/modelling study</w:t>
            </w:r>
            <w:r>
              <w:t xml:space="preserve"> </w:t>
            </w:r>
            <w:r>
              <w:t xml:space="preserve">(chemical target)</w:t>
            </w:r>
          </w:p>
        </w:tc>
        <w:tc>
          <w:tcPr/>
          <w:p>
            <w:pPr>
              <w:pStyle w:val="Compact"/>
              <w:jc w:val="left"/>
            </w:pPr>
            <w:r>
              <w:t xml:space="preserve">DOI not independently confirmed this session</w:t>
            </w:r>
          </w:p>
        </w:tc>
        <w:tc>
          <w:tcPr/>
          <w:p>
            <w:pPr>
              <w:pStyle w:val="Compact"/>
              <w:jc w:val="left"/>
            </w:pPr>
            <w:r>
              <w:t xml:space="preserve">Monte Carlo simulation (100,000 iterations) of methamphetamine consumption/prevalence uncertainty in Beijing (§8.7)</w:t>
            </w:r>
          </w:p>
        </w:tc>
        <w:tc>
          <w:tcPr/>
          <w:p>
            <w:pPr>
              <w:pStyle w:val="Compact"/>
              <w:jc w:val="left"/>
            </w:pPr>
            <w:r>
              <w:t xml:space="preserve">⚠ first 6 authors confirmed across 2 searches; 7th/final author not fully confirmed (see references file)</w:t>
            </w:r>
          </w:p>
        </w:tc>
        <w:tc>
          <w:tcPr/>
          <w:p>
            <w:pPr>
              <w:pStyle w:val="Compact"/>
              <w:jc w:val="left"/>
            </w:pPr>
            <w:r>
              <w:t xml:space="preserve">⚠ general method/design description recurred across searches; the specific 2.6 kg/day median and 0.58% prevalence figures are not confirmed against full text</w:t>
            </w:r>
          </w:p>
        </w:tc>
      </w:tr>
      <w:tr>
        <w:tc>
          <w:tcPr/>
          <w:p>
            <w:pPr>
              <w:pStyle w:val="Compact"/>
              <w:jc w:val="left"/>
            </w:pPr>
            <w:r>
              <w:t xml:space="preserve">[50]</w:t>
            </w:r>
          </w:p>
        </w:tc>
        <w:tc>
          <w:tcPr/>
          <w:p>
            <w:pPr>
              <w:pStyle w:val="Compact"/>
              <w:jc w:val="left"/>
            </w:pPr>
            <w:r>
              <w:t xml:space="preserve">Croft et al. (2020)</w:t>
            </w:r>
          </w:p>
        </w:tc>
        <w:tc>
          <w:tcPr/>
          <w:p>
            <w:pPr>
              <w:pStyle w:val="Compact"/>
              <w:jc w:val="left"/>
            </w:pPr>
            <w:r>
              <w:rPr>
                <w:bCs/>
                <w:b/>
              </w:rPr>
              <w:t xml:space="preserve">Primary WBE methodological/modelling study</w:t>
            </w:r>
            <w:r>
              <w:t xml:space="preserve"> </w:t>
            </w:r>
            <w:r>
              <w:t xml:space="preserve">(chemical target)</w:t>
            </w:r>
          </w:p>
        </w:tc>
        <w:tc>
          <w:tcPr/>
          <w:p>
            <w:pPr>
              <w:pStyle w:val="Compact"/>
              <w:jc w:val="left"/>
            </w:pPr>
            <w:r>
              <w:t xml:space="preserve">PMID 31622847</w:t>
            </w:r>
          </w:p>
        </w:tc>
        <w:tc>
          <w:tcPr/>
          <w:p>
            <w:pPr>
              <w:pStyle w:val="Compact"/>
              <w:jc w:val="left"/>
            </w:pPr>
            <w:r>
              <w:t xml:space="preserve">First reported Monte Carlo uncertainty-propagation application to WBE prevalence estimation across 3 Kentucky communities (2 urban, 1 rural), 10 illicit + 19 prescribed drugs (§8.7)</w:t>
            </w:r>
          </w:p>
        </w:tc>
        <w:tc>
          <w:tcPr/>
          <w:p>
            <w:pPr>
              <w:pStyle w:val="Compact"/>
              <w:jc w:val="left"/>
            </w:pPr>
            <w:r>
              <w:t xml:space="preserve">✅ full 4-author list confirmed via PubMed record, resolving an earlier conflicting journal/volume attribution from a different search summary</w:t>
            </w:r>
          </w:p>
        </w:tc>
        <w:tc>
          <w:tcPr/>
          <w:p>
            <w:pPr>
              <w:pStyle w:val="Compact"/>
              <w:jc w:val="left"/>
            </w:pPr>
            <w:r>
              <w:t xml:space="preserve">⚠ general study-design description recurred across searches; specific per-capita consumption figures not confirmed against full text</w:t>
            </w:r>
          </w:p>
        </w:tc>
      </w:tr>
      <w:tr>
        <w:tc>
          <w:tcPr/>
          <w:p>
            <w:pPr>
              <w:pStyle w:val="Compact"/>
              <w:jc w:val="left"/>
            </w:pPr>
            <w:r>
              <w:t xml:space="preserve">[51]</w:t>
            </w:r>
          </w:p>
        </w:tc>
        <w:tc>
          <w:tcPr/>
          <w:p>
            <w:pPr>
              <w:pStyle w:val="Compact"/>
              <w:jc w:val="left"/>
            </w:pPr>
            <w:r>
              <w:t xml:space="preserve">Moallef et al. (2025)</w:t>
            </w:r>
          </w:p>
        </w:tc>
        <w:tc>
          <w:tcPr/>
          <w:p>
            <w:pPr>
              <w:pStyle w:val="Compact"/>
              <w:jc w:val="left"/>
            </w:pPr>
            <w:r>
              <w:rPr>
                <w:bCs/>
                <w:b/>
              </w:rPr>
              <w:t xml:space="preserve">Systematic/critical review with conceptual framework</w:t>
            </w:r>
            <w:r>
              <w:t xml:space="preserve"> </w:t>
            </w:r>
            <w:r>
              <w:t xml:space="preserve">— not a primary validation study</w:t>
            </w:r>
          </w:p>
        </w:tc>
        <w:tc>
          <w:tcPr/>
          <w:p>
            <w:pPr>
              <w:pStyle w:val="Compact"/>
              <w:jc w:val="left"/>
            </w:pPr>
            <w:r>
              <w:t xml:space="preserve">https://doi.org/10.1016/j.ssmph.2025.101786 (PMID 40248458)</w:t>
            </w:r>
          </w:p>
        </w:tc>
        <w:tc>
          <w:tcPr/>
          <w:p>
            <w:pPr>
              <w:pStyle w:val="Compact"/>
              <w:jc w:val="left"/>
            </w:pPr>
            <w:r>
              <w:t xml:space="preserve">Health-equity critical review of WBE literature; 68 of 145 full-text-screened articles had explicit equity considerations; 5-consideration conceptual framework proposed; cites documented upstream re-identification of a single residence from a wastewater detection (§9.6)</w:t>
            </w:r>
          </w:p>
        </w:tc>
        <w:tc>
          <w:tcPr/>
          <w:p>
            <w:pPr>
              <w:pStyle w:val="Compact"/>
              <w:jc w:val="left"/>
            </w:pPr>
            <w:r>
              <w:t xml:space="preserve">✅ full 8-author list confirmed</w:t>
            </w:r>
          </w:p>
        </w:tc>
        <w:tc>
          <w:tcPr/>
          <w:p>
            <w:pPr>
              <w:pStyle w:val="Compact"/>
              <w:jc w:val="left"/>
            </w:pPr>
            <w:r>
              <w:t xml:space="preserve">⚠ the 68/145 count and framework details are snippet-derived, pending full-text confirmation</w:t>
            </w:r>
          </w:p>
        </w:tc>
      </w:tr>
      <w:tr>
        <w:tc>
          <w:tcPr/>
          <w:p>
            <w:pPr>
              <w:pStyle w:val="Compact"/>
              <w:jc w:val="left"/>
            </w:pPr>
            <w:r>
              <w:t xml:space="preserve">[52]</w:t>
            </w:r>
          </w:p>
        </w:tc>
        <w:tc>
          <w:tcPr/>
          <w:p>
            <w:pPr>
              <w:pStyle w:val="Compact"/>
              <w:jc w:val="left"/>
            </w:pPr>
            <w:r>
              <w:t xml:space="preserve">Yu, Olesen, Duvallet, &amp; Grad (2024)</w:t>
            </w:r>
          </w:p>
        </w:tc>
        <w:tc>
          <w:tcPr/>
          <w:p>
            <w:pPr>
              <w:pStyle w:val="Compact"/>
              <w:jc w:val="left"/>
            </w:pPr>
            <w:r>
              <w:rPr>
                <w:bCs/>
                <w:b/>
              </w:rPr>
              <w:t xml:space="preserve">Primary field/data-analysis study</w:t>
            </w:r>
          </w:p>
        </w:tc>
        <w:tc>
          <w:tcPr/>
          <w:p>
            <w:pPr>
              <w:pStyle w:val="Compact"/>
              <w:jc w:val="left"/>
            </w:pPr>
            <w:r>
              <w:t xml:space="preserve">https://doi.org/10.1371/journal.pgph.0003039 (PMID 38630670)</w:t>
            </w:r>
          </w:p>
        </w:tc>
        <w:tc>
          <w:tcPr/>
          <w:p>
            <w:pPr>
              <w:pStyle w:val="Compact"/>
              <w:jc w:val="left"/>
            </w:pPr>
            <w:r>
              <w:t xml:space="preserve">U.S. sewer connectivity is systematically, not randomly, distributed across demographic/geographic groups, including documented gaps in the Navajo Nation and parts of Alaska (§9.5, §9.6)</w:t>
            </w:r>
          </w:p>
        </w:tc>
        <w:tc>
          <w:tcPr/>
          <w:p>
            <w:pPr>
              <w:pStyle w:val="Compact"/>
              <w:jc w:val="left"/>
            </w:pPr>
            <w:r>
              <w:t xml:space="preserve">✅ full 4-author list confirmed</w:t>
            </w:r>
          </w:p>
        </w:tc>
        <w:tc>
          <w:tcPr/>
          <w:p>
            <w:pPr>
              <w:pStyle w:val="Compact"/>
              <w:jc w:val="left"/>
            </w:pPr>
            <w:r>
              <w:t xml:space="preserve">⚠ the specific ~80%-connectivity figure and detailed demographic-association statistics are pending full-text confirmation; the qualitative</w:t>
            </w:r>
            <w:r>
              <w:t xml:space="preserve"> </w:t>
            </w:r>
            <w:r>
              <w:t xml:space="preserve">“</w:t>
            </w:r>
            <w:r>
              <w:t xml:space="preserve">systematic, not random</w:t>
            </w:r>
            <w:r>
              <w:t xml:space="preserve">”</w:t>
            </w:r>
            <w:r>
              <w:t xml:space="preserve"> </w:t>
            </w:r>
            <w:r>
              <w:t xml:space="preserve">finding is the claim relied upon in-text</w:t>
            </w:r>
          </w:p>
        </w:tc>
      </w:tr>
      <w:tr>
        <w:tc>
          <w:tcPr/>
          <w:p>
            <w:pPr>
              <w:pStyle w:val="Compact"/>
              <w:jc w:val="left"/>
            </w:pPr>
            <w:r>
              <w:t xml:space="preserve">[53]</w:t>
            </w:r>
          </w:p>
        </w:tc>
        <w:tc>
          <w:tcPr/>
          <w:p>
            <w:pPr>
              <w:pStyle w:val="Compact"/>
              <w:jc w:val="left"/>
            </w:pPr>
            <w:r>
              <w:t xml:space="preserve">Thompson et al. (2024)</w:t>
            </w:r>
          </w:p>
        </w:tc>
        <w:tc>
          <w:tcPr/>
          <w:p>
            <w:pPr>
              <w:pStyle w:val="Compact"/>
              <w:jc w:val="left"/>
            </w:pPr>
            <w:r>
              <w:t xml:space="preserve">Conceptual/policy-analysis article</w:t>
            </w:r>
          </w:p>
        </w:tc>
        <w:tc>
          <w:tcPr/>
          <w:p>
            <w:pPr>
              <w:pStyle w:val="Compact"/>
              <w:jc w:val="left"/>
            </w:pPr>
            <w:r>
              <w:t xml:space="preserve">PMID 38781624; DOI not independently confirmed this session</w:t>
            </w:r>
          </w:p>
        </w:tc>
        <w:tc>
          <w:tcPr/>
          <w:p>
            <w:pPr>
              <w:pStyle w:val="Compact"/>
              <w:jc w:val="left"/>
            </w:pPr>
            <w:r>
              <w:t xml:space="preserve">Proposes enforceable legal/contractual</w:t>
            </w:r>
            <w:r>
              <w:t xml:space="preserve"> </w:t>
            </w:r>
            <w:r>
              <w:t xml:space="preserve">“</w:t>
            </w:r>
            <w:r>
              <w:t xml:space="preserve">obligations</w:t>
            </w:r>
            <w:r>
              <w:t xml:space="preserve">”</w:t>
            </w:r>
            <w:r>
              <w:t xml:space="preserve"> </w:t>
            </w:r>
            <w:r>
              <w:t xml:space="preserve">as a governance basis for wastewater-surveillance group-privacy protection, in place of unenforceable ethics/rights framing alone (§9.6)</w:t>
            </w:r>
          </w:p>
        </w:tc>
        <w:tc>
          <w:tcPr/>
          <w:p>
            <w:pPr>
              <w:pStyle w:val="Compact"/>
              <w:jc w:val="left"/>
            </w:pPr>
            <w:r>
              <w:t xml:space="preserve">⚠ only the lead author (Janelle R. Thompson) confirmed; full co-author list not independently confirmed this session</w:t>
            </w:r>
          </w:p>
        </w:tc>
        <w:tc>
          <w:tcPr/>
          <w:p>
            <w:pPr>
              <w:pStyle w:val="Compact"/>
              <w:jc w:val="left"/>
            </w:pPr>
            <w:r>
              <w:t xml:space="preserve">⚠ the governance argument itself (obligations vs. ethics-only framing) recurred across search results; no specific quantitative claim asserted in text</w:t>
            </w:r>
          </w:p>
        </w:tc>
      </w:tr>
      <w:tr>
        <w:tc>
          <w:tcPr/>
          <w:p>
            <w:pPr>
              <w:pStyle w:val="Compact"/>
              <w:jc w:val="left"/>
            </w:pPr>
            <w:r>
              <w:t xml:space="preserve">[54]</w:t>
            </w:r>
          </w:p>
        </w:tc>
        <w:tc>
          <w:tcPr/>
          <w:p>
            <w:pPr>
              <w:pStyle w:val="Compact"/>
              <w:jc w:val="left"/>
            </w:pPr>
            <w:r>
              <w:t xml:space="preserve">Kwiatkowska et al. (2022)</w:t>
            </w:r>
          </w:p>
        </w:tc>
        <w:tc>
          <w:tcPr/>
          <w:p>
            <w:pPr>
              <w:pStyle w:val="Compact"/>
              <w:jc w:val="left"/>
            </w:pPr>
            <w:r>
              <w:t xml:space="preserve">Conceptual/ethics discussion —</w:t>
            </w:r>
            <w:r>
              <w:t xml:space="preserve"> </w:t>
            </w:r>
            <w:r>
              <w:rPr>
                <w:bCs/>
                <w:b/>
              </w:rPr>
              <w:t xml:space="preserve">peer-review status and publication venue not independently confirmed</w:t>
            </w:r>
          </w:p>
        </w:tc>
        <w:tc>
          <w:tcPr/>
          <w:p>
            <w:pPr>
              <w:pStyle w:val="Compact"/>
              <w:jc w:val="left"/>
            </w:pPr>
            <w:r>
              <w:t xml:space="preserve">Not independently confirmed this session (OSF/ResearchGate listing only)</w:t>
            </w:r>
          </w:p>
        </w:tc>
        <w:tc>
          <w:tcPr/>
          <w:p>
            <w:pPr>
              <w:pStyle w:val="Compact"/>
              <w:jc w:val="left"/>
            </w:pPr>
            <w:r>
              <w:t xml:space="preserve">Group-level privacy/stigmatization is a distinct harm from individual re-identification risk and is comparatively under-addressed by individual-privacy-focused frameworks (§9.6)</w:t>
            </w:r>
          </w:p>
        </w:tc>
        <w:tc>
          <w:tcPr/>
          <w:p>
            <w:pPr>
              <w:pStyle w:val="Compact"/>
              <w:jc w:val="left"/>
            </w:pPr>
            <w:r>
              <w:t xml:space="preserve">⚠ full 8-author list found via a single search, not cross-checked against a second independent source</w:t>
            </w:r>
          </w:p>
        </w:tc>
        <w:tc>
          <w:tcPr/>
          <w:p>
            <w:pPr>
              <w:pStyle w:val="Compact"/>
              <w:jc w:val="left"/>
            </w:pPr>
            <w:r>
              <w:t xml:space="preserve">⚠ conceptual argument only, no quantitative claim;</w:t>
            </w:r>
            <w:r>
              <w:t xml:space="preserve"> </w:t>
            </w:r>
            <w:r>
              <w:rPr>
                <w:bCs/>
                <w:b/>
              </w:rPr>
              <w:t xml:space="preserve">lowest evidence-type confidence of any Chapter 9 source given the unconfirmed venue</w:t>
            </w:r>
          </w:p>
        </w:tc>
      </w:tr>
      <w:tr>
        <w:tc>
          <w:tcPr/>
          <w:p>
            <w:pPr>
              <w:pStyle w:val="Compact"/>
              <w:jc w:val="left"/>
            </w:pPr>
            <w:r>
              <w:t xml:space="preserve">[55]</w:t>
            </w:r>
          </w:p>
        </w:tc>
        <w:tc>
          <w:tcPr/>
          <w:p>
            <w:pPr>
              <w:pStyle w:val="Compact"/>
              <w:jc w:val="left"/>
            </w:pPr>
            <w:r>
              <w:t xml:space="preserve">Assoum et al. (2023)</w:t>
            </w:r>
          </w:p>
        </w:tc>
        <w:tc>
          <w:tcPr/>
          <w:p>
            <w:pPr>
              <w:pStyle w:val="Compact"/>
              <w:jc w:val="left"/>
            </w:pPr>
            <w:r>
              <w:t xml:space="preserve">Primary field study</w:t>
            </w:r>
          </w:p>
        </w:tc>
        <w:tc>
          <w:tcPr/>
          <w:p>
            <w:pPr>
              <w:pStyle w:val="Compact"/>
              <w:jc w:val="left"/>
            </w:pPr>
            <w:r>
              <w:t xml:space="preserve">https://doi.org/10.3390/tropicalmed8040211</w:t>
            </w:r>
          </w:p>
        </w:tc>
        <w:tc>
          <w:tcPr/>
          <w:p>
            <w:pPr>
              <w:pStyle w:val="Compact"/>
              <w:jc w:val="left"/>
            </w:pPr>
            <w:r>
              <w:t xml:space="preserve">Wastewater surveillance functioning as an early-warning system for COVID-19 in low-incidence settings, distinct from trend monitoring or absolute-magnitude estimation (§9.1, §9.2)</w:t>
            </w:r>
          </w:p>
        </w:tc>
        <w:tc>
          <w:tcPr/>
          <w:p>
            <w:pPr>
              <w:pStyle w:val="Compact"/>
              <w:jc w:val="left"/>
            </w:pPr>
            <w:r>
              <w:t xml:space="preserve">✅ full 9-author list confirmed</w:t>
            </w:r>
          </w:p>
        </w:tc>
        <w:tc>
          <w:tcPr/>
          <w:p>
            <w:pPr>
              <w:pStyle w:val="Compact"/>
              <w:jc w:val="left"/>
            </w:pPr>
            <w:r>
              <w:t xml:space="preserve">⚠ general framing recurred across searches; no specific lead-time or sensitivity figure asserted in text</w:t>
            </w:r>
          </w:p>
        </w:tc>
      </w:tr>
      <w:tr>
        <w:tc>
          <w:tcPr/>
          <w:p>
            <w:pPr>
              <w:pStyle w:val="Compact"/>
              <w:jc w:val="left"/>
            </w:pPr>
            <w:r>
              <w:t xml:space="preserve">[56]</w:t>
            </w:r>
          </w:p>
        </w:tc>
        <w:tc>
          <w:tcPr/>
          <w:p>
            <w:pPr>
              <w:pStyle w:val="Compact"/>
              <w:jc w:val="left"/>
            </w:pPr>
            <w:r>
              <w:t xml:space="preserve">⛔</w:t>
            </w:r>
            <w:r>
              <w:t xml:space="preserve"> </w:t>
            </w:r>
            <w:r>
              <w:rPr>
                <w:bCs/>
                <w:b/>
              </w:rPr>
              <w:t xml:space="preserve">WITHDRAWN</w:t>
            </w:r>
            <w:r>
              <w:t xml:space="preserve"> </w:t>
            </w:r>
            <w:r>
              <w:t xml:space="preserve">— [name unconfirmed] (2026, medRxiv preprint)</w:t>
            </w:r>
          </w:p>
        </w:tc>
        <w:tc>
          <w:tcPr/>
          <w:p>
            <w:pPr>
              <w:pStyle w:val="Compact"/>
              <w:jc w:val="left"/>
            </w:pPr>
            <w:r>
              <w:t xml:space="preserve">Not applicable — withdrawn before evidence-type classification is meaningful</w:t>
            </w:r>
          </w:p>
        </w:tc>
        <w:tc>
          <w:tcPr/>
          <w:p>
            <w:pPr>
              <w:pStyle w:val="Compact"/>
              <w:jc w:val="left"/>
            </w:pPr>
            <w:r>
              <w:t xml:space="preserve">https://www.medrxiv.org/content/10.64898/2026.01.20.26344452v1.full</w:t>
            </w:r>
          </w:p>
        </w:tc>
        <w:tc>
          <w:tcPr/>
          <w:p>
            <w:pPr>
              <w:pStyle w:val="Compact"/>
              <w:jc w:val="left"/>
            </w:pPr>
            <w:r>
              <w:rPr>
                <w:bCs/>
                <w:b/>
              </w:rPr>
              <w:t xml:space="preserve">NOT CITED as evidence anywhere in the main text or Table 7 as of the 2026-07-18 audit round.</w:t>
            </w:r>
            <w:r>
              <w:t xml:space="preserve"> </w:t>
            </w:r>
            <w:r>
              <w:t xml:space="preserve">The underlying EWMA design idea is mentioned in §9.1–9.2 prose as a conceptual point only, explicitly not attributed to this source</w:t>
            </w:r>
          </w:p>
        </w:tc>
        <w:tc>
          <w:tcPr/>
          <w:p>
            <w:pPr>
              <w:pStyle w:val="Compact"/>
              <w:jc w:val="left"/>
            </w:pPr>
            <w:r>
              <w:t xml:space="preserve">⛔</w:t>
            </w:r>
            <w:r>
              <w:t xml:space="preserve"> </w:t>
            </w:r>
            <w:r>
              <w:rPr>
                <w:bCs/>
                <w:b/>
              </w:rPr>
              <w:t xml:space="preserve">Re-searched 2026-07-18, still unresolved: even a co-author’s name is corroborated by only one, non-independently-repeated search result. Do not cite until independently corroborated — see</w:t>
            </w:r>
            <w:r>
              <w:rPr>
                <w:bCs/>
                <w:b/>
              </w:rPr>
              <w:t xml:space="preserve"> </w:t>
            </w:r>
            <w:r>
              <w:rPr>
                <w:rStyle w:val="VerbatimChar"/>
                <w:bCs/>
                <w:b/>
              </w:rPr>
              <w:t xml:space="preserve">WBE_Review_Pending_Verification_List.md</w:t>
            </w:r>
            <w:r>
              <w:rPr>
                <w:bCs/>
                <w:b/>
              </w:rPr>
              <w:t xml:space="preserve">.</w:t>
            </w:r>
          </w:p>
        </w:tc>
        <w:tc>
          <w:tcPr/>
          <w:p>
            <w:pPr>
              <w:pStyle w:val="Compact"/>
              <w:jc w:val="left"/>
            </w:pPr>
            <w:r>
              <w:t xml:space="preserve">N/A — withdrawn</w:t>
            </w:r>
          </w:p>
        </w:tc>
      </w:tr>
      <w:tr>
        <w:tc>
          <w:tcPr/>
          <w:p>
            <w:pPr>
              <w:pStyle w:val="Compact"/>
              <w:jc w:val="left"/>
            </w:pPr>
            <w:r>
              <w:t xml:space="preserve">[57]</w:t>
            </w:r>
          </w:p>
        </w:tc>
        <w:tc>
          <w:tcPr/>
          <w:p>
            <w:pPr>
              <w:pStyle w:val="Compact"/>
              <w:jc w:val="left"/>
            </w:pPr>
            <w:r>
              <w:t xml:space="preserve">Link, Garrido, et al. (2026, medRxiv preprint)</w:t>
            </w:r>
          </w:p>
        </w:tc>
        <w:tc>
          <w:tcPr/>
          <w:p>
            <w:pPr>
              <w:pStyle w:val="Compact"/>
              <w:jc w:val="left"/>
            </w:pPr>
            <w:r>
              <w:t xml:space="preserve">Primary methodological/modelling study —</w:t>
            </w:r>
            <w:r>
              <w:t xml:space="preserve"> </w:t>
            </w:r>
            <w:r>
              <w:rPr>
                <w:bCs/>
                <w:b/>
              </w:rPr>
              <w:t xml:space="preserve">non-peer-reviewed preprint</w:t>
            </w:r>
          </w:p>
        </w:tc>
        <w:tc>
          <w:tcPr/>
          <w:p>
            <w:pPr>
              <w:pStyle w:val="Compact"/>
              <w:jc w:val="left"/>
            </w:pPr>
            <w:r>
              <w:t xml:space="preserve">https://www.medrxiv.org/content/10.64898/2026.05.14.26353186v1.full</w:t>
            </w:r>
          </w:p>
        </w:tc>
        <w:tc>
          <w:tcPr/>
          <w:p>
            <w:pPr>
              <w:pStyle w:val="Compact"/>
              <w:jc w:val="left"/>
            </w:pPr>
            <w:r>
              <w:t xml:space="preserve">Event-detection framework (Bayesian exponential-growth outbreak detection, rule-based peak detection) across 281 U.S. counties; sensitivity 0.82/PPV 0.64 (wastewater) vs. 0.58/0.19 (</w:t>
            </w:r>
            <m:oMath>
              <m:sSub>
                <m:e>
                  <m:r>
                    <m:t>R</m:t>
                  </m:r>
                </m:e>
                <m:sub>
                  <m:r>
                    <m:t>t</m:t>
                  </m:r>
                </m:sub>
              </m:sSub>
            </m:oMath>
            <w:r>
              <w:t xml:space="preserve"> </w:t>
            </w:r>
            <w:r>
              <w:t xml:space="preserve">baseline) (§9.2, Table 7)</w:t>
            </w:r>
          </w:p>
        </w:tc>
        <w:tc>
          <w:tcPr/>
          <w:p>
            <w:pPr>
              <w:pStyle w:val="Compact"/>
              <w:jc w:val="left"/>
            </w:pPr>
            <w:r>
              <w:t xml:space="preserve">✅</w:t>
            </w:r>
            <w:r>
              <w:t xml:space="preserve"> </w:t>
            </w:r>
            <w:r>
              <w:rPr>
                <w:bCs/>
                <w:b/>
              </w:rPr>
              <w:t xml:space="preserve">Re-searched 2026-07-18: both named authors (Link, Garrido) independently corroborated across two separate search results, meeting this review’s ordinary</w:t>
            </w:r>
            <w:r>
              <w:rPr>
                <w:bCs/>
                <w:b/>
              </w:rPr>
              <w:t xml:space="preserve"> </w:t>
            </w:r>
            <w:r>
              <w:rPr>
                <w:bCs/>
                <w:b/>
              </w:rPr>
              <w:t xml:space="preserve">“</w:t>
            </w:r>
            <w:r>
              <w:rPr>
                <w:bCs/>
                <w:b/>
              </w:rPr>
              <w:t xml:space="preserve">confirmed lead author(s), full list incomplete</w:t>
            </w:r>
            <w:r>
              <w:rPr>
                <w:bCs/>
                <w:b/>
              </w:rPr>
              <w:t xml:space="preserve">”</w:t>
            </w:r>
            <w:r>
              <w:rPr>
                <w:bCs/>
                <w:b/>
              </w:rPr>
              <w:t xml:space="preserve"> </w:t>
            </w:r>
            <w:r>
              <w:rPr>
                <w:bCs/>
                <w:b/>
              </w:rPr>
              <w:t xml:space="preserve">bar — upgraded from the prior round’s single-search-result confidence.</w:t>
            </w:r>
            <w:r>
              <w:t xml:space="preserve"> </w:t>
            </w:r>
            <w:r>
              <w:t xml:space="preserve">Full author list beyond these two still not confirmed</w:t>
            </w:r>
          </w:p>
        </w:tc>
        <w:tc>
          <w:tcPr/>
          <w:p>
            <w:pPr>
              <w:pStyle w:val="Compact"/>
              <w:jc w:val="left"/>
            </w:pPr>
            <w:r>
              <w:t xml:space="preserve">⚠</w:t>
            </w:r>
            <w:r>
              <w:t xml:space="preserve"> </w:t>
            </w:r>
            <w:r>
              <w:rPr>
                <w:bCs/>
                <w:b/>
              </w:rPr>
              <w:t xml:space="preserve">the specific sensitivity/PPV figures are pending full-text confirmation AND, per §9.2’s argument, not established to transfer to a deployment context different from the 281-county calibration set — do not cite as a general WBE-detection-performance figure</w:t>
            </w:r>
          </w:p>
        </w:tc>
      </w:tr>
      <w:tr>
        <w:tc>
          <w:tcPr/>
          <w:p>
            <w:pPr>
              <w:pStyle w:val="Compact"/>
              <w:jc w:val="left"/>
            </w:pPr>
            <w:r>
              <w:t xml:space="preserve">[58]</w:t>
            </w:r>
          </w:p>
        </w:tc>
        <w:tc>
          <w:tcPr/>
          <w:p>
            <w:pPr>
              <w:pStyle w:val="Compact"/>
              <w:jc w:val="left"/>
            </w:pPr>
            <w:r>
              <w:t xml:space="preserve">Zhang et al. (2025)</w:t>
            </w:r>
          </w:p>
        </w:tc>
        <w:tc>
          <w:tcPr/>
          <w:p>
            <w:pPr>
              <w:pStyle w:val="Compact"/>
              <w:jc w:val="left"/>
            </w:pPr>
            <w:r>
              <w:t xml:space="preserve">Primary field/data-integration study</w:t>
            </w:r>
          </w:p>
        </w:tc>
        <w:tc>
          <w:tcPr/>
          <w:p>
            <w:pPr>
              <w:pStyle w:val="Compact"/>
              <w:jc w:val="left"/>
            </w:pPr>
            <w:r>
              <w:t xml:space="preserve">https://doi.org/10.2196/70232</w:t>
            </w:r>
          </w:p>
        </w:tc>
        <w:tc>
          <w:tcPr/>
          <w:p>
            <w:pPr>
              <w:pStyle w:val="Compact"/>
              <w:jc w:val="left"/>
            </w:pPr>
            <w:r>
              <w:t xml:space="preserve">4-system data fusion (hospital, wastewater, meteorological, internet-search) into a shared daily time series; substantial subset of fused variables correlated significantly with case counts (§9.3, Table 7)</w:t>
            </w:r>
          </w:p>
        </w:tc>
        <w:tc>
          <w:tcPr/>
          <w:p>
            <w:pPr>
              <w:pStyle w:val="Compact"/>
              <w:jc w:val="left"/>
            </w:pPr>
            <w:r>
              <w:t xml:space="preserve">✅ full 8-author list confirmed</w:t>
            </w:r>
          </w:p>
        </w:tc>
        <w:tc>
          <w:tcPr/>
          <w:p>
            <w:pPr>
              <w:pStyle w:val="Compact"/>
              <w:jc w:val="left"/>
            </w:pPr>
            <w:r>
              <w:t xml:space="preserve">⚠ specific correlation magnitudes and per-system lead/lag figures are snippet-derived, pending full-text confirmation</w:t>
            </w:r>
          </w:p>
        </w:tc>
      </w:tr>
      <w:tr>
        <w:tc>
          <w:tcPr/>
          <w:p>
            <w:pPr>
              <w:pStyle w:val="Compact"/>
              <w:jc w:val="left"/>
            </w:pPr>
            <w:r>
              <w:t xml:space="preserve">[59]</w:t>
            </w:r>
          </w:p>
        </w:tc>
        <w:tc>
          <w:tcPr/>
          <w:p>
            <w:pPr>
              <w:pStyle w:val="Compact"/>
              <w:jc w:val="left"/>
            </w:pPr>
            <w:r>
              <w:t xml:space="preserve">ECDC (2025)</w:t>
            </w:r>
          </w:p>
        </w:tc>
        <w:tc>
          <w:tcPr/>
          <w:p>
            <w:pPr>
              <w:pStyle w:val="Compact"/>
              <w:jc w:val="left"/>
            </w:pPr>
            <w:r>
              <w:t xml:space="preserve">Institutional / policy framework</w:t>
            </w:r>
          </w:p>
        </w:tc>
        <w:tc>
          <w:tcPr/>
          <w:p>
            <w:pPr>
              <w:pStyle w:val="Compact"/>
              <w:jc w:val="left"/>
            </w:pPr>
            <w:r>
              <w:t xml:space="preserve">https://doi.org/10.2900/6843735</w:t>
            </w:r>
          </w:p>
        </w:tc>
        <w:tc>
          <w:tcPr/>
          <w:p>
            <w:pPr>
              <w:pStyle w:val="Compact"/>
              <w:jc w:val="left"/>
            </w:pPr>
            <w:r>
              <w:t xml:space="preserve">EU/EEA framework for integrating wastewater-based surveillance into infectious-disease surveillance and public health decision-making (§9.8)</w:t>
            </w:r>
          </w:p>
        </w:tc>
        <w:tc>
          <w:tcPr/>
          <w:p>
            <w:pPr>
              <w:pStyle w:val="Compact"/>
              <w:jc w:val="left"/>
            </w:pPr>
            <w:r>
              <w:t xml:space="preserve">✅ official ECDC publication (primary institutional source), organizational author</w:t>
            </w:r>
          </w:p>
        </w:tc>
        <w:tc>
          <w:tcPr/>
          <w:p>
            <w:pPr>
              <w:pStyle w:val="Compact"/>
              <w:jc w:val="left"/>
            </w:pPr>
            <w:r>
              <w:t xml:space="preserve">✅ high confidence — framing/existence claim, low distortion risk, consistent with how this table treats WHO [14]/[15] and NASEM [11]</w:t>
            </w:r>
          </w:p>
        </w:tc>
      </w:tr>
      <w:tr>
        <w:tc>
          <w:tcPr/>
          <w:p>
            <w:pPr>
              <w:pStyle w:val="Compact"/>
              <w:jc w:val="left"/>
            </w:pPr>
            <w:r>
              <w:t xml:space="preserve">[60]</w:t>
            </w:r>
          </w:p>
        </w:tc>
        <w:tc>
          <w:tcPr/>
          <w:p>
            <w:pPr>
              <w:pStyle w:val="Compact"/>
              <w:jc w:val="left"/>
            </w:pPr>
            <w:r>
              <w:t xml:space="preserve">Schang et al. (2021)</w:t>
            </w:r>
          </w:p>
        </w:tc>
        <w:tc>
          <w:tcPr/>
          <w:p>
            <w:pPr>
              <w:pStyle w:val="Compact"/>
              <w:jc w:val="left"/>
            </w:pPr>
            <w:r>
              <w:t xml:space="preserve">Primary field/method-validation study</w:t>
            </w:r>
          </w:p>
        </w:tc>
        <w:tc>
          <w:tcPr/>
          <w:p>
            <w:pPr>
              <w:pStyle w:val="Compact"/>
              <w:jc w:val="left"/>
            </w:pPr>
            <w:r>
              <w:t xml:space="preserve">https://doi.org/10.1021/acs.est.1c01530 (PMID 34264643)</w:t>
            </w:r>
          </w:p>
        </w:tc>
        <w:tc>
          <w:tcPr/>
          <w:p>
            <w:pPr>
              <w:pStyle w:val="Compact"/>
              <w:jc w:val="left"/>
            </w:pPr>
            <w:r>
              <w:t xml:space="preserve">First evidence passive samplers detect SARS-CoV-2 in low-prevalence wastewater at 3 spatial scales (§10.1)</w:t>
            </w:r>
          </w:p>
        </w:tc>
        <w:tc>
          <w:tcPr/>
          <w:p>
            <w:pPr>
              <w:pStyle w:val="Compact"/>
              <w:jc w:val="left"/>
            </w:pPr>
            <w:r>
              <w:t xml:space="preserve">✅ full 23-author list confirmed via dedicated re-search.</w:t>
            </w:r>
            <w:r>
              <w:t xml:space="preserve"> </w:t>
            </w:r>
            <w:r>
              <w:rPr>
                <w:bCs/>
                <w:b/>
              </w:rPr>
              <w:t xml:space="preserve">Citogenesis catch: an initial search summary had attributed this paper to</w:t>
            </w:r>
            <w:r>
              <w:rPr>
                <w:bCs/>
                <w:b/>
              </w:rPr>
              <w:t xml:space="preserve"> </w:t>
            </w:r>
            <w:r>
              <w:rPr>
                <w:bCs/>
                <w:b/>
              </w:rPr>
              <w:t xml:space="preserve">“</w:t>
            </w:r>
            <w:r>
              <w:rPr>
                <w:bCs/>
                <w:b/>
              </w:rPr>
              <w:t xml:space="preserve">Moore et al.</w:t>
            </w:r>
            <w:r>
              <w:rPr>
                <w:bCs/>
                <w:b/>
              </w:rPr>
              <w:t xml:space="preserve">”</w:t>
            </w:r>
            <w:r>
              <w:rPr>
                <w:bCs/>
                <w:b/>
              </w:rPr>
              <w:t xml:space="preserve"> </w:t>
            </w:r>
            <w:r>
              <w:rPr>
                <w:bCs/>
                <w:b/>
              </w:rPr>
              <w:t xml:space="preserve">(confusing the historically-named</w:t>
            </w:r>
            <w:r>
              <w:rPr>
                <w:bCs/>
                <w:b/>
              </w:rPr>
              <w:t xml:space="preserve"> </w:t>
            </w:r>
            <w:r>
              <w:rPr>
                <w:bCs/>
                <w:b/>
              </w:rPr>
              <w:t xml:space="preserve">“</w:t>
            </w:r>
            <w:r>
              <w:rPr>
                <w:bCs/>
                <w:b/>
              </w:rPr>
              <w:t xml:space="preserve">Moore swab</w:t>
            </w:r>
            <w:r>
              <w:rPr>
                <w:bCs/>
                <w:b/>
              </w:rPr>
              <w:t xml:space="preserve">”</w:t>
            </w:r>
            <w:r>
              <w:rPr>
                <w:bCs/>
                <w:b/>
              </w:rPr>
              <w:t xml:space="preserve"> </w:t>
            </w:r>
            <w:r>
              <w:rPr>
                <w:bCs/>
                <w:b/>
              </w:rPr>
              <w:t xml:space="preserve">method with this paper’s actual authorship) — corrected before entering the main text.</w:t>
            </w:r>
          </w:p>
        </w:tc>
        <w:tc>
          <w:tcPr/>
          <w:p>
            <w:pPr>
              <w:pStyle w:val="Compact"/>
              <w:jc w:val="left"/>
            </w:pPr>
            <w:r>
              <w:t xml:space="preserve">⚠ specific prevalence-detection-floor figures pending full-text confirmation</w:t>
            </w:r>
          </w:p>
        </w:tc>
      </w:tr>
      <w:tr>
        <w:tc>
          <w:tcPr/>
          <w:p>
            <w:pPr>
              <w:pStyle w:val="Compact"/>
              <w:jc w:val="left"/>
            </w:pPr>
            <w:r>
              <w:t xml:space="preserve">[61]</w:t>
            </w:r>
          </w:p>
        </w:tc>
        <w:tc>
          <w:tcPr/>
          <w:p>
            <w:pPr>
              <w:pStyle w:val="Compact"/>
              <w:jc w:val="left"/>
            </w:pPr>
            <w:r>
              <w:t xml:space="preserve">Bam et al. (2025)</w:t>
            </w:r>
          </w:p>
        </w:tc>
        <w:tc>
          <w:tcPr/>
          <w:p>
            <w:pPr>
              <w:pStyle w:val="Compact"/>
              <w:jc w:val="left"/>
            </w:pPr>
            <w:r>
              <w:t xml:space="preserve">Systematic review / secondary evidence</w:t>
            </w:r>
          </w:p>
        </w:tc>
        <w:tc>
          <w:tcPr/>
          <w:p>
            <w:pPr>
              <w:pStyle w:val="Compact"/>
              <w:jc w:val="left"/>
            </w:pPr>
            <w:r>
              <w:t xml:space="preserve">MDPI Water, 17(20), 2957</w:t>
            </w:r>
          </w:p>
        </w:tc>
        <w:tc>
          <w:tcPr/>
          <w:p>
            <w:pPr>
              <w:pStyle w:val="Compact"/>
              <w:jc w:val="left"/>
            </w:pPr>
            <w:r>
              <w:t xml:space="preserve">Digital-twin adoption trends across 147 water-sector studies, 2015–2025 (§10.3)</w:t>
            </w:r>
          </w:p>
        </w:tc>
        <w:tc>
          <w:tcPr/>
          <w:p>
            <w:pPr>
              <w:pStyle w:val="Compact"/>
              <w:jc w:val="left"/>
            </w:pPr>
            <w:r>
              <w:t xml:space="preserve">✅ full 9-author list confirmed</w:t>
            </w:r>
          </w:p>
        </w:tc>
        <w:tc>
          <w:tcPr/>
          <w:p>
            <w:pPr>
              <w:pStyle w:val="Compact"/>
              <w:jc w:val="left"/>
            </w:pPr>
            <w:r>
              <w:t xml:space="preserve">⚠ the specific</w:t>
            </w:r>
            <w:r>
              <w:t xml:space="preserve"> </w:t>
            </w:r>
            <w:r>
              <w:t xml:space="preserve">“</w:t>
            </w:r>
            <w:r>
              <w:t xml:space="preserve">58 of 147 use ML</w:t>
            </w:r>
            <w:r>
              <w:t xml:space="preserve">”</w:t>
            </w:r>
            <w:r>
              <w:t xml:space="preserve"> </w:t>
            </w:r>
            <w:r>
              <w:t xml:space="preserve">figure is snippet-derived, pending full-text confirmation</w:t>
            </w:r>
          </w:p>
        </w:tc>
      </w:tr>
      <w:tr>
        <w:tc>
          <w:tcPr/>
          <w:p>
            <w:pPr>
              <w:pStyle w:val="Compact"/>
              <w:jc w:val="left"/>
            </w:pPr>
            <w:r>
              <w:t xml:space="preserve">[62]</w:t>
            </w:r>
          </w:p>
        </w:tc>
        <w:tc>
          <w:tcPr/>
          <w:p>
            <w:pPr>
              <w:pStyle w:val="Compact"/>
              <w:jc w:val="left"/>
            </w:pPr>
            <w:r>
              <w:t xml:space="preserve">Sharma et al. (2024)</w:t>
            </w:r>
          </w:p>
        </w:tc>
        <w:tc>
          <w:tcPr/>
          <w:p>
            <w:pPr>
              <w:pStyle w:val="Compact"/>
              <w:jc w:val="left"/>
            </w:pPr>
            <w:r>
              <w:t xml:space="preserve">Primary laboratory/method-development study</w:t>
            </w:r>
          </w:p>
        </w:tc>
        <w:tc>
          <w:tcPr/>
          <w:p>
            <w:pPr>
              <w:pStyle w:val="Compact"/>
              <w:jc w:val="left"/>
            </w:pPr>
            <w:r>
              <w:t xml:space="preserve">https://doi.org/10.3390/bios14030115</w:t>
            </w:r>
          </w:p>
        </w:tc>
        <w:tc>
          <w:tcPr/>
          <w:p>
            <w:pPr>
              <w:pStyle w:val="Compact"/>
              <w:jc w:val="left"/>
            </w:pPr>
            <w:r>
              <w:t xml:space="preserve">Sub-two-hour biosensor detection of heat-inactivated SARS-CoV-2 in wastewater under lab conditions (§10.2)</w:t>
            </w:r>
          </w:p>
        </w:tc>
        <w:tc>
          <w:tcPr/>
          <w:p>
            <w:pPr>
              <w:pStyle w:val="Compact"/>
              <w:jc w:val="left"/>
            </w:pPr>
            <w:r>
              <w:t xml:space="preserve">✅ full 4-author list confirmed</w:t>
            </w:r>
          </w:p>
        </w:tc>
        <w:tc>
          <w:tcPr/>
          <w:p>
            <w:pPr>
              <w:pStyle w:val="Compact"/>
              <w:jc w:val="left"/>
            </w:pPr>
            <w:r>
              <w:t xml:space="preserve">⚠ specific concentration/turnaround figures pending full-text confirmation;</w:t>
            </w:r>
            <w:r>
              <w:t xml:space="preserve"> </w:t>
            </w:r>
            <w:r>
              <w:rPr>
                <w:bCs/>
                <w:b/>
              </w:rPr>
              <w:t xml:space="preserve">explicitly classified in-text as technology-readiness level 1–2 only, not field- or operationally-validated</w:t>
            </w:r>
          </w:p>
        </w:tc>
      </w:tr>
      <w:tr>
        <w:tc>
          <w:tcPr/>
          <w:p>
            <w:pPr>
              <w:pStyle w:val="Compact"/>
              <w:jc w:val="left"/>
            </w:pPr>
            <w:r>
              <w:t xml:space="preserve">[63]</w:t>
            </w:r>
          </w:p>
        </w:tc>
        <w:tc>
          <w:tcPr/>
          <w:p>
            <w:pPr>
              <w:pStyle w:val="Compact"/>
              <w:jc w:val="left"/>
            </w:pPr>
            <w:r>
              <w:t xml:space="preserve">Pagsuyoin et al. (2025)</w:t>
            </w:r>
          </w:p>
        </w:tc>
        <w:tc>
          <w:tcPr/>
          <w:p>
            <w:pPr>
              <w:pStyle w:val="Compact"/>
              <w:jc w:val="left"/>
            </w:pPr>
            <w:r>
              <w:t xml:space="preserve">Narrative/methodological review</w:t>
            </w:r>
          </w:p>
        </w:tc>
        <w:tc>
          <w:tcPr/>
          <w:p>
            <w:pPr>
              <w:pStyle w:val="Compact"/>
              <w:jc w:val="left"/>
            </w:pPr>
            <w:r>
              <w:t xml:space="preserve">https://doi.org/10.1111/risa.70075 (PMID 40618783)</w:t>
            </w:r>
          </w:p>
        </w:tc>
        <w:tc>
          <w:tcPr/>
          <w:p>
            <w:pPr>
              <w:pStyle w:val="Compact"/>
              <w:jc w:val="left"/>
            </w:pPr>
            <w:r>
              <w:t xml:space="preserve">ML applications to WBE data analytics for infectious-disease risk management (§10.5)</w:t>
            </w:r>
          </w:p>
        </w:tc>
        <w:tc>
          <w:tcPr/>
          <w:p>
            <w:pPr>
              <w:pStyle w:val="Compact"/>
              <w:jc w:val="left"/>
            </w:pPr>
            <w:r>
              <w:t xml:space="preserve">✅ full 4-author list confirmed</w:t>
            </w:r>
          </w:p>
        </w:tc>
        <w:tc>
          <w:tcPr/>
          <w:p>
            <w:pPr>
              <w:pStyle w:val="Compact"/>
              <w:jc w:val="left"/>
            </w:pPr>
            <w:r>
              <w:t xml:space="preserve">⚠ specific model architectures/performance comparisons pending full-text confirmation</w:t>
            </w:r>
          </w:p>
        </w:tc>
      </w:tr>
      <w:tr>
        <w:tc>
          <w:tcPr/>
          <w:p>
            <w:pPr>
              <w:pStyle w:val="Compact"/>
              <w:jc w:val="left"/>
            </w:pPr>
            <w:r>
              <w:t xml:space="preserve">[64]</w:t>
            </w:r>
          </w:p>
        </w:tc>
        <w:tc>
          <w:tcPr/>
          <w:p>
            <w:pPr>
              <w:pStyle w:val="Compact"/>
              <w:jc w:val="left"/>
            </w:pPr>
            <w:r>
              <w:t xml:space="preserve">Keenum et al. (2024)</w:t>
            </w:r>
          </w:p>
        </w:tc>
        <w:tc>
          <w:tcPr/>
          <w:p>
            <w:pPr>
              <w:pStyle w:val="Compact"/>
              <w:jc w:val="left"/>
            </w:pPr>
            <w:r>
              <w:t xml:space="preserve">Position paper / policy-methodological article</w:t>
            </w:r>
          </w:p>
        </w:tc>
        <w:tc>
          <w:tcPr/>
          <w:p>
            <w:pPr>
              <w:pStyle w:val="Compact"/>
              <w:jc w:val="left"/>
            </w:pPr>
            <w:r>
              <w:t xml:space="preserve">https://doi.org/10.2105/AJPH.2024.307760</w:t>
            </w:r>
          </w:p>
        </w:tc>
        <w:tc>
          <w:tcPr/>
          <w:p>
            <w:pPr>
              <w:pStyle w:val="Compact"/>
              <w:jc w:val="left"/>
            </w:pPr>
            <w:r>
              <w:t xml:space="preserve">Standardized reporting and proficiency testing necessary for reliable multi-lab wastewater surveillance (§10.6)</w:t>
            </w:r>
          </w:p>
        </w:tc>
        <w:tc>
          <w:tcPr/>
          <w:p>
            <w:pPr>
              <w:pStyle w:val="Compact"/>
              <w:jc w:val="left"/>
            </w:pPr>
            <w:r>
              <w:t xml:space="preserve">⚠</w:t>
            </w:r>
            <w:r>
              <w:t xml:space="preserve"> </w:t>
            </w:r>
            <w:r>
              <w:rPr>
                <w:bCs/>
                <w:b/>
              </w:rPr>
              <w:t xml:space="preserve">“</w:t>
            </w:r>
            <w:r>
              <w:rPr>
                <w:bCs/>
                <w:b/>
              </w:rPr>
              <w:t xml:space="preserve">Gushgari</w:t>
            </w:r>
            <w:r>
              <w:rPr>
                <w:bCs/>
                <w:b/>
              </w:rPr>
              <w:t xml:space="preserve">”</w:t>
            </w:r>
            <w:r>
              <w:rPr>
                <w:bCs/>
                <w:b/>
              </w:rPr>
              <w:t xml:space="preserve"> </w:t>
            </w:r>
            <w:r>
              <w:rPr>
                <w:bCs/>
                <w:b/>
              </w:rPr>
              <w:t xml:space="preserve">appears twice in the retrieved author list (as two different given-name-initialed authors) — an unresolved internal inconsistency, not independently checked against a second source this session</w:t>
            </w:r>
          </w:p>
        </w:tc>
        <w:tc>
          <w:tcPr/>
          <w:p>
            <w:pPr>
              <w:pStyle w:val="Compact"/>
              <w:jc w:val="left"/>
            </w:pPr>
            <w:r>
              <w:t xml:space="preserve">⚠ general argument corroborated by independently-named NIST working group and EU harmonization initiatives; no specific number asserted in text</w:t>
            </w:r>
          </w:p>
        </w:tc>
      </w:tr>
      <w:tr>
        <w:tc>
          <w:tcPr/>
          <w:p>
            <w:pPr>
              <w:pStyle w:val="Compact"/>
              <w:jc w:val="left"/>
            </w:pPr>
            <w:r>
              <w:t xml:space="preserve">[65]</w:t>
            </w:r>
          </w:p>
        </w:tc>
        <w:tc>
          <w:tcPr/>
          <w:p>
            <w:pPr>
              <w:pStyle w:val="Compact"/>
              <w:jc w:val="left"/>
            </w:pPr>
            <w:r>
              <w:t xml:space="preserve">Wang et al. (2025)</w:t>
            </w:r>
          </w:p>
        </w:tc>
        <w:tc>
          <w:tcPr/>
          <w:p>
            <w:pPr>
              <w:pStyle w:val="Compact"/>
              <w:jc w:val="left"/>
            </w:pPr>
            <w:r>
              <w:t xml:space="preserve">Primary methodological/engineering study —</w:t>
            </w:r>
            <w:r>
              <w:t xml:space="preserve"> </w:t>
            </w:r>
            <w:r>
              <w:rPr>
                <w:bCs/>
                <w:b/>
              </w:rPr>
              <w:t xml:space="preserve">water-quality application, not epidemiological surveillance</w:t>
            </w:r>
          </w:p>
        </w:tc>
        <w:tc>
          <w:tcPr/>
          <w:p>
            <w:pPr>
              <w:pStyle w:val="Compact"/>
              <w:jc w:val="left"/>
            </w:pPr>
            <w:r>
              <w:t xml:space="preserve">https://doi.org/10.1021/acs.est.5c00369 (PMID 40377254)</w:t>
            </w:r>
          </w:p>
        </w:tc>
        <w:tc>
          <w:tcPr/>
          <w:p>
            <w:pPr>
              <w:pStyle w:val="Compact"/>
              <w:jc w:val="left"/>
            </w:pPr>
            <w:r>
              <w:t xml:space="preserve">Federated-learning framework across 6 WWTPs exchanging only model parameters, not raw data (§10.8)</w:t>
            </w:r>
          </w:p>
        </w:tc>
        <w:tc>
          <w:tcPr/>
          <w:p>
            <w:pPr>
              <w:pStyle w:val="Compact"/>
              <w:jc w:val="left"/>
            </w:pPr>
            <w:r>
              <w:t xml:space="preserve">✅ full 11-author list confirmed</w:t>
            </w:r>
          </w:p>
        </w:tc>
        <w:tc>
          <w:tcPr/>
          <w:p>
            <w:pPr>
              <w:pStyle w:val="Compact"/>
              <w:jc w:val="left"/>
            </w:pPr>
            <w:r>
              <w:t xml:space="preserve">⚠ specific privacy-guarantee formalism and performance comparison pending full-text confirmation;</w:t>
            </w:r>
            <w:r>
              <w:t xml:space="preserve"> </w:t>
            </w:r>
            <w:r>
              <w:rPr>
                <w:bCs/>
                <w:b/>
              </w:rPr>
              <w:t xml:space="preserve">cited as general-methodology demonstration only, scope distinction (not WBE-specific) stated explicitly in-text, same practice as [37]/[39]</w:t>
            </w:r>
          </w:p>
        </w:tc>
      </w:tr>
      <w:tr>
        <w:tc>
          <w:tcPr/>
          <w:p>
            <w:pPr>
              <w:pStyle w:val="Compact"/>
              <w:jc w:val="left"/>
            </w:pPr>
            <w:r>
              <w:t xml:space="preserve">[66]</w:t>
            </w:r>
          </w:p>
        </w:tc>
        <w:tc>
          <w:tcPr/>
          <w:p>
            <w:pPr>
              <w:pStyle w:val="Compact"/>
              <w:jc w:val="left"/>
            </w:pPr>
            <w:r>
              <w:t xml:space="preserve">Therrien et al. (2026)</w:t>
            </w:r>
          </w:p>
        </w:tc>
        <w:tc>
          <w:tcPr/>
          <w:p>
            <w:pPr>
              <w:pStyle w:val="Compact"/>
              <w:jc w:val="left"/>
            </w:pPr>
            <w:r>
              <w:t xml:space="preserve">Primary methodological/infrastructure study</w:t>
            </w:r>
          </w:p>
        </w:tc>
        <w:tc>
          <w:tcPr/>
          <w:p>
            <w:pPr>
              <w:pStyle w:val="Compact"/>
              <w:jc w:val="left"/>
            </w:pPr>
            <w:r>
              <w:t xml:space="preserve">MDPI Microorganisms, 14(6), 1267</w:t>
            </w:r>
          </w:p>
        </w:tc>
        <w:tc>
          <w:tcPr/>
          <w:p>
            <w:pPr>
              <w:pStyle w:val="Compact"/>
              <w:jc w:val="left"/>
            </w:pPr>
            <w:r>
              <w:t xml:space="preserve">PHES-ODM v3, a FAIR-aligned relational data model for wastewater surveillance metadata (§10.7)</w:t>
            </w:r>
          </w:p>
        </w:tc>
        <w:tc>
          <w:tcPr/>
          <w:p>
            <w:pPr>
              <w:pStyle w:val="Compact"/>
              <w:jc w:val="left"/>
            </w:pPr>
            <w:r>
              <w:t xml:space="preserve">✅ full 8-author list confirmed</w:t>
            </w:r>
          </w:p>
        </w:tc>
        <w:tc>
          <w:tcPr/>
          <w:p>
            <w:pPr>
              <w:pStyle w:val="Compact"/>
              <w:jc w:val="left"/>
            </w:pPr>
            <w:r>
              <w:t xml:space="preserve">⚠ specific adoption count/program list pending full-text confirmation</w:t>
            </w:r>
          </w:p>
        </w:tc>
      </w:tr>
      <w:tr>
        <w:tc>
          <w:tcPr/>
          <w:p>
            <w:pPr>
              <w:pStyle w:val="Compact"/>
              <w:jc w:val="left"/>
            </w:pPr>
            <w:r>
              <w:t xml:space="preserve">[67]</w:t>
            </w:r>
          </w:p>
        </w:tc>
        <w:tc>
          <w:tcPr/>
          <w:p>
            <w:pPr>
              <w:pStyle w:val="Compact"/>
              <w:jc w:val="left"/>
            </w:pPr>
            <w:r>
              <w:t xml:space="preserve">Malcom &amp; Bowes (2025)</w:t>
            </w:r>
          </w:p>
        </w:tc>
        <w:tc>
          <w:tcPr/>
          <w:p>
            <w:pPr>
              <w:pStyle w:val="Compact"/>
              <w:jc w:val="left"/>
            </w:pPr>
            <w:r>
              <w:t xml:space="preserve">Narrative review</w:t>
            </w:r>
          </w:p>
        </w:tc>
        <w:tc>
          <w:tcPr/>
          <w:p>
            <w:pPr>
              <w:pStyle w:val="Compact"/>
              <w:jc w:val="left"/>
            </w:pPr>
            <w:r>
              <w:t xml:space="preserve">https://doi.org/10.3390/microorganisms13092073</w:t>
            </w:r>
          </w:p>
        </w:tc>
        <w:tc>
          <w:tcPr/>
          <w:p>
            <w:pPr>
              <w:pStyle w:val="Compact"/>
              <w:jc w:val="left"/>
            </w:pPr>
            <w:r>
              <w:t xml:space="preserve">Review of 29 papers on WBE-based AMR surveillance methodology; human-vs-hospital-effluent signal distinction (§10.4)</w:t>
            </w:r>
          </w:p>
        </w:tc>
        <w:tc>
          <w:tcPr/>
          <w:p>
            <w:pPr>
              <w:pStyle w:val="Compact"/>
              <w:jc w:val="left"/>
            </w:pPr>
            <w:r>
              <w:t xml:space="preserve">✅ full 2-author list confirmed</w:t>
            </w:r>
          </w:p>
        </w:tc>
        <w:tc>
          <w:tcPr/>
          <w:p>
            <w:pPr>
              <w:pStyle w:val="Compact"/>
              <w:jc w:val="left"/>
            </w:pPr>
            <w:r>
              <w:t xml:space="preserve">⚠ specific taxon-prevalence percentages pending full-text confirmation</w:t>
            </w:r>
          </w:p>
        </w:tc>
      </w:tr>
    </w:tbl>
    <w:p>
      <w:r>
        <w:pict>
          <v:rect style="width:0;height:1.5pt" o:hralign="center" o:hrstd="t" o:hr="t"/>
        </w:pict>
      </w:r>
    </w:p>
    <w:bookmarkStart w:id="20" w:name="X347328e118f2fb33730ff03c4c36d86d6653e1b"/>
    <w:p>
      <w:pPr>
        <w:pStyle w:val="Heading2"/>
      </w:pPr>
      <w:r>
        <w:t xml:space="preserve">Summary: what is and is not safe to treat as settled</w:t>
      </w:r>
    </w:p>
    <w:p>
      <w:pPr>
        <w:pStyle w:val="FirstParagraph"/>
      </w:pPr>
      <w:r>
        <w:rPr>
          <w:bCs/>
          <w:b/>
        </w:rPr>
        <w:t xml:space="preserve">Reasonably solid (metadata ✅, claim ✅ or low-distortion-risk ⚠):</w:t>
      </w:r>
      <w:r>
        <w:t xml:space="preserve"> </w:t>
      </w:r>
      <w:r>
        <w:t xml:space="preserve">[11] NASEM 2023, [13] Rainey et al. 2023, [14] WHO 2025a, [17] Zhu et al. 2025, [8] Janssens et al. 2022 (metadata), [16] Zhang et al. 2023 (metadata), [9] Jung et al. 2026 (metadata), [21] Williams et al. 2024 (metadata + qualitative direction of findings), [24] Pecson et al. 2021 (metadata), [18] Ahmed et al. 2022 (metadata, resolved), [22] Zafeiriadou et al. 2024 (metadata, resolved), [26] Langeveld et al. 2022 (metadata), [27] Hsu et al. 2022 (metadata), [28] Maal-Bared et al. 2023 (metadata), [29] Dhiyebi et al. 2023 (metadata + DOI), [30] Chen et al. 2014 (metadata), [31] Been et al. 2014 (DOI confirmed).</w:t>
      </w:r>
    </w:p>
    <w:p>
      <w:pPr>
        <w:pStyle w:val="BodyText"/>
      </w:pPr>
      <w:r>
        <w:rPr>
          <w:bCs/>
          <w:b/>
        </w:rPr>
        <w:t xml:space="preserve">Needs full-text confirmation before any submission use (specific numbers in the text):</w:t>
      </w:r>
      <w:r>
        <w:t xml:space="preserve"> </w:t>
      </w:r>
      <w:r>
        <w:t xml:space="preserve">the 26 °C decay threshold [6], the ~90%-in-2-hours biofilm figure [16], the Jung et al. rate constants [9], the</w:t>
      </w:r>
      <w:r>
        <w:t xml:space="preserve"> </w:t>
      </w:r>
      <w:r>
        <w:t xml:space="preserve">“</w:t>
      </w:r>
      <w:r>
        <w:t xml:space="preserve">11 countries / 1M+ measurements</w:t>
      </w:r>
      <w:r>
        <w:t xml:space="preserve">”</w:t>
      </w:r>
      <w:r>
        <w:t xml:space="preserve"> </w:t>
      </w:r>
      <w:r>
        <w:t xml:space="preserve">EU dashboard figures [4], the 177/76.8% AMR figures [12], the 100,000 p.e. UWWTD threshold [5], China’s</w:t>
      </w:r>
      <w:r>
        <w:t xml:space="preserve"> </w:t>
      </w:r>
      <w:r>
        <w:t xml:space="preserve">“</w:t>
      </w:r>
      <w:r>
        <w:t xml:space="preserve">doubled</w:t>
      </w:r>
      <w:r>
        <w:t xml:space="preserve">”</w:t>
      </w:r>
      <w:r>
        <w:t xml:space="preserve"> </w:t>
      </w:r>
      <w:r>
        <w:t xml:space="preserve">poliovirus figure [7], the RT-qPCR/RT-dPCR CV figures [18], the settled-solids enrichment magnitude [20], the interlab 7-log₁₀/2.3-log₁₀ figures [24], the Alberta</w:t>
      </w:r>
      <w:r>
        <w:t xml:space="preserve"> </w:t>
      </w:r>
      <w:r>
        <w:t xml:space="preserve">“</w:t>
      </w:r>
      <w:r>
        <w:t xml:space="preserve">2 of 12 systems</w:t>
      </w:r>
      <w:r>
        <w:t xml:space="preserve">”</w:t>
      </w:r>
      <w:r>
        <w:t xml:space="preserve"> </w:t>
      </w:r>
      <w:r>
        <w:t xml:space="preserve">and pooled-improvement figures [28], the Southern Ontario median-concentration/CV figures [33] (marker identity itself is now resolved; only the specific numeric figures remain pending), the</w:t>
      </w:r>
      <w:r>
        <w:t xml:space="preserve"> </w:t>
      </w:r>
      <w:r>
        <w:t xml:space="preserve">“</w:t>
      </w:r>
      <w:r>
        <w:t xml:space="preserve">247 articles</w:t>
      </w:r>
      <w:r>
        <w:t xml:space="preserve">”</w:t>
      </w:r>
      <w:r>
        <w:t xml:space="preserve"> </w:t>
      </w:r>
      <w:r>
        <w:t xml:space="preserve">figure [34], plus every figure listed under new Chapter 7 sources [35]–[45] in their respective rows above.</w:t>
      </w:r>
    </w:p>
    <w:p>
      <w:pPr>
        <w:pStyle w:val="BodyText"/>
      </w:pPr>
      <w:r>
        <w:rPr>
          <w:bCs/>
          <w:b/>
        </w:rPr>
        <w:t xml:space="preserve">Author lists still incomplete/unconfirmed:</w:t>
      </w:r>
      <w:r>
        <w:t xml:space="preserve"> </w:t>
      </w:r>
      <w:r>
        <w:t xml:space="preserve">[5] Eurosurveillance 2026, [7] Han et al. 2025, [19] Cha et al. 2023, [20] Kim et al. 2022, [23] Elbait et al. 2024, [32b] Thomas et al. 2017 (lead author only), [41]–[45] (all confirmed via search this round but not yet cross-checked against a second independent source the way [18]/[22]/[32]/[33] were).</w:t>
      </w:r>
    </w:p>
    <w:p>
      <w:pPr>
        <w:pStyle w:val="BodyText"/>
      </w:pPr>
      <w:r>
        <w:rPr>
          <w:bCs/>
          <w:b/>
        </w:rPr>
        <w:t xml:space="preserve">Resolved this round (2026-07-19):</w:t>
      </w:r>
      <w:r>
        <w:t xml:space="preserve"> </w:t>
      </w:r>
      <w:r>
        <w:t xml:space="preserve">[31] Been et al. 2014 (full author list, from prior round); [32] Baz-Lomba et al. 2019 (full 5-author list — the earlier</w:t>
      </w:r>
      <w:r>
        <w:t xml:space="preserve"> </w:t>
      </w:r>
      <w:r>
        <w:t xml:space="preserve">“</w:t>
      </w:r>
      <w:r>
        <w:t xml:space="preserve">authors unconfirmed</w:t>
      </w:r>
      <w:r>
        <w:t xml:space="preserve">”</w:t>
      </w:r>
      <w:r>
        <w:t xml:space="preserve"> </w:t>
      </w:r>
      <w:r>
        <w:t xml:space="preserve">flag is fully resolved); [33] Chettleburgh et al. 2023 (full 10-author list AND the marker-identity discrepancy — both resolved via PubMed’s indexed citation record, which is treated as authoritative over the earlier conflicting search-engine paraphrase).</w:t>
      </w:r>
    </w:p>
    <w:p>
      <w:pPr>
        <w:pStyle w:val="BodyText"/>
      </w:pPr>
      <w:r>
        <w:rPr>
          <w:bCs/>
          <w:b/>
        </w:rPr>
        <w:t xml:space="preserve">Author identity/order — RESOLVED in the Chapter 5 revision (2026-07-12):</w:t>
      </w:r>
      <w:r>
        <w:t xml:space="preserve"> </w:t>
      </w:r>
      <w:r>
        <w:t xml:space="preserve">[18] Ahmed et al. 2022 — confirmed Ahmed as first author via PubMed’s indexed citation record (PMID 35152136); the earlier</w:t>
      </w:r>
      <w:r>
        <w:t xml:space="preserve"> </w:t>
      </w:r>
      <w:r>
        <w:t xml:space="preserve">“</w:t>
      </w:r>
      <w:r>
        <w:t xml:space="preserve">Verbyla as lead author</w:t>
      </w:r>
      <w:r>
        <w:t xml:space="preserve">”</w:t>
      </w:r>
      <w:r>
        <w:t xml:space="preserve"> </w:t>
      </w:r>
      <w:r>
        <w:t xml:space="preserve">attribution was a search-summary error, not a genuine source conflict. [22] Zafeiriadou et al. 2024 — confirmed Zafeiriadou as first author via two independent, mutually agreeing checks (PubMed PMID 39393702; Elsevier/ScienceDirect journal page); the earlier</w:t>
      </w:r>
      <w:r>
        <w:t xml:space="preserve"> </w:t>
      </w:r>
      <w:r>
        <w:t xml:space="preserve">“</w:t>
      </w:r>
      <w:r>
        <w:t xml:space="preserve">Markou as first author</w:t>
      </w:r>
      <w:r>
        <w:t xml:space="preserve">”</w:t>
      </w:r>
      <w:r>
        <w:t xml:space="preserve"> </w:t>
      </w:r>
      <w:r>
        <w:t xml:space="preserve">attribution came from an SSRN preprint listing that used a different author order than the final published version.</w:t>
      </w:r>
    </w:p>
    <w:p>
      <w:pPr>
        <w:pStyle w:val="BodyText"/>
      </w:pPr>
      <w:r>
        <w:rPr>
          <w:bCs/>
          <w:b/>
        </w:rPr>
        <w:t xml:space="preserve">Internally inconsistent, do not cite a specific number from this source without reading it directly:</w:t>
      </w:r>
      <w:r>
        <w:t xml:space="preserve"> </w:t>
      </w:r>
      <w:r>
        <w:t xml:space="preserve">[10] Miura, Kitajima, &amp; Omori 2021.</w:t>
      </w:r>
    </w:p>
    <w:p>
      <w:pPr>
        <w:pStyle w:val="BodyText"/>
      </w:pPr>
      <w:r>
        <w:rPr>
          <w:bCs/>
          <w:b/>
        </w:rPr>
        <w:t xml:space="preserve">Two levels removed from primary data — number removed from main-text prose, retained here only:</w:t>
      </w:r>
      <w:r>
        <w:t xml:space="preserve"> </w:t>
      </w:r>
      <w:r>
        <w:t xml:space="preserve">[25] Chen et al. 2024 arXiv preprint. The</w:t>
      </w:r>
      <w:r>
        <w:t xml:space="preserve"> </w:t>
      </w:r>
      <w:r>
        <w:t xml:space="preserve">“</w:t>
      </w:r>
      <w:r>
        <w:t xml:space="preserve">≈30% vs. &lt;10%</w:t>
      </w:r>
      <w:r>
        <w:t xml:space="preserve">”</w:t>
      </w:r>
      <w:r>
        <w:t xml:space="preserve"> </w:t>
      </w:r>
      <w:r>
        <w:t xml:space="preserve">sampling-uncertainty figures are this survey’s restatement of another, unidentified primary study; §5.2’s main text makes only the qualitative claim and cites this source for that claim only.</w:t>
      </w:r>
    </w:p>
    <w:p>
      <w:pPr>
        <w:pStyle w:val="BodyText"/>
      </w:pPr>
      <w:r>
        <w:rPr>
          <w:bCs/>
          <w:b/>
        </w:rPr>
        <w:t xml:space="preserve">Ambiguous relationship between two same-author-group sources, not resolved:</w:t>
      </w:r>
      <w:r>
        <w:t xml:space="preserve"> </w:t>
      </w:r>
      <w:r>
        <w:t xml:space="preserve">[27] Hsu et al. 2022 (Water Research, published) and a same-author-list medRxiv preprint on Missouri statewide monitoring — main text cites only the published Water Research findings to avoid double-counting a possibly-single dataset as two independent validations (see references file).</w:t>
      </w:r>
    </w:p>
    <w:p>
      <w:pPr>
        <w:pStyle w:val="BodyText"/>
      </w:pPr>
      <w:r>
        <w:rPr>
          <w:bCs/>
          <w:b/>
        </w:rPr>
        <w:t xml:space="preserve">Excluded entirely (not cited in Ch. 1–7):</w:t>
      </w:r>
      <w:r>
        <w:t xml:space="preserve"> </w:t>
      </w:r>
      <w:r>
        <w:t xml:space="preserve">PMC8772136 (2022 systematic review of pre-sampling SARS-CoV-2 factors) — author list unconfirmed; still the single highest-priority gap.</w:t>
      </w:r>
    </w:p>
    <w:p>
      <w:pPr>
        <w:pStyle w:val="BodyText"/>
      </w:pPr>
      <w:r>
        <w:rPr>
          <w:bCs/>
          <w:b/>
        </w:rPr>
        <w:t xml:space="preserve">Resolved from the original outline’s unverified list:</w:t>
      </w:r>
      <w:r>
        <w:t xml:space="preserve"> </w:t>
      </w:r>
      <w:r>
        <w:t xml:space="preserve">the</w:t>
      </w:r>
      <w:r>
        <w:t xml:space="preserve"> </w:t>
      </w:r>
      <w:r>
        <w:t xml:space="preserve">“</w:t>
      </w:r>
      <w:r>
        <w:t xml:space="preserve">247 papers</w:t>
      </w:r>
      <w:r>
        <w:t xml:space="preserve">”</w:t>
      </w:r>
      <w:r>
        <w:t xml:space="preserve"> </w:t>
      </w:r>
      <w:r>
        <w:t xml:space="preserve">RSC-published 2026 claim — confirmed and cited as [34] Ahmed, Philo, Boehm, Halden, Bibby, &amp; Delgado Vela (2026),</w:t>
      </w:r>
      <w:r>
        <w:t xml:space="preserve"> </w:t>
      </w:r>
      <w:r>
        <w:rPr>
          <w:iCs/>
          <w:i/>
        </w:rPr>
        <w:t xml:space="preserve">Environmental Science: Water Research &amp; Technology</w:t>
      </w:r>
      <w:r>
        <w:t xml:space="preserve">; and</w:t>
      </w:r>
      <w:r>
        <w:t xml:space="preserve"> </w:t>
      </w:r>
      <w:r>
        <w:t xml:space="preserve">“</w:t>
      </w:r>
      <w:r>
        <w:t xml:space="preserve">PubMed 41260128</w:t>
      </w:r>
      <w:r>
        <w:t xml:space="preserve">”</w:t>
      </w:r>
      <w:r>
        <w:t xml:space="preserve"> </w:t>
      </w:r>
      <w:r>
        <w:t xml:space="preserve">— confirmed and cited as [40] Wang, Amarasiri, Oishi, &amp; Sano (2025),</w:t>
      </w:r>
      <w:r>
        <w:t xml:space="preserve"> </w:t>
      </w:r>
      <w:r>
        <w:rPr>
          <w:iCs/>
          <w:i/>
        </w:rPr>
        <w:t xml:space="preserve">Water Research</w:t>
      </w:r>
      <w:r>
        <w:t xml:space="preserve">.</w:t>
      </w:r>
    </w:p>
    <w:p>
      <w:pPr>
        <w:pStyle w:val="BodyText"/>
      </w:pPr>
      <w:r>
        <w:rPr>
          <w:bCs/>
          <w:b/>
        </w:rPr>
        <w:t xml:space="preserve">Still not checked at all (from the user’s original outline, reserved for later chapters):</w:t>
      </w:r>
      <w:r>
        <w:t xml:space="preserve"> </w:t>
      </w:r>
      <w:r>
        <w:t xml:space="preserve">arXiv 2506.14331 (relevant to §5.1, cross-check recommended).</w:t>
      </w:r>
      <w:r>
        <w:t xml:space="preserve"> </w:t>
      </w:r>
      <w:r>
        <w:rPr>
          <w:bCs/>
          <w:b/>
        </w:rPr>
        <w:t xml:space="preserve">PMC12005304, previously listed here as relevant to §9, is now RESOLVED (2026-07-14) — identified and cited as [51] Moallef et al. (2025) in §9.6.</w:t>
      </w:r>
    </w:p>
    <w:p>
      <w:pPr>
        <w:pStyle w:val="BodyText"/>
      </w:pPr>
      <w:r>
        <w:rPr>
          <w:bCs/>
          <w:b/>
        </w:rPr>
        <w:t xml:space="preserve">Non-WBE-specific sources, cited for general methodology only (Chapter 7):</w:t>
      </w:r>
      <w:r>
        <w:t xml:space="preserve"> </w:t>
      </w:r>
      <w:r>
        <w:t xml:space="preserve">[37] Deva et al. 2021 and [39] Liyanage et al. 2025 are both general epidemic-modeling-identifiability papers, not wastewater studies — flagged explicitly in-text and here so their findings are not mistaken for WBE-specific evidence.</w:t>
      </w:r>
    </w:p>
    <w:p>
      <w:pPr>
        <w:pStyle w:val="BodyText"/>
      </w:pPr>
      <w:r>
        <w:rPr>
          <w:bCs/>
          <w:b/>
        </w:rPr>
        <w:t xml:space="preserve">Reference-count correction (2026-07-19):</w:t>
      </w:r>
      <w:r>
        <w:t xml:space="preserve"> </w:t>
      </w:r>
      <w:r>
        <w:t xml:space="preserve">an earlier delivery described this round as adding</w:t>
      </w:r>
      <w:r>
        <w:t xml:space="preserve"> </w:t>
      </w:r>
      <w:r>
        <w:t xml:space="preserve">“</w:t>
      </w:r>
      <w:r>
        <w:t xml:space="preserve">5 new references</w:t>
      </w:r>
      <w:r>
        <w:t xml:space="preserve">”</w:t>
      </w:r>
      <w:r>
        <w:t xml:space="preserve"> </w:t>
      </w:r>
      <w:r>
        <w:t xml:space="preserve">for Chapter 7; the actual count was</w:t>
      </w:r>
      <w:r>
        <w:t xml:space="preserve"> </w:t>
      </w:r>
      <w:r>
        <w:rPr>
          <w:bCs/>
          <w:b/>
        </w:rPr>
        <w:t xml:space="preserve">6</w:t>
      </w:r>
      <w:r>
        <w:t xml:space="preserve"> </w:t>
      </w:r>
      <w:r>
        <w:t xml:space="preserve">([35]–[40]). This round adds</w:t>
      </w:r>
      <w:r>
        <w:t xml:space="preserve"> </w:t>
      </w:r>
      <w:r>
        <w:rPr>
          <w:bCs/>
          <w:b/>
        </w:rPr>
        <w:t xml:space="preserve">5 further</w:t>
      </w:r>
      <w:r>
        <w:t xml:space="preserve"> </w:t>
      </w:r>
      <w:r>
        <w:t xml:space="preserve">references ([41]–[45]) to expand the method-family evidence base per instruction, for a running total of 11 Chapter-7-specific references ([35]–[45]) plus the two Chapter 6 corrections ([32b] added, [32]/[33] resolved). See the Chapter 8 companion audit note for the full corrected count.</w:t>
      </w:r>
    </w:p>
    <w:p>
      <w:pPr>
        <w:pStyle w:val="BodyText"/>
      </w:pPr>
      <w:r>
        <w:rPr>
          <w:bCs/>
          <w:b/>
        </w:rPr>
        <w:t xml:space="preserve">Chapter 8 additions (2026-07-13):</w:t>
      </w:r>
      <w:r>
        <w:t xml:space="preserve"> </w:t>
      </w:r>
      <w:r>
        <w:t xml:space="preserve">[46] Jones et al. 2014 and [48] Safford et al. 2022 are classified as primary WBE methodological/modelling studies; [47] Yang et al. 2024 is a systematic review/secondary evidence source. [48]</w:t>
      </w:r>
      <w:r>
        <w:t xml:space="preserve">‘</w:t>
      </w:r>
      <w:r>
        <w:t xml:space="preserve">s metadata (author list + DOI) is confirmed to the same standard as the review’s best-supported sources; [46] and [47]’s author lists were retained from an earlier retrieval this session and have</w:t>
      </w:r>
      <w:r>
        <w:t xml:space="preserve"> </w:t>
      </w:r>
      <w:r>
        <w:rPr>
          <w:bCs/>
          <w:b/>
        </w:rPr>
        <w:t xml:space="preserve">not</w:t>
      </w:r>
      <w:r>
        <w:t xml:space="preserve"> </w:t>
      </w:r>
      <w:r>
        <w:t xml:space="preserve">been re-confirmed via a second independent search — both are flagged accordingly and should be treated as lower-confidence metadata than [48] until re-checked. None of the three sources</w:t>
      </w:r>
      <w:r>
        <w:t xml:space="preserve">’</w:t>
      </w:r>
      <w:r>
        <w:t xml:space="preserve"> </w:t>
      </w:r>
      <w:r>
        <w:t xml:space="preserve">specific quantitative findings have been confirmed against full text; see the Chapter 8 section of</w:t>
      </w:r>
      <w:r>
        <w:t xml:space="preserve"> </w:t>
      </w:r>
      <w:r>
        <w:rPr>
          <w:rStyle w:val="VerbatimChar"/>
        </w:rPr>
        <w:t xml:space="preserve">WBE_Review_Pending_Verification_List.md</w:t>
      </w:r>
      <w:r>
        <w:t xml:space="preserve">.</w:t>
      </w:r>
    </w:p>
    <w:p>
      <w:pPr>
        <w:pStyle w:val="BodyText"/>
      </w:pPr>
      <w:r>
        <w:rPr>
          <w:bCs/>
          <w:b/>
        </w:rPr>
        <w:t xml:space="preserve">Chapter 9 additions (2026-07-14; re-audited 2026-07-18).</w:t>
      </w:r>
      <w:r>
        <w:t xml:space="preserve"> </w:t>
      </w:r>
      <w:r>
        <w:t xml:space="preserve">Precision note, per this round’s instruction:</w:t>
      </w:r>
      <w:r>
        <w:t xml:space="preserve"> </w:t>
      </w:r>
      <w:r>
        <w:t xml:space="preserve">“</w:t>
      </w:r>
      <w:r>
        <w:t xml:space="preserve">metadata verified</w:t>
      </w:r>
      <w:r>
        <w:t xml:space="preserve">”</w:t>
      </w:r>
      <w:r>
        <w:t xml:space="preserve"> </w:t>
      </w:r>
      <w:r>
        <w:t xml:space="preserve">(author/year/venue/DOI confirmed),</w:t>
      </w:r>
      <w:r>
        <w:t xml:space="preserve"> </w:t>
      </w:r>
      <w:r>
        <w:t xml:space="preserve">“</w:t>
      </w:r>
      <w:r>
        <w:t xml:space="preserve">abstract checked</w:t>
      </w:r>
      <w:r>
        <w:t xml:space="preserve">”</w:t>
      </w:r>
      <w:r>
        <w:t xml:space="preserve"> </w:t>
      </w:r>
      <w:r>
        <w:t xml:space="preserve">(a snippet was reviewed),</w:t>
      </w:r>
      <w:r>
        <w:t xml:space="preserve"> </w:t>
      </w:r>
      <w:r>
        <w:t xml:space="preserve">“</w:t>
      </w:r>
      <w:r>
        <w:t xml:space="preserve">full-text verified</w:t>
      </w:r>
      <w:r>
        <w:t xml:space="preserve">”</w:t>
      </w:r>
      <w:r>
        <w:t xml:space="preserve"> </w:t>
      </w:r>
      <w:r>
        <w:t xml:space="preserve">(the primary source was read), and</w:t>
      </w:r>
      <w:r>
        <w:t xml:space="preserve"> </w:t>
      </w:r>
      <w:r>
        <w:t xml:space="preserve">“</w:t>
      </w:r>
      <w:r>
        <w:t xml:space="preserve">claim verified</w:t>
      </w:r>
      <w:r>
        <w:t xml:space="preserve">”</w:t>
      </w:r>
      <w:r>
        <w:t xml:space="preserve"> </w:t>
      </w:r>
      <w:r>
        <w:t xml:space="preserve">(the specific quantitative claim was independently confirmed) are four distinct, non-interchangeable statuses, and no source below is described as</w:t>
      </w:r>
      <w:r>
        <w:t xml:space="preserve"> </w:t>
      </w:r>
      <w:r>
        <w:t xml:space="preserve">“</w:t>
      </w:r>
      <w:r>
        <w:t xml:space="preserve">well-supported</w:t>
      </w:r>
      <w:r>
        <w:t xml:space="preserve">”</w:t>
      </w:r>
      <w:r>
        <w:t xml:space="preserve"> </w:t>
      </w:r>
      <w:r>
        <w:t xml:space="preserve">or</w:t>
      </w:r>
      <w:r>
        <w:t xml:space="preserve"> </w:t>
      </w:r>
      <w:r>
        <w:t xml:space="preserve">“</w:t>
      </w:r>
      <w:r>
        <w:t xml:space="preserve">best-supported</w:t>
      </w:r>
      <w:r>
        <w:t xml:space="preserve">”</w:t>
      </w:r>
      <w:r>
        <w:t xml:space="preserve"> </w:t>
      </w:r>
      <w:r>
        <w:t xml:space="preserve">as an unqualified claim-level judgment — every characterization here is scoped to one of the four. [51] Moallef et al. 2025, [52] Yu et al. 2024, [55] Assoum et al. 2023, and [58] Zhang et al. 2025 are</w:t>
      </w:r>
      <w:r>
        <w:t xml:space="preserve"> </w:t>
      </w:r>
      <w:r>
        <w:rPr>
          <w:bCs/>
          <w:b/>
        </w:rPr>
        <w:t xml:space="preserve">metadata-verified</w:t>
      </w:r>
      <w:r>
        <w:t xml:space="preserve"> </w:t>
      </w:r>
      <w:r>
        <w:t xml:space="preserve">(full author lists cross-confirmed); none of the four is claim-verified, and none should be read as such. [53] Thompson et al. 2024 and [54] Kwiatkowska et al. 2022 carry incomplete-author-list or unconfirmed-venue flags respectively, consistent with this table’s existing ⚠ tier — both remain</w:t>
      </w:r>
      <w:r>
        <w:t xml:space="preserve"> </w:t>
      </w:r>
      <w:r>
        <w:rPr>
          <w:bCs/>
          <w:b/>
        </w:rPr>
        <w:t xml:space="preserve">abstract-checked only</w:t>
      </w:r>
      <w:r>
        <w:t xml:space="preserve">, not metadata-verified.</w:t>
      </w:r>
      <w:r>
        <w:t xml:space="preserve"> </w:t>
      </w:r>
      <w:r>
        <w:rPr>
          <w:bCs/>
          <w:b/>
        </w:rPr>
        <w:t xml:space="preserve">[56] Demir et al. 2026 is WITHDRAWN as of the 2026-07-18 audit round</w:t>
      </w:r>
      <w:r>
        <w:t xml:space="preserve"> </w:t>
      </w:r>
      <w:r>
        <w:t xml:space="preserve">— re-searched and still corroborated by only a single, non-independently-repeated search result even for a possible co-author’s name, below this table’s minimum citation bar; it is no longer cited in the main text or Table 7, and is tracked in</w:t>
      </w:r>
      <w:r>
        <w:t xml:space="preserve"> </w:t>
      </w:r>
      <w:r>
        <w:rPr>
          <w:rStyle w:val="VerbatimChar"/>
        </w:rPr>
        <w:t xml:space="preserve">WBE_Review_Pending_Verification_List.md</w:t>
      </w:r>
      <w:r>
        <w:t xml:space="preserve"> </w:t>
      </w:r>
      <w:r>
        <w:t xml:space="preserve">as</w:t>
      </w:r>
      <w:r>
        <w:t xml:space="preserve"> </w:t>
      </w:r>
      <w:r>
        <w:t xml:space="preserve">“</w:t>
      </w:r>
      <w:r>
        <w:t xml:space="preserve">do not cite until metadata resolved.</w:t>
      </w:r>
      <w:r>
        <w:t xml:space="preserve">”</w:t>
      </w:r>
      <w:r>
        <w:t xml:space="preserve"> </w:t>
      </w:r>
      <w:r>
        <w:rPr>
          <w:bCs/>
          <w:b/>
        </w:rPr>
        <w:t xml:space="preserve">[57] Link, Garrido, et al. 2026 was re-searched the same round and upgraded</w:t>
      </w:r>
      <w:r>
        <w:t xml:space="preserve">: both named authors are now independently corroborated across two separate search results, meeting this table’s ordinary</w:t>
      </w:r>
      <w:r>
        <w:t xml:space="preserve"> </w:t>
      </w:r>
      <w:r>
        <w:t xml:space="preserve">“</w:t>
      </w:r>
      <w:r>
        <w:t xml:space="preserve">confirmed lead author(s), full list incomplete</w:t>
      </w:r>
      <w:r>
        <w:t xml:space="preserve">”</w:t>
      </w:r>
      <w:r>
        <w:t xml:space="preserve"> </w:t>
      </w:r>
      <w:r>
        <w:t xml:space="preserve">bar (metadata-verified at the partial-list tier, the same tier as [7] Han et al. or [19] Cha et al.) — still only abstract-checked at the claim level, and its reported detection-performance figures (sensitivity 0.82/PPV 0.64) carry the additional, independent caution that a figure calibrated on one dataset is not established to transfer to a different deployment context. [59] ECDC 2025 is an institutional/organizational-author source (metadata-verified via its own official publication record), treated the same as WHO [14]/[15] and NASEM [11]. See the Chapter 9 section of</w:t>
      </w:r>
      <w:r>
        <w:t xml:space="preserve"> </w:t>
      </w:r>
      <w:r>
        <w:rPr>
          <w:rStyle w:val="VerbatimChar"/>
        </w:rPr>
        <w:t xml:space="preserve">WBE_Review_Pending_Verification_List.md</w:t>
      </w:r>
      <w:r>
        <w:t xml:space="preserve"> </w:t>
      </w:r>
      <w:r>
        <w:t xml:space="preserve">for the full pending-numbers list, and</w:t>
      </w:r>
      <w:r>
        <w:t xml:space="preserve"> </w:t>
      </w:r>
      <w:r>
        <w:rPr>
          <w:rStyle w:val="VerbatimChar"/>
        </w:rPr>
        <w:t xml:space="preserve">WBE_Review_Ch9_Claim_Audit.md</w:t>
      </w:r>
      <w:r>
        <w:t xml:space="preserve"> </w:t>
      </w:r>
      <w:r>
        <w:t xml:space="preserve">for paragraph-level claim-support-status detail beyond this table’s per-source scope.</w:t>
      </w:r>
    </w:p>
    <w:p>
      <w:pPr>
        <w:pStyle w:val="BodyText"/>
      </w:pPr>
      <w:r>
        <w:rPr>
          <w:bCs/>
          <w:b/>
        </w:rPr>
        <w:t xml:space="preserve">Chapter 10 additions (2026-07-18).</w:t>
      </w:r>
      <w:r>
        <w:t xml:space="preserve"> </w:t>
      </w:r>
      <w:r>
        <w:t xml:space="preserve">[60] Schang et al. 2021, [61] Bam et al. 2025, [62] Sharma et al. 2024, [63] Pagsuyoin et al. 2025, [66] Therrien et al. 2026, and [67] Malcom &amp; Bowes 2025 are all</w:t>
      </w:r>
      <w:r>
        <w:t xml:space="preserve"> </w:t>
      </w:r>
      <w:r>
        <w:rPr>
          <w:bCs/>
          <w:b/>
        </w:rPr>
        <w:t xml:space="preserve">metadata-verified</w:t>
      </w:r>
      <w:r>
        <w:t xml:space="preserve"> </w:t>
      </w:r>
      <w:r>
        <w:t xml:space="preserve">(full author lists confirmed); none is claim-verified. [64] Keenum et al. 2024 carries an unresolved internal author-list inconsistency (a duplicated</w:t>
      </w:r>
      <w:r>
        <w:t xml:space="preserve"> </w:t>
      </w:r>
      <w:r>
        <w:t xml:space="preserve">“</w:t>
      </w:r>
      <w:r>
        <w:t xml:space="preserve">Gushgari</w:t>
      </w:r>
      <w:r>
        <w:t xml:space="preserve">”</w:t>
      </w:r>
      <w:r>
        <w:t xml:space="preserve"> </w:t>
      </w:r>
      <w:r>
        <w:t xml:space="preserve">surname with different initials) and remains</w:t>
      </w:r>
      <w:r>
        <w:t xml:space="preserve"> </w:t>
      </w:r>
      <w:r>
        <w:rPr>
          <w:bCs/>
          <w:b/>
        </w:rPr>
        <w:t xml:space="preserve">abstract-checked only</w:t>
      </w:r>
      <w:r>
        <w:t xml:space="preserve">, not metadata-verified, pending a second independent check. [65] Wang et al. 2025 is metadata-verified but explicitly scoped as a non-WBE (water-quality) general-methodology source, the same citation practice as [37]/[39].</w:t>
      </w:r>
      <w:r>
        <w:t xml:space="preserve"> </w:t>
      </w:r>
      <w:r>
        <w:rPr>
          <w:bCs/>
          <w:b/>
        </w:rPr>
        <w:t xml:space="preserve">[60] is this table’s one documented citogenesis catch</w:t>
      </w:r>
      <w:r>
        <w:t xml:space="preserve">: an initial search summary conflated the historically-named</w:t>
      </w:r>
      <w:r>
        <w:t xml:space="preserve"> </w:t>
      </w:r>
      <w:r>
        <w:t xml:space="preserve">“</w:t>
      </w:r>
      <w:r>
        <w:t xml:space="preserve">Moore swab</w:t>
      </w:r>
      <w:r>
        <w:t xml:space="preserve">”</w:t>
      </w:r>
      <w:r>
        <w:t xml:space="preserve"> </w:t>
      </w:r>
      <w:r>
        <w:t xml:space="preserve">passive-sampling method with this paper’s actual authorship, attributing it to</w:t>
      </w:r>
      <w:r>
        <w:t xml:space="preserve"> </w:t>
      </w:r>
      <w:r>
        <w:t xml:space="preserve">“</w:t>
      </w:r>
      <w:r>
        <w:t xml:space="preserve">Moore et al.</w:t>
      </w:r>
      <w:r>
        <w:t xml:space="preserve">”</w:t>
      </w:r>
      <w:r>
        <w:t xml:space="preserve"> </w:t>
      </w:r>
      <w:r>
        <w:t xml:space="preserve">— corrected to the independently-confirmed Schang et al. before the citation entered the main text, and recorded here as an instance of exactly the search-engine-summary failure mode §2.3 has warned about since Chapter 1, not merely a hypothetical risk. See</w:t>
      </w:r>
      <w:r>
        <w:t xml:space="preserve"> </w:t>
      </w:r>
      <w:r>
        <w:rPr>
          <w:rStyle w:val="VerbatimChar"/>
        </w:rPr>
        <w:t xml:space="preserve">WBE_Review_Ch10_Evidence_Note.md</w:t>
      </w:r>
      <w:r>
        <w:t xml:space="preserve"> </w:t>
      </w:r>
      <w:r>
        <w:t xml:space="preserve">for this chapter’s evidence-base summary.</w:t>
      </w:r>
    </w:p>
    <w:bookmarkEnd w:id="20"/>
    <w:bookmarkEnd w:id="21"/>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2026-07-18T08:56:49Z</dcterms:created>
  <dcterms:modified xsi:type="dcterms:W3CDTF">2026-07-18T08:56:49Z</dcterms:modified>
</cp:coreProperties>
</file>

<file path=docProps/custom.xml><?xml version="1.0" encoding="utf-8"?>
<Properties xmlns="http://schemas.openxmlformats.org/officeDocument/2006/custom-properties" xmlns:vt="http://schemas.openxmlformats.org/officeDocument/2006/docPropsVTypes"/>
</file>