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06563bbbb151f562c8ebb8e3c013726717bc3d0"/>
    <w:p>
      <w:pPr>
        <w:pStyle w:val="Heading1"/>
      </w:pPr>
      <w:r>
        <w:t xml:space="preserve">Figure Design Brief — 4 Planned Figures (Structural Design + Draft Captions, No Images Produced)</w:t>
      </w:r>
    </w:p>
    <w:p>
      <w:pPr>
        <w:pStyle w:val="FirstParagraph"/>
      </w:pPr>
      <w:r>
        <w:rPr>
          <w:bCs/>
          <w:b/>
        </w:rPr>
        <w:t xml:space="preserve">Round:</w:t>
      </w:r>
      <w:r>
        <w:t xml:space="preserve"> </w:t>
      </w:r>
      <w:r>
        <w:t xml:space="preserve">Water Research compression, post-Phase 3C non-evidence work (2026-07-19), building on the Phase 3C design brief.</w:t>
      </w:r>
      <w:r>
        <w:t xml:space="preserve"> </w:t>
      </w:r>
      <w:r>
        <w:rPr>
          <w:bCs/>
          <w:b/>
        </w:rPr>
        <w:t xml:space="preserve">This document still produces no image file.</w:t>
      </w:r>
      <w:r>
        <w:t xml:space="preserve"> </w:t>
      </w:r>
      <w:r>
        <w:t xml:space="preserve">No figure has been inserted into</w:t>
      </w:r>
      <w:r>
        <w:t xml:space="preserve"> </w:t>
      </w:r>
      <w:r>
        <w:rPr>
          <w:rStyle w:val="VerbatimChar"/>
        </w:rPr>
        <w:t xml:space="preserve">WBE_Review_WR_Condensed_Draft.md</w:t>
      </w:r>
      <w:r>
        <w:t xml:space="preserve">; the manuscript contains zero embedded figures. This update adds two things beyond the Phase 3C version: (1) a panel-by-panel structural layout sketch for each figure, in text form, precise enough for an illustrator to work from; (2) a draft caption for each figure. Both are</w:t>
      </w:r>
      <w:r>
        <w:t xml:space="preserve"> </w:t>
      </w:r>
      <w:r>
        <w:rPr>
          <w:bCs/>
          <w:b/>
        </w:rPr>
        <w:t xml:space="preserve">drafts for a Water-Research-Critical-Review-positioned manuscript</w:t>
      </w:r>
      <w:r>
        <w:t xml:space="preserve"> </w:t>
      </w:r>
      <w:r>
        <w:t xml:space="preserve">(per the standing positioning decision — Route A retained), not final captions, and every element touching mechanism direction, performance comparison, a quantitative figure, or a cross-scenario conclusion is explicitly flagged</w:t>
      </w:r>
      <w:r>
        <w:t xml:space="preserve"> </w:t>
      </w:r>
      <w:r>
        <w:rPr>
          <w:bCs/>
          <w:b/>
        </w:rPr>
        <w:t xml:space="preserve">pending evidence verification</w:t>
      </w:r>
      <w:r>
        <w:t xml:space="preserve"> </w:t>
      </w:r>
      <w:r>
        <w:t xml:space="preserve">below, consistent with this round’s instruction that no such element may be presented as settled before Phase 3B/3D full-text verification actually resumes.</w:t>
      </w:r>
    </w:p>
    <w:p>
      <w:pPr>
        <w:pStyle w:val="BodyText"/>
      </w:pPr>
      <w:r>
        <w:t xml:space="preserve">Each figure’s brief distinguishes: what is this review’s own original conceptual framework (safe to illustrate now, needs no external evidence) versus what would require full-text-verified data to render responsibly.</w:t>
      </w:r>
    </w:p>
    <w:bookmarkStart w:id="20" w:name="X354a69563bf68d0eeac0cae174fb4f44e1ed51e"/>
    <w:p>
      <w:pPr>
        <w:pStyle w:val="Heading2"/>
      </w:pPr>
      <w:r>
        <w:t xml:space="preserve">Figure 1. Source-to-inference signal chain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Communication objective:</w:t>
      </w:r>
      <w:r>
        <w:t xml:space="preserve"> </w:t>
      </w:r>
      <w:r>
        <w:t xml:space="preserve">orient the reader to the manuscript’s central inverse-problem framing in one image — a source state passing through excretion, sewer transport, sampling, and analysis to become a measured concentration, with the</w:t>
      </w:r>
      <w:r>
        <w:t xml:space="preserve"> </w:t>
      </w:r>
      <w:r>
        <w:t xml:space="preserve">“</w:t>
      </w:r>
      <w:r>
        <w:t xml:space="preserve">recoverability</w:t>
      </w:r>
      <w:r>
        <w:t xml:space="preserve">”</w:t>
      </w:r>
      <w:r>
        <w:t xml:space="preserve"> </w:t>
      </w:r>
      <w:r>
        <w:t xml:space="preserve">question sitting at the center.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Visual hierarchy:</w:t>
      </w:r>
      <w:r>
        <w:t xml:space="preserve"> </w:t>
      </w:r>
      <w:r>
        <w:t xml:space="preserve">a single horizontal pipeline (source state → sewer-entry load → in-transit signal → sampled/measured signal → reconstructed estimate → decision), with the three distortion categories (amplitude, temporal, spatial) shown as recurring labels attached to each pipeline stage where they act, not as a separate legend disconnected from the pipeline.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Structural layout sketch (text form):</w:t>
      </w:r>
    </w:p>
    <w:p>
      <w:pPr>
        <w:numPr>
          <w:ilvl w:val="1"/>
          <w:numId w:val="1002"/>
        </w:numPr>
        <w:pStyle w:val="Compact"/>
      </w:pPr>
      <w:r>
        <w:t xml:space="preserve">Panel A (full width, top): six labeled boxes in a horizontal row —</w:t>
      </w:r>
      <w:r>
        <w:t xml:space="preserve"> </w:t>
      </w:r>
      <w:r>
        <w:rPr>
          <w:iCs/>
          <w:i/>
        </w:rPr>
        <w:t xml:space="preserve">Source state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Sewer-entry load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In-transit signal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Sampled signal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Measured/analyzed signal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Reconstructed estimate</w:t>
      </w:r>
      <w:r>
        <w:t xml:space="preserve"> </w:t>
      </w:r>
      <w:r>
        <w:t xml:space="preserve">— connected by rightward arrows.</w:t>
      </w:r>
    </w:p>
    <w:p>
      <w:pPr>
        <w:numPr>
          <w:ilvl w:val="1"/>
          <w:numId w:val="1002"/>
        </w:numPr>
        <w:pStyle w:val="Compact"/>
      </w:pPr>
      <w:r>
        <w:t xml:space="preserve">Below each arrow, a small color-coded tag naming which distortion category (amplitude / temporal / spatial, three fixed colors used consistently across all four figures) acts at that transition, per §1.1-§5’s actual stage attributions.</w:t>
      </w:r>
    </w:p>
    <w:p>
      <w:pPr>
        <w:numPr>
          <w:ilvl w:val="1"/>
          <w:numId w:val="1002"/>
        </w:numPr>
        <w:pStyle w:val="Compact"/>
      </w:pPr>
      <w:r>
        <w:t xml:space="preserve">A dashed bracket beneath the</w:t>
      </w:r>
      <w:r>
        <w:t xml:space="preserve"> </w:t>
      </w:r>
      <w:r>
        <w:rPr>
          <w:iCs/>
          <w:i/>
        </w:rPr>
        <w:t xml:space="preserve">Sampled signal → Reconstructed estimate</w:t>
      </w:r>
      <w:r>
        <w:t xml:space="preserve"> </w:t>
      </w:r>
      <w:r>
        <w:t xml:space="preserve">arrow, labeled</w:t>
      </w:r>
      <w:r>
        <w:t xml:space="preserve"> </w:t>
      </w:r>
      <w:r>
        <w:t xml:space="preserve">“</w:t>
      </w:r>
      <w:r>
        <w:t xml:space="preserve">identifiability check</w:t>
      </w:r>
      <w:r>
        <w:t xml:space="preserve">”</w:t>
      </w:r>
      <w:r>
        <w:t xml:space="preserve"> </w:t>
      </w:r>
      <w:r>
        <w:t xml:space="preserve">(§5.2), pointing to a small branch: one path labeled</w:t>
      </w:r>
      <w:r>
        <w:t xml:space="preserve"> </w:t>
      </w:r>
      <w:r>
        <w:t xml:space="preserve">“</w:t>
      </w:r>
      <w:r>
        <w:t xml:space="preserve">identifiable → proceed,</w:t>
      </w:r>
      <w:r>
        <w:t xml:space="preserve">”</w:t>
      </w:r>
      <w:r>
        <w:t xml:space="preserve"> </w:t>
      </w:r>
      <w:r>
        <w:t xml:space="preserve">one labeled</w:t>
      </w:r>
      <w:r>
        <w:t xml:space="preserve"> </w:t>
      </w:r>
      <w:r>
        <w:t xml:space="preserve">“</w:t>
      </w:r>
      <w:r>
        <w:t xml:space="preserve">non-identifiable → flag, do not report a point estimate</w:t>
      </w:r>
      <w:r>
        <w:t xml:space="preserve">”</w:t>
      </w:r>
      <w:r>
        <w:t xml:space="preserve"> </w:t>
      </w:r>
      <w:r>
        <w:t xml:space="preserve">(§5.2’s core judgment).</w:t>
      </w:r>
    </w:p>
    <w:p>
      <w:pPr>
        <w:numPr>
          <w:ilvl w:val="1"/>
          <w:numId w:val="1002"/>
        </w:numPr>
        <w:pStyle w:val="Compact"/>
      </w:pPr>
      <w:r>
        <w:t xml:space="preserve">Panel B (small inset, bottom right): the three distortion-category definitions (amplitude/temporal/spatial, §1.1) as a compact three-line legend, not a separate figure.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Draft caption (draft, not final):</w:t>
      </w:r>
      <w:r>
        <w:t xml:space="preserve"> </w:t>
      </w:r>
      <w:r>
        <w:t xml:space="preserve">“</w:t>
      </w:r>
      <w:r>
        <w:t xml:space="preserve">Figure 1. The wastewater signal chain as an inverse problem. A source-end population state (infection, consumption, or exposure status) is transformed through excretion, sewer transport, sampling, and analysis before being measured; each transition can introduce amplitude, temporal, or spatial distortion (§1.1). Recovering the source state from the measured signal is possible only where the resulting inverse problem remains identifiable (§5.2); where it is not, this review argues a point estimate should not be reported. Distortion-category attributions per transition follow this review’s own taxonomy (§1.1-§5), not a single external source.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Elements flagged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pending evidence verification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none currently — every element is this review’s own structural/propositional framework (the pipeline stages, the three-category taxonomy, and the identifiability branch-point are all explicitly self-attributed in the caption draft above).</w:t>
      </w:r>
      <w:r>
        <w:t xml:space="preserve"> </w:t>
      </w:r>
      <w:r>
        <w:rPr>
          <w:bCs/>
          <w:b/>
        </w:rPr>
        <w:t xml:space="preserve">If a future version annotates any pipeline stage with a specific study’s quantitative distortion magnitude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typically X% signal loss at this stage</w:t>
      </w:r>
      <w:r>
        <w:t xml:space="preserve">”</w:t>
      </w:r>
      <w:r>
        <w:t xml:space="preserve">), that annotation must be added only after the underlying study passes full-text verification, and must itself be tagged pending evidence verification until then.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sections:</w:t>
      </w:r>
      <w:r>
        <w:t xml:space="preserve"> </w:t>
      </w:r>
      <w:r>
        <w:t xml:space="preserve">§1.1, §2, §3, §4,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Potential copyright issues:</w:t>
      </w:r>
      <w:r>
        <w:t xml:space="preserve"> </w:t>
      </w:r>
      <w:r>
        <w:t xml:space="preserve">none anticipated — original schematic.</w:t>
      </w:r>
    </w:p>
    <w:bookmarkEnd w:id="20"/>
    <w:bookmarkStart w:id="21" w:name="Xbe5c3f244385aa2be647dd35c0e95532d2e32ae"/>
    <w:p>
      <w:pPr>
        <w:pStyle w:val="Heading2"/>
      </w:pPr>
      <w:r>
        <w:t xml:space="preserve">Figure 2. Amplitude-temporal-spatial distortion framework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Communication objective:</w:t>
      </w:r>
      <w:r>
        <w:t xml:space="preserve"> </w:t>
      </w:r>
      <w:r>
        <w:t xml:space="preserve">make the three-term distortion taxonomy (§1.1) visually explicit as a classification device.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Visual hierarchy:</w:t>
      </w:r>
      <w:r>
        <w:t xml:space="preserve"> </w:t>
      </w:r>
      <w:r>
        <w:t xml:space="preserve">three parallel columns (amplitude / temporal / spatial), each populated with named mechanisms already in the manuscript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Structural layout sketch (text form):</w:t>
      </w:r>
    </w:p>
    <w:p>
      <w:pPr>
        <w:numPr>
          <w:ilvl w:val="1"/>
          <w:numId w:val="1004"/>
        </w:numPr>
        <w:pStyle w:val="Compact"/>
      </w:pPr>
      <w:r>
        <w:t xml:space="preserve">Three vertical columns, headed</w:t>
      </w:r>
      <w:r>
        <w:t xml:space="preserve"> </w:t>
      </w:r>
      <w:r>
        <w:t xml:space="preserve">“</w:t>
      </w:r>
      <w:r>
        <w:t xml:space="preserve">Amplitude,</w:t>
      </w:r>
      <w:r>
        <w:t xml:space="preserve">”</w:t>
      </w:r>
      <w:r>
        <w:t xml:space="preserve"> </w:t>
      </w:r>
      <w:r>
        <w:t xml:space="preserve">“</w:t>
      </w:r>
      <w:r>
        <w:t xml:space="preserve">Temporal,</w:t>
      </w:r>
      <w:r>
        <w:t xml:space="preserve">”</w:t>
      </w:r>
      <w:r>
        <w:t xml:space="preserve"> </w:t>
      </w:r>
      <w:r>
        <w:t xml:space="preserve">“</w:t>
      </w:r>
      <w:r>
        <w:t xml:space="preserve">Spatial</w:t>
      </w:r>
      <w:r>
        <w:t xml:space="preserve">”</w:t>
      </w:r>
      <w:r>
        <w:t xml:space="preserve"> </w:t>
      </w:r>
      <w:r>
        <w:t xml:space="preserve">(same three fixed colors as Figure 1).</w:t>
      </w:r>
    </w:p>
    <w:p>
      <w:pPr>
        <w:numPr>
          <w:ilvl w:val="1"/>
          <w:numId w:val="1004"/>
        </w:numPr>
        <w:pStyle w:val="Compact"/>
      </w:pPr>
      <w:r>
        <w:t xml:space="preserve">Each column lists 3-4 mechanism examples as stacked labeled boxes, with a small section-number tag next to each (e.g.,</w:t>
      </w:r>
      <w:r>
        <w:t xml:space="preserve"> </w:t>
      </w:r>
      <w:r>
        <w:t xml:space="preserve">“</w:t>
      </w:r>
      <w:r>
        <w:t xml:space="preserve">dilution [§3.4],</w:t>
      </w:r>
      <w:r>
        <w:t xml:space="preserve">”</w:t>
      </w:r>
      <w:r>
        <w:t xml:space="preserve"> </w:t>
      </w:r>
      <w:r>
        <w:t xml:space="preserve">“</w:t>
      </w:r>
      <w:r>
        <w:t xml:space="preserve">sewer-biofilm decay [§3.2],</w:t>
      </w:r>
      <w:r>
        <w:t xml:space="preserve">”</w:t>
      </w:r>
      <w:r>
        <w:t xml:space="preserve"> </w:t>
      </w:r>
      <w:r>
        <w:t xml:space="preserve">“</w:t>
      </w:r>
      <w:r>
        <w:t xml:space="preserve">recovery loss [§4.1]</w:t>
      </w:r>
      <w:r>
        <w:t xml:space="preserve">”</w:t>
      </w:r>
      <w:r>
        <w:t xml:space="preserve"> </w:t>
      </w:r>
      <w:r>
        <w:t xml:space="preserve">under Amplitude;</w:t>
      </w:r>
      <w:r>
        <w:t xml:space="preserve"> </w:t>
      </w:r>
      <w:r>
        <w:t xml:space="preserve">“</w:t>
      </w:r>
      <w:r>
        <w:t xml:space="preserve">shedding kinetics [§2],</w:t>
      </w:r>
      <w:r>
        <w:t xml:space="preserve">”</w:t>
      </w:r>
      <w:r>
        <w:t xml:space="preserve"> </w:t>
      </w:r>
      <w:r>
        <w:t xml:space="preserve">“</w:t>
      </w:r>
      <w:r>
        <w:t xml:space="preserve">retention-time distribution [§3.1],</w:t>
      </w:r>
      <w:r>
        <w:t xml:space="preserve">”</w:t>
      </w:r>
      <w:r>
        <w:t xml:space="preserve"> </w:t>
      </w:r>
      <w:r>
        <w:t xml:space="preserve">“</w:t>
      </w:r>
      <w:r>
        <w:t xml:space="preserve">sampling-schedule mismatch [§4.1]</w:t>
      </w:r>
      <w:r>
        <w:t xml:space="preserve">”</w:t>
      </w:r>
      <w:r>
        <w:t xml:space="preserve"> </w:t>
      </w:r>
      <w:r>
        <w:t xml:space="preserve">under Temporal;</w:t>
      </w:r>
      <w:r>
        <w:t xml:space="preserve"> </w:t>
      </w:r>
      <w:r>
        <w:t xml:space="preserve">“</w:t>
      </w:r>
      <w:r>
        <w:t xml:space="preserve">heterogeneous flow paths [§3.1],</w:t>
      </w:r>
      <w:r>
        <w:t xml:space="preserve">”</w:t>
      </w:r>
      <w:r>
        <w:t xml:space="preserve"> </w:t>
      </w:r>
      <w:r>
        <w:t xml:space="preserve">“</w:t>
      </w:r>
      <w:r>
        <w:t xml:space="preserve">combined-sewer overflow [§3.4],</w:t>
      </w:r>
      <w:r>
        <w:t xml:space="preserve">”</w:t>
      </w:r>
      <w:r>
        <w:t xml:space="preserve"> </w:t>
      </w:r>
      <w:r>
        <w:t xml:space="preserve">“</w:t>
      </w:r>
      <w:r>
        <w:t xml:space="preserve">differential storm response [§3.4]</w:t>
      </w:r>
      <w:r>
        <w:t xml:space="preserve">”</w:t>
      </w:r>
      <w:r>
        <w:t xml:space="preserve"> </w:t>
      </w:r>
      <w:r>
        <w:t xml:space="preserve">under Spatial).</w:t>
      </w:r>
    </w:p>
    <w:p>
      <w:pPr>
        <w:numPr>
          <w:ilvl w:val="1"/>
          <w:numId w:val="1004"/>
        </w:numPr>
        <w:pStyle w:val="Compact"/>
      </w:pPr>
      <w:r>
        <w:t xml:space="preserve">No arrows between columns — this is explicitly a classification diagram, not a process diagram (Figure 1 already covers process/sequence).</w:t>
      </w:r>
    </w:p>
    <w:p>
      <w:pPr>
        <w:numPr>
          <w:ilvl w:val="1"/>
          <w:numId w:val="1004"/>
        </w:numPr>
        <w:pStyle w:val="Compact"/>
      </w:pPr>
      <w:r>
        <w:t xml:space="preserve">A thin horizontal band beneath all three columns, labeled</w:t>
      </w:r>
      <w:r>
        <w:t xml:space="preserve"> </w:t>
      </w:r>
      <w:r>
        <w:t xml:space="preserve">“</w:t>
      </w:r>
      <w:r>
        <w:t xml:space="preserve">these three categories are not mutually exclusive within a single event (§3.5)</w:t>
      </w:r>
      <w:r>
        <w:t xml:space="preserve">”</w:t>
      </w:r>
      <w:r>
        <w:t xml:space="preserve"> </w:t>
      </w:r>
      <w:r>
        <w:t xml:space="preserve">— reflecting §3.5’s point that rainfall perturbs amplitude, temporal, and spatial dimensions simultaneously.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Draft caption (draft, not final):</w:t>
      </w:r>
      <w:r>
        <w:t xml:space="preserve"> </w:t>
      </w:r>
      <w:r>
        <w:t xml:space="preserve">“</w:t>
      </w:r>
      <w:r>
        <w:t xml:space="preserve">Figure 2. A three-category taxonomy for wastewater signal distortion. Every distortion mechanism identified in this review — from source-end shedding heterogeneity through sewer transport to sampling and analysis — is classified as amplitude, temporal, or spatial distortion, or some combination of the three (§1.1, §3.5). This taxonomy is this review’s own organizing framework (§1.3); individual mechanism examples are drawn from the sections indicated, some already reported in the literature (e.g., sewer-biofilm decay, §3.2) and some noted here as structurally implied by the framework rather than independently evidenced.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Elements flagged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pending evidence verification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the specific mechanism-to-category assignments that rest on a single cited study (e.g.,</w:t>
      </w:r>
      <w:r>
        <w:t xml:space="preserve"> </w:t>
      </w:r>
      <w:r>
        <w:t xml:space="preserve">“</w:t>
      </w:r>
      <w:r>
        <w:t xml:space="preserve">sewer-biofilm decay</w:t>
      </w:r>
      <w:r>
        <w:t xml:space="preserve">”</w:t>
      </w:r>
      <w:r>
        <w:t xml:space="preserve"> </w:t>
      </w:r>
      <w:r>
        <w:t xml:space="preserve">under Amplitude, sourced from Zhang et al. 2023 / Jung et al. 2026, both currently abstract-checked only, per</w:t>
      </w:r>
      <w:r>
        <w:t xml:space="preserve"> </w:t>
      </w:r>
      <w:r>
        <w:rPr>
          <w:rStyle w:val="VerbatimChar"/>
        </w:rPr>
        <w:t xml:space="preserve">WBE_Review_Critical_Claim_Verification_Queue.csv</w:t>
      </w:r>
      <w:r>
        <w:t xml:space="preserve"> </w:t>
      </w:r>
      <w:r>
        <w:t xml:space="preserve">row P3-3) should carry a visual marker (e.g., a small</w:t>
      </w:r>
      <w:r>
        <w:t xml:space="preserve"> </w:t>
      </w:r>
      <w:r>
        <w:t xml:space="preserve">“</w:t>
      </w:r>
      <w:r>
        <w:t xml:space="preserve">†</w:t>
      </w:r>
      <w:r>
        <w:t xml:space="preserve">”</w:t>
      </w:r>
      <w:r>
        <w:t xml:space="preserve"> </w:t>
      </w:r>
      <w:r>
        <w:t xml:space="preserve">superscript with a caption footnote:</w:t>
      </w:r>
      <w:r>
        <w:t xml:space="preserve"> </w:t>
      </w:r>
      <w:r>
        <w:t xml:space="preserve">“</w:t>
      </w:r>
      <w:r>
        <w:t xml:space="preserve">† mechanism direction reported in cited literature, not yet full-text verified — see Critical Claim Verification Queue</w:t>
      </w:r>
      <w:r>
        <w:t xml:space="preserve">”</w:t>
      </w:r>
      <w:r>
        <w:t xml:space="preserve">) until that claim resolves. Purely definitional/structural elements (the taxonomy itself, the three category names) need no such marker, since they are this review’s own framework, not an empirical finding.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Source sections:</w:t>
      </w:r>
      <w:r>
        <w:t xml:space="preserve"> </w:t>
      </w:r>
      <w:r>
        <w:t xml:space="preserve">§1.1, §2, §3.2-§3.4.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Potential copyright issues:</w:t>
      </w:r>
      <w:r>
        <w:t xml:space="preserve"> </w:t>
      </w:r>
      <w:r>
        <w:t xml:space="preserve">none anticipated.</w:t>
      </w:r>
    </w:p>
    <w:bookmarkEnd w:id="21"/>
    <w:bookmarkStart w:id="22" w:name="X05621770f1b2b9b882448dfff71619d236ec903"/>
    <w:p>
      <w:pPr>
        <w:pStyle w:val="Heading2"/>
      </w:pPr>
      <w:r>
        <w:t xml:space="preserve">Figure 3. Process-informed reconstruction and uncertainty framework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Communication objective:</w:t>
      </w:r>
      <w:r>
        <w:t xml:space="preserve"> </w:t>
      </w:r>
      <w:r>
        <w:t xml:space="preserve">show how identifiability, observability, validation level, and uncertainty propagation relate to each other within the reconstruction process (§5).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Visual hierarchy:</w:t>
      </w:r>
      <w:r>
        <w:t xml:space="preserve"> </w:t>
      </w:r>
      <w:r>
        <w:t xml:space="preserve">a decision-flow structure ending at</w:t>
      </w:r>
      <w:r>
        <w:t xml:space="preserve"> </w:t>
      </w:r>
      <w:r>
        <w:t xml:space="preserve">“</w:t>
      </w:r>
      <w:r>
        <w:t xml:space="preserve">defensible inference</w:t>
      </w:r>
      <w:r>
        <w:t xml:space="preserve">”</w:t>
      </w:r>
      <w:r>
        <w:t xml:space="preserve"> </w:t>
      </w:r>
      <w:r>
        <w:t xml:space="preserve">(§5.5).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Structural layout sketch (text form):</w:t>
      </w:r>
    </w:p>
    <w:p>
      <w:pPr>
        <w:numPr>
          <w:ilvl w:val="1"/>
          <w:numId w:val="1006"/>
        </w:numPr>
        <w:pStyle w:val="Compact"/>
      </w:pPr>
      <w:r>
        <w:t xml:space="preserve">Top node:</w:t>
      </w:r>
      <w:r>
        <w:t xml:space="preserve"> </w:t>
      </w:r>
      <w:r>
        <w:t xml:space="preserve">“</w:t>
      </w:r>
      <w:r>
        <w:t xml:space="preserve">Select inferential target</w:t>
      </w:r>
      <w:r>
        <w:t xml:space="preserve">”</w:t>
      </w:r>
      <w:r>
        <w:t xml:space="preserve"> </w:t>
      </w:r>
      <w:r>
        <w:t xml:space="preserve">(§5.1), branching to the six named targets (trend, relative change, anomaly, absolute load, prevalence/incidence/consumption/exposure) as a small fan-out, not individually elaborated.</w:t>
      </w:r>
    </w:p>
    <w:p>
      <w:pPr>
        <w:numPr>
          <w:ilvl w:val="1"/>
          <w:numId w:val="1006"/>
        </w:numPr>
        <w:pStyle w:val="Compact"/>
      </w:pPr>
      <w:r>
        <w:t xml:space="preserve">Second row:</w:t>
      </w:r>
      <w:r>
        <w:t xml:space="preserve"> </w:t>
      </w:r>
      <w:r>
        <w:t xml:space="preserve">“</w:t>
      </w:r>
      <w:r>
        <w:t xml:space="preserve">Choose model family accordingly</w:t>
      </w:r>
      <w:r>
        <w:t xml:space="preserve">”</w:t>
      </w:r>
      <w:r>
        <w:t xml:space="preserve"> </w:t>
      </w:r>
      <w:r>
        <w:t xml:space="preserve">(§5.1), a single box (the six-family list lives in Table 3, not duplicated in the figure, to avoid redundancy per the Table Design Brief’s redundancy check).</w:t>
      </w:r>
    </w:p>
    <w:p>
      <w:pPr>
        <w:numPr>
          <w:ilvl w:val="1"/>
          <w:numId w:val="1006"/>
        </w:numPr>
        <w:pStyle w:val="Compact"/>
      </w:pPr>
      <w:r>
        <w:t xml:space="preserve">Third row: a diamond decision node</w:t>
      </w:r>
      <w:r>
        <w:t xml:space="preserve"> </w:t>
      </w:r>
      <w:r>
        <w:t xml:space="preserve">“</w:t>
      </w:r>
      <w:r>
        <w:t xml:space="preserve">Identifiability/observability checked? (§5.2)</w:t>
      </w:r>
      <w:r>
        <w:t xml:space="preserve">”</w:t>
      </w:r>
      <w:r>
        <w:t xml:space="preserve"> </w:t>
      </w:r>
      <w:r>
        <w:t xml:space="preserve">with two exits:</w:t>
      </w:r>
      <w:r>
        <w:t xml:space="preserve"> </w:t>
      </w:r>
      <w:r>
        <w:t xml:space="preserve">“</w:t>
      </w:r>
      <w:r>
        <w:t xml:space="preserve">Yes → proceed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No / equifinality present → flag, narrow claim, or seek informative data design</w:t>
      </w:r>
      <w:r>
        <w:t xml:space="preserve">”</w:t>
      </w:r>
      <w:r>
        <w:t xml:space="preserve"> </w:t>
      </w:r>
      <w:r>
        <w:t xml:space="preserve">— directly encoding §5.2’s core judgment (</w:t>
      </w:r>
      <w:r>
        <w:t xml:space="preserve">“</w:t>
      </w:r>
      <w:r>
        <w:t xml:space="preserve">a model may fit the observations while the target state remains non-identifiable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t xml:space="preserve">Fourth row:</w:t>
      </w:r>
      <w:r>
        <w:t xml:space="preserve"> </w:t>
      </w:r>
      <w:r>
        <w:t xml:space="preserve">“</w:t>
      </w:r>
      <w:r>
        <w:t xml:space="preserve">Match validation level to target</w:t>
      </w:r>
      <w:r>
        <w:t xml:space="preserve">”</w:t>
      </w:r>
      <w:r>
        <w:t xml:space="preserve"> </w:t>
      </w:r>
      <w:r>
        <w:t xml:space="preserve">(§5.3), a single box with a small side-list of the six validation levels in shrinking-confidence order (internal fit → temporal holdout → external site → event-based → synthetic-state recovery → decision-value), explicitly ranked as</w:t>
      </w:r>
      <w:r>
        <w:t xml:space="preserve"> </w:t>
      </w:r>
      <w:r>
        <w:rPr>
          <w:iCs/>
          <w:i/>
        </w:rPr>
        <w:t xml:space="preserve">evidentiary strength for the identifiability/observability question</w:t>
      </w:r>
      <w:r>
        <w:t xml:space="preserve">, not as a general quality ranking independent of target.</w:t>
      </w:r>
    </w:p>
    <w:p>
      <w:pPr>
        <w:numPr>
          <w:ilvl w:val="1"/>
          <w:numId w:val="1006"/>
        </w:numPr>
        <w:pStyle w:val="Compact"/>
      </w:pPr>
      <w:r>
        <w:t xml:space="preserve">Fifth row:</w:t>
      </w:r>
      <w:r>
        <w:t xml:space="preserve"> </w:t>
      </w:r>
      <w:r>
        <w:t xml:space="preserve">“</w:t>
      </w:r>
      <w:r>
        <w:t xml:space="preserve">Propagate uncertainty</w:t>
      </w:r>
      <w:r>
        <w:t xml:space="preserve">”</w:t>
      </w:r>
      <w:r>
        <w:t xml:space="preserve"> </w:t>
      </w:r>
      <w:r>
        <w:t xml:space="preserve">(§5.4), one box, with a compact side-annotation listing the seven input-uncertainty categories as small icons/labels rather than expanded text.</w:t>
      </w:r>
    </w:p>
    <w:p>
      <w:pPr>
        <w:numPr>
          <w:ilvl w:val="1"/>
          <w:numId w:val="1006"/>
        </w:numPr>
        <w:pStyle w:val="Compact"/>
      </w:pPr>
      <w:r>
        <w:t xml:space="preserve">Final node:</w:t>
      </w:r>
      <w:r>
        <w:t xml:space="preserve"> </w:t>
      </w:r>
      <w:r>
        <w:t xml:space="preserve">“</w:t>
      </w:r>
      <w:r>
        <w:t xml:space="preserve">Defensible inference</w:t>
      </w:r>
      <w:r>
        <w:t xml:space="preserve">”</w:t>
      </w:r>
      <w:r>
        <w:t xml:space="preserve"> </w:t>
      </w:r>
      <w:r>
        <w:t xml:space="preserve">(§5.5), reached only if a calibrated-coverage check and a decision-threshold-appropriateness check both pass; otherwise routed to</w:t>
      </w:r>
      <w:r>
        <w:t xml:space="preserve"> </w:t>
      </w:r>
      <w:r>
        <w:t xml:space="preserve">“</w:t>
      </w:r>
      <w:r>
        <w:t xml:space="preserve">disclose wide interval / qualitative statement only</w:t>
      </w:r>
      <w:r>
        <w:t xml:space="preserve">”</w:t>
      </w:r>
      <w:r>
        <w:t xml:space="preserve"> </w:t>
      </w:r>
      <w:r>
        <w:t xml:space="preserve">(§5.5’s explicit fallback).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Draft caption (draft, not final):</w:t>
      </w:r>
      <w:r>
        <w:t xml:space="preserve"> </w:t>
      </w:r>
      <w:r>
        <w:t xml:space="preserve">“</w:t>
      </w:r>
      <w:r>
        <w:t xml:space="preserve">Figure 3. From inferential target to defensible inference. This review’s proposed decision sequence for reconstruction (§5): the inferential target determines the appropriate model family (Table 3); identifiability and observability must be checked, not assumed from fit quality alone (§5.2); the validation level actually achieved must match, not exceed, what is claimed (§5.3); uncertainty is propagated across all relevant input sources (§5.4); and a reported interval is defensible only once its coverage and decision-relevance have themselves been checked (§5.5). This is this review’s own proposed framework, not a validated protocol independently confirmed in the cited literature.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Elements flagged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pending evidence verification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the validation-level ranking’s</w:t>
      </w:r>
      <w:r>
        <w:t xml:space="preserve"> </w:t>
      </w:r>
      <w:r>
        <w:rPr>
          <w:iCs/>
          <w:i/>
        </w:rPr>
        <w:t xml:space="preserve">general applicability</w:t>
      </w:r>
      <w:r>
        <w:t xml:space="preserve"> </w:t>
      </w:r>
      <w:r>
        <w:t xml:space="preserve">(i.e., whether the six-level ordering used here matches how validation is actually practiced across the cited studies) is itself part of Table 3’s evidence-classification task (see Task #113/Table Design Brief) — if Table 3’s per-model-family</w:t>
      </w:r>
      <w:r>
        <w:t xml:space="preserve"> </w:t>
      </w:r>
      <w:r>
        <w:t xml:space="preserve">“</w:t>
      </w:r>
      <w:r>
        <w:t xml:space="preserve">minimum validation</w:t>
      </w:r>
      <w:r>
        <w:t xml:space="preserve">”</w:t>
      </w:r>
      <w:r>
        <w:t xml:space="preserve"> </w:t>
      </w:r>
      <w:r>
        <w:t xml:space="preserve">cells change after full-text verification, this figure’s validation-level side-list should be re-checked for consistency, though the ordering itself (internal fit is weaker evidence than external site validation) is a definitional/methodological point, not an empirical finding requiring citation.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Source sections:</w:t>
      </w:r>
      <w:r>
        <w:t xml:space="preserve"> </w:t>
      </w:r>
      <w:r>
        <w:t xml:space="preserve">§5.1-§5.5.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Potential copyright issues:</w:t>
      </w:r>
      <w:r>
        <w:t xml:space="preserve"> </w:t>
      </w:r>
      <w:r>
        <w:t xml:space="preserve">none anticipated — replaces/merges the source draft’s prior Figure 2/Figure 3.</w:t>
      </w:r>
    </w:p>
    <w:bookmarkEnd w:id="22"/>
    <w:bookmarkStart w:id="23" w:name="X1906511de1d6069bd7b337de439a9412f2d6d1c"/>
    <w:p>
      <w:pPr>
        <w:pStyle w:val="Heading2"/>
      </w:pPr>
      <w:r>
        <w:t xml:space="preserve">Figure 4. Detection-to-decision readiness pathway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Communication objective:</w:t>
      </w:r>
      <w:r>
        <w:t xml:space="preserve"> </w:t>
      </w:r>
      <w:r>
        <w:t xml:space="preserve">consolidate the normalization decision logic (§4.4), the four actionability conditions (§6.3), and the five-level technology-readiness hierarchy (§7.3) into one pathway.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Visual hierarchy:</w:t>
      </w:r>
      <w:r>
        <w:t xml:space="preserve"> </w:t>
      </w:r>
      <w:r>
        <w:t xml:space="preserve">a staged ladder/funnel, bottom to top, five rungs matching §7.3’s hierarchy.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Structural layout sketch (text form):</w:t>
      </w:r>
    </w:p>
    <w:p>
      <w:pPr>
        <w:numPr>
          <w:ilvl w:val="1"/>
          <w:numId w:val="1008"/>
        </w:numPr>
        <w:pStyle w:val="Compact"/>
      </w:pPr>
      <w:r>
        <w:t xml:space="preserve">Five stacked horizontal bands, bottom to top:</w:t>
      </w:r>
      <w:r>
        <w:t xml:space="preserve"> </w:t>
      </w:r>
      <w:r>
        <w:rPr>
          <w:iCs/>
          <w:i/>
        </w:rPr>
        <w:t xml:space="preserve">Analytical detection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Field validation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Cross-site validation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Operational integration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Demonstrated decision value</w:t>
      </w:r>
      <w:r>
        <w:t xml:space="preserve"> </w:t>
      </w:r>
      <w:r>
        <w:t xml:space="preserve">(verbatim from §7.3).</w:t>
      </w:r>
    </w:p>
    <w:p>
      <w:pPr>
        <w:numPr>
          <w:ilvl w:val="1"/>
          <w:numId w:val="1008"/>
        </w:numPr>
        <w:pStyle w:val="Compact"/>
      </w:pPr>
      <w:r>
        <w:t xml:space="preserve">At the boundary between each pair of adjacent bands, a small</w:t>
      </w:r>
      <w:r>
        <w:t xml:space="preserve"> </w:t>
      </w:r>
      <w:r>
        <w:t xml:space="preserve">“</w:t>
      </w:r>
      <w:r>
        <w:t xml:space="preserve">gate</w:t>
      </w:r>
      <w:r>
        <w:t xml:space="preserve">”</w:t>
      </w:r>
      <w:r>
        <w:t xml:space="preserve"> </w:t>
      </w:r>
      <w:r>
        <w:t xml:space="preserve">icon labeled with the specific condition that must be met to advance — for the</w:t>
      </w:r>
      <w:r>
        <w:t xml:space="preserve"> </w:t>
      </w:r>
      <w:r>
        <w:rPr>
          <w:iCs/>
          <w:i/>
        </w:rPr>
        <w:t xml:space="preserve">Field validation → Cross-site validation</w:t>
      </w:r>
      <w:r>
        <w:t xml:space="preserve"> </w:t>
      </w:r>
      <w:r>
        <w:t xml:space="preserve">gate specifically, label it with §5.3’s</w:t>
      </w:r>
      <w:r>
        <w:t xml:space="preserve"> </w:t>
      </w:r>
      <w:r>
        <w:t xml:space="preserve">“</w:t>
      </w:r>
      <w:r>
        <w:t xml:space="preserve">external site validation</w:t>
      </w:r>
      <w:r>
        <w:t xml:space="preserve">”</w:t>
      </w:r>
      <w:r>
        <w:t xml:space="preserve"> </w:t>
      </w:r>
      <w:r>
        <w:t xml:space="preserve">definition, to keep this figure’s readiness language consistent with Figure 3’s validation-level language (a cross-figure consistency check, not a new claim).</w:t>
      </w:r>
    </w:p>
    <w:p>
      <w:pPr>
        <w:numPr>
          <w:ilvl w:val="1"/>
          <w:numId w:val="1008"/>
        </w:numPr>
        <w:pStyle w:val="Compact"/>
      </w:pPr>
      <w:r>
        <w:t xml:space="preserve">A horizontal side-track, aligned with the</w:t>
      </w:r>
      <w:r>
        <w:t xml:space="preserve"> </w:t>
      </w:r>
      <w:r>
        <w:rPr>
          <w:iCs/>
          <w:i/>
        </w:rPr>
        <w:t xml:space="preserve">Analytical detection</w:t>
      </w:r>
      <w:r>
        <w:t xml:space="preserve"> </w:t>
      </w:r>
      <w:r>
        <w:t xml:space="preserve">through</w:t>
      </w:r>
      <w:r>
        <w:t xml:space="preserve"> </w:t>
      </w:r>
      <w:r>
        <w:rPr>
          <w:iCs/>
          <w:i/>
        </w:rPr>
        <w:t xml:space="preserve">Operational integration</w:t>
      </w:r>
      <w:r>
        <w:t xml:space="preserve"> </w:t>
      </w:r>
      <w:r>
        <w:t xml:space="preserve">bands, listing §6.3’s four actionability conditions (uncertainty translated to decision-relevant terms; named institutional actor/protocol exists; detection-to-action interval shorter than the condition’s own timescale; alert validated against its specific deployment’s cost structure) as a checklist a signal must clear in parallel with climbing the ladder, not sequentially after it.</w:t>
      </w:r>
    </w:p>
    <w:p>
      <w:pPr>
        <w:numPr>
          <w:ilvl w:val="1"/>
          <w:numId w:val="1008"/>
        </w:numPr>
        <w:pStyle w:val="Compact"/>
      </w:pPr>
      <w:r>
        <w:t xml:space="preserve">A callout box beside the</w:t>
      </w:r>
      <w:r>
        <w:t xml:space="preserve"> </w:t>
      </w:r>
      <w:r>
        <w:rPr>
          <w:iCs/>
          <w:i/>
        </w:rPr>
        <w:t xml:space="preserve">Demonstrated decision value</w:t>
      </w:r>
      <w:r>
        <w:t xml:space="preserve"> </w:t>
      </w:r>
      <w:r>
        <w:t xml:space="preserve">band, quoting §7.3’s core proposition verbatim:</w:t>
      </w:r>
      <w:r>
        <w:t xml:space="preserve"> </w:t>
      </w:r>
      <w:r>
        <w:t xml:space="preserve">“</w:t>
      </w:r>
      <w:r>
        <w:t xml:space="preserve">Analytical novelty is not equivalent to epidemiological validity, operational readiness, or demonstrated decision value.</w:t>
      </w:r>
      <w:r>
        <w:t xml:space="preserve">”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No specific named technology (digital twins, passive samplers, a specific ML model, etc.) is placed at a specific rung in this design.</w:t>
      </w:r>
      <w:r>
        <w:t xml:space="preserve"> </w:t>
      </w:r>
      <w:r>
        <w:t xml:space="preserve">This is a deliberate choice, not an oversight — placing a real, named technology at a specific readiness level is exactly the kind of claim that needs full-text-verified evidence about that technology’s actual demonstrated validation level, which this review has not yet completed for any of §7.1-§7.2’s cited examples.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Draft caption (draft, not final):</w:t>
      </w:r>
      <w:r>
        <w:t xml:space="preserve"> </w:t>
      </w:r>
      <w:r>
        <w:t xml:space="preserve">“</w:t>
      </w:r>
      <w:r>
        <w:t xml:space="preserve">Figure 4. A proposed readiness hierarchy for wastewater-based surveillance signals, from analytical detection to demonstrated decision value (§7.3), integrated with the four conditions this review argues govern whether a scientifically valid signal is actually actionable (§6.3). A favorable result at one level is evidence for that level only, not for the levels above it (§7.3). This hierarchy is this review’s own proposed framework; it does not itself rank any specific named technology, study, or deployment — such placements would require full-text-verified evidence of that technology’s demonstrated validation level and are deliberately omitted here pending that verification.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Elements flagged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pending evidence verification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explicitly and pre-emptively,</w:t>
      </w:r>
      <w:r>
        <w:t xml:space="preserve"> </w:t>
      </w:r>
      <w:r>
        <w:rPr>
          <w:bCs/>
          <w:b/>
        </w:rPr>
        <w:t xml:space="preserve">any future addition placing a specific named technology, study, or deployment at a specific rung of this ladder</w:t>
      </w:r>
      <w:r>
        <w:t xml:space="preserve"> </w:t>
      </w:r>
      <w:r>
        <w:t xml:space="preserve">must be tagged pending evidence verification until the underlying source clears full-text review — this is the figure most likely to accumulate exactly this kind of claim over time, so the constraint is stated here prominently rather than left implicit.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Source sections:</w:t>
      </w:r>
      <w:r>
        <w:t xml:space="preserve"> </w:t>
      </w:r>
      <w:r>
        <w:t xml:space="preserve">§4.4, §6.3, §7.3.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Potential copyright issues:</w:t>
      </w:r>
      <w:r>
        <w:t xml:space="preserve"> </w:t>
      </w:r>
      <w:r>
        <w:t xml:space="preserve">none anticipated.</w:t>
      </w:r>
    </w:p>
    <w:bookmarkEnd w:id="23"/>
    <w:bookmarkStart w:id="24" w:name="cross-figure-consistency-notes"/>
    <w:p>
      <w:pPr>
        <w:pStyle w:val="Heading2"/>
      </w:pPr>
      <w:r>
        <w:t xml:space="preserve">Cross-figure consistency notes</w:t>
      </w:r>
    </w:p>
    <w:p>
      <w:pPr>
        <w:numPr>
          <w:ilvl w:val="0"/>
          <w:numId w:val="1009"/>
        </w:numPr>
        <w:pStyle w:val="Compact"/>
      </w:pPr>
      <w:r>
        <w:t xml:space="preserve">All four figures use the same three-color coding for amplitude/temporal/spatial distortion (Figures 1 and 2 use it directly; Figures 3 and 4 do not need it but should avoid reusing those three colors for unrelated elements, to prevent a reader misreading an unrelated color-coded element as a distortion-category reference).</w:t>
      </w:r>
    </w:p>
    <w:p>
      <w:pPr>
        <w:numPr>
          <w:ilvl w:val="0"/>
          <w:numId w:val="1009"/>
        </w:numPr>
        <w:pStyle w:val="Compact"/>
      </w:pPr>
      <w:r>
        <w:t xml:space="preserve">Figure 3’s validation-level list and Figure 4’s readiness-hierarchy gates should use identical terminology for</w:t>
      </w:r>
      <w:r>
        <w:t xml:space="preserve"> </w:t>
      </w:r>
      <w:r>
        <w:t xml:space="preserve">“</w:t>
      </w:r>
      <w:r>
        <w:t xml:space="preserve">external/cross-site validation</w:t>
      </w:r>
      <w:r>
        <w:t xml:space="preserve">”</w:t>
      </w:r>
      <w:r>
        <w:t xml:space="preserve"> </w:t>
      </w:r>
      <w:r>
        <w:t xml:space="preserve">(currently drafted consistently above) — this was checked directly against §5.3 and §7.3’s actual wording during this drafting pass.</w:t>
      </w:r>
    </w:p>
    <w:p>
      <w:pPr>
        <w:numPr>
          <w:ilvl w:val="0"/>
          <w:numId w:val="1009"/>
        </w:numPr>
        <w:pStyle w:val="Compact"/>
      </w:pPr>
      <w:r>
        <w:t xml:space="preserve">None of the four draft captions above states a specific quantitative figure, a specific study’s finding, or a cross-study performance ranking. Every reference to</w:t>
      </w:r>
      <w:r>
        <w:t xml:space="preserve"> </w:t>
      </w:r>
      <w:r>
        <w:t xml:space="preserve">“</w:t>
      </w:r>
      <w:r>
        <w:t xml:space="preserve">this review’s own framework/proposition</w:t>
      </w:r>
      <w:r>
        <w:t xml:space="preserve">”</w:t>
      </w:r>
      <w:r>
        <w:t xml:space="preserve"> </w:t>
      </w:r>
      <w:r>
        <w:t xml:space="preserve">is deliberate and should be preserved in any later revision — removing that self-attribution language would turn a propositional claim into an implied empirical one, which is exactly the overextension risk this project’s standing discipline exists to prevent.</w:t>
      </w:r>
    </w:p>
    <w:bookmarkEnd w:id="24"/>
    <w:bookmarkStart w:id="25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All four figures remain, in this structural-design pass,</w:t>
      </w:r>
      <w:r>
        <w:t xml:space="preserve"> </w:t>
      </w:r>
      <w:r>
        <w:rPr>
          <w:bCs/>
          <w:b/>
        </w:rPr>
        <w:t xml:space="preserve">entirely author-original conceptual frameworks</w:t>
      </w:r>
      <w:r>
        <w:t xml:space="preserve"> </w:t>
      </w:r>
      <w:r>
        <w:t xml:space="preserve">with no plotted external data point and no named-technology performance ranking. Draft captions were written to make each figure’s propositional (not evidentiary) status explicit to a reader on first reading, not only to an auditor checking this brief. Two specific future-risk points were flagged pre-emptively: Figure 2’s mechanism-to-category assignments sourced from single, not-yet-full-text-verified studies (marked with a</w:t>
      </w:r>
      <w:r>
        <w:t xml:space="preserve"> </w:t>
      </w:r>
      <w:r>
        <w:t xml:space="preserve">“</w:t>
      </w:r>
      <w:r>
        <w:t xml:space="preserve">†</w:t>
      </w:r>
      <w:r>
        <w:t xml:space="preserve">”</w:t>
      </w:r>
      <w:r>
        <w:t xml:space="preserve"> </w:t>
      </w:r>
      <w:r>
        <w:t xml:space="preserve">convention), and Figure 4’s ladder, which must never gain a named-technology placement without that placement first being tagged pending evidence verification and then resolved through full-text review.</w:t>
      </w:r>
    </w:p>
    <w:p>
      <w:pPr>
        <w:pStyle w:val="BodyText"/>
      </w:pPr>
      <w:r>
        <w:t xml:space="preserve">No image files were created as part of this document. No figure was inserted into</w:t>
      </w:r>
      <w:r>
        <w:t xml:space="preserve"> </w:t>
      </w:r>
      <w:r>
        <w:rPr>
          <w:rStyle w:val="VerbatimChar"/>
        </w:rPr>
        <w:t xml:space="preserve">WBE_Review_WR_Condensed_Draft.md</w:t>
      </w:r>
      <w:r>
        <w:t xml:space="preserve">. No caption above is final — all are explicitly labeled draft, pending the manuscript’s actual figure-production stage.</w:t>
      </w:r>
    </w:p>
    <w:bookmarkEnd w:id="25"/>
    <w:bookmarkEnd w:id="26"/>
    <w:sectPr>
      <w:pgSz w:h="15840" w:w="12240"/>
      <w:pgMar w:bottom="1008" w:left="864" w:right="86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2026-07-19T04:08:41Z</dcterms:created>
  <dcterms:modified xsi:type="dcterms:W3CDTF">2026-07-19T04:08:41Z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