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04438ded98137e3db5bd5d2d5d0736f91e65be"/>
    <w:p>
      <w:pPr>
        <w:pStyle w:val="Heading1"/>
      </w:pPr>
      <w:r>
        <w:t xml:space="preserve">Table 7 Evidence Audit — WBE Review, Chapter 9</w:t>
      </w:r>
    </w:p>
    <w:p>
      <w:pPr>
        <w:pStyle w:val="FirstParagraph"/>
      </w:pPr>
      <w:r>
        <w:rPr>
          <w:bCs/>
          <w:b/>
        </w:rPr>
        <w:t xml:space="preserve">What Table 7 is, stated once here as the authoritative framing.</w:t>
      </w:r>
      <w:r>
        <w:t xml:space="preserve"> </w:t>
      </w:r>
      <w:r>
        <w:t xml:space="preserve">Table 7 (</w:t>
      </w:r>
      <w:r>
        <w:t xml:space="preserve">“</w:t>
      </w:r>
      <w:r>
        <w:t xml:space="preserve">Surveillance Objective × Decision Requirement × Primary Uncertainty Sensitivity × Representative Citation</w:t>
      </w:r>
      <w:r>
        <w:t xml:space="preserve">”</w:t>
      </w:r>
      <w:r>
        <w:t xml:space="preserve">) is</w:t>
      </w:r>
      <w:r>
        <w:t xml:space="preserve"> </w:t>
      </w:r>
      <w:r>
        <w:rPr>
          <w:bCs/>
          <w:b/>
        </w:rPr>
        <w:t xml:space="preserve">proposed by this review based on the conceptual synthesis of available guidance and methodological literature.</w:t>
      </w:r>
      <w:r>
        <w:t xml:space="preserve"> </w:t>
      </w:r>
      <w:r>
        <w:t xml:space="preserve">It is not a published, validated, or institutionally endorsed standard, and no cell in it should be read as an externally-verified empirical fact unless this audit specifically says so. This file exists because a table’s compact, authoritative-looking format can misrepresent a cell’s actual evidentiary basis more easily than prose does — every cell is therefore checked below against six questions: (1) is this cell original synthesis or an external fact; (2) does it need a citation at all; (3) does the citation actually support the specific claim in the cell; (4) does the cell depend on a single country/city/disease system without saying so; (5) is a guidance document being presented as empirical validation evidence; (6) does the cell contain an unverified number, threshold, or performance judgment.</w:t>
      </w:r>
    </w:p>
    <w:p>
      <w:r>
        <w:pict>
          <v:rect style="width:0;height:1.5pt" o:hralign="center" o:hrstd="t" o:hr="t"/>
        </w:pict>
      </w:r>
    </w:p>
    <w:bookmarkStart w:id="20" w:name="row-1-trend-monitoring"/>
    <w:p>
      <w:pPr>
        <w:pStyle w:val="Heading2"/>
      </w:pPr>
      <w:r>
        <w:t xml:space="preserve">Row 1: Trend monitoring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Original or external?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 Citation needed?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(3) Citation genuinely supports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(4) Single-system dependency?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 Guidance mischaracterized as evidence?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(6) Unverified number/threshold?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“</w:t>
            </w:r>
            <w:r>
              <w:t xml:space="preserve">decision-ready</w:t>
            </w:r>
            <w:r>
              <w:t xml:space="preserve">”</w:t>
            </w:r>
            <w:r>
              <w:t xml:space="preserve"> </w:t>
            </w:r>
            <w:r>
              <w:t xml:space="preserve">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Stable bias over the monitoring window; direction/slope, not magnitude, needs to be reliable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</w:t>
            </w:r>
            <w:r>
              <w:t xml:space="preserve"> </w:t>
            </w:r>
            <w:r>
              <w:t xml:space="preserve">— this review’s own deductive argument from §9.1’s objective definition, not an external empirical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this is analytical reasoning about what the trend-monitoring objective logically requires, not a fact about the world requiring 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no number, only a qualitative logical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uncertainty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Systematic, time-varying bias correlated with the trend itself (§4.2 rainfall/seasonality confound)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</w:t>
            </w:r>
            <w:r>
              <w:t xml:space="preserve">, but the underlying rainfall/dilution mechanism it references is itself supported by Chapter 4’s own cited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additional citation needed — properly points to §4.2 rather than re-citing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cross-reference is 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Weather as</w:t>
            </w:r>
            <w:r>
              <w:t xml:space="preserve"> </w:t>
            </w:r>
            <w:r>
              <w:rPr>
                <w:iCs/>
                <w:i/>
              </w:rPr>
              <w:t xml:space="preserve">correction covariate</w:t>
            </w:r>
            <w:r>
              <w:t xml:space="preserve">, not just corroborating stream (§9.3)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</w:t>
            </w:r>
            <w:r>
              <w:t xml:space="preserve"> </w:t>
            </w:r>
            <w:r>
              <w:t xml:space="preserve">— this review’s own argument (§9.3-P3 in the Claim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internal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Representative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[8] Janssens et al. 2022 (illustrative single-program example; §4.2, §6.2)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fact, correctly labeled illustrative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and one is given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— [8] supports that rainfall-correction improved correlation in the Belgian program specifically; it does not establish that trend monitoring is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generally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robust to stable bias, which is this row’s actual claim.</w:t>
            </w:r>
            <w:r>
              <w:t xml:space="preserve"> </w:t>
            </w:r>
            <w:r>
              <w:t xml:space="preserve">The citation illustrates the mechanism, not the general decision-readiness claim.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single national program (Belgium), not disclosed as a limitation in the table cell itself, only in this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 correlation-improvement effect size from [8] is not asserted in the cell (correctly omitted), so no unverified number appears here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 1 finding: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Representative citation</w:t>
      </w:r>
      <w:r>
        <w:t xml:space="preserve">”</w:t>
      </w:r>
      <w:r>
        <w:t xml:space="preserve"> </w:t>
      </w:r>
      <w:r>
        <w:t xml:space="preserve">column’s parenthetical</w:t>
      </w:r>
      <w:r>
        <w:t xml:space="preserve"> </w:t>
      </w:r>
      <w:r>
        <w:t xml:space="preserve">“</w:t>
      </w:r>
      <w:r>
        <w:t xml:space="preserve">(illustrative single-program example)</w:t>
      </w:r>
      <w:r>
        <w:t xml:space="preserve">”</w:t>
      </w:r>
      <w:r>
        <w:t xml:space="preserve"> </w:t>
      </w:r>
      <w:r>
        <w:t xml:space="preserve">was added specifically to address concern (4) — a single-country dependency exists and is now disclosed at the point of citation, not left implicit.</w:t>
      </w:r>
    </w:p>
    <w:bookmarkEnd w:id="20"/>
    <w:bookmarkStart w:id="21" w:name="row-2-anomaly-early-warning-detection"/>
    <w:p>
      <w:pPr>
        <w:pStyle w:val="Heading2"/>
      </w:pPr>
      <w:r>
        <w:t xml:space="preserve">Row 2: Anomaly / early-warning detection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Original or external?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 Citation needed?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(3) Citation genuinely supports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(4) Single-system dependency?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 Guidance mischaracterized as evidence?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(6) Unverified number/threshold?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“</w:t>
            </w:r>
            <w:r>
              <w:t xml:space="preserve">decision-ready</w:t>
            </w:r>
            <w:r>
              <w:t xml:space="preserve">”</w:t>
            </w:r>
            <w:r>
              <w:t xml:space="preserve"> </w:t>
            </w:r>
            <w:r>
              <w:t xml:space="preserve">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Explicit, auditable threshold; known false-alarm/missed-detection rate for the specific deployment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</w:t>
            </w:r>
            <w:r>
              <w:t xml:space="preserve"> </w:t>
            </w:r>
            <w:r>
              <w:t xml:space="preserve">— a normative/logical requirement derived from §9.2’s asymmetric-cost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uncertainty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Noise-distribution shape and LOD-censoring behavior (§8.4, §8.11); threshold transfer risk across populations (§8.12)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</w:t>
            </w:r>
            <w:r>
              <w:t xml:space="preserve">, correctly pointing to Chapter 8’s own established content rather than re-asserting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Clinical/hospital data as independent corroboration, not substitute (§9.5)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Representative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[55] Assoum et al. 2023 (illustrative single-program example); [57] Link, Garrido, et al. 2026 (illustrative single-country/single-disease example, performance figures not established to transfer)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facts, correctly labeled illustrative with an explicit non-transfer caveat for [57]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[55] supports the qualitative claim that early-warning detection is a distinct, demonstrated use case (§9.1-P3 in the Claim Audit); it does not itself establish a specific threshold-design standard. [57] genuinely reports the sensitivity/PPV figures named in §9.2’s prose, so its citation here is directly and specifically supported</w:t>
            </w:r>
            <w:r>
              <w:t xml:space="preserve"> </w:t>
            </w:r>
            <w:r>
              <w:t xml:space="preserve">— this is the strongest citation-to-cell match in Table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for both — [55] is Australia-specific (implicit, not stated in the original study’s scope as summarized here), [57] is a single-country (U.S.), single-disease (SARS-CoV-2) analysis. The [57] cell explicitly discloses non-transferability; [55]’s single-setting dependency is not separately flagged in the cell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unverified number appears directly in this row’s cells (the sensitivity/PPV figures live in §9.2’s prose, correctly hedged there, not restated here)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 2 finding:</w:t>
      </w:r>
      <w:r>
        <w:t xml:space="preserve"> </w:t>
      </w:r>
      <w:r>
        <w:t xml:space="preserve">[56] was correctly removed from this cell in the 2026-07-18 consistency-audit round (see</w:t>
      </w:r>
      <w:r>
        <w:t xml:space="preserve"> </w:t>
      </w:r>
      <w:r>
        <w:rPr>
          <w:rStyle w:val="VerbatimChar"/>
        </w:rPr>
        <w:t xml:space="preserve">WBE_Review_Ch9_Claim_Audit.md</w:t>
      </w:r>
      <w:r>
        <w:t xml:space="preserve"> </w:t>
      </w:r>
      <w:r>
        <w:t xml:space="preserve">§9.9) — this file confirms it does not reappear anywhere in the current Table 7.</w:t>
      </w:r>
      <w:r>
        <w:t xml:space="preserve"> </w:t>
      </w:r>
      <w:r>
        <w:rPr>
          <w:bCs/>
          <w:b/>
        </w:rPr>
        <w:t xml:space="preserve">A parallel-disclosure gap identified during this audit — [55]’s single-setting dependency was disclosed for [57] but not for [55] in the same cell — has been fixed in the main text as part of this round</w:t>
      </w:r>
      <w:r>
        <w:t xml:space="preserve">: the [55] cell now reads</w:t>
      </w:r>
      <w:r>
        <w:t xml:space="preserve"> </w:t>
      </w:r>
      <w:r>
        <w:t xml:space="preserve">“</w:t>
      </w:r>
      <w:r>
        <w:t xml:space="preserve">(illustrative single-study example; specific setting not independently confirmed this session),</w:t>
      </w:r>
      <w:r>
        <w:t xml:space="preserve">”</w:t>
      </w:r>
      <w:r>
        <w:t xml:space="preserve"> </w:t>
      </w:r>
      <w:r>
        <w:t xml:space="preserve">matching the disclosure standard applied to [57], [8], [44], and [46] elsewhere in the table.</w:t>
      </w:r>
    </w:p>
    <w:bookmarkEnd w:id="21"/>
    <w:bookmarkStart w:id="22" w:name="row-3-absolute-magnitude-estimation"/>
    <w:p>
      <w:pPr>
        <w:pStyle w:val="Heading2"/>
      </w:pPr>
      <w:r>
        <w:t xml:space="preserve">Row 3: Absolute-magnitude estimation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Original or external?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 Citation needed?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(3) Citation genuinely supports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(4) Single-system dependency?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 Guidance mischaracterized as evidence?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(6) Unverified number/threshold?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“</w:t>
            </w:r>
            <w:r>
              <w:t xml:space="preserve">decision-ready</w:t>
            </w:r>
            <w:r>
              <w:t xml:space="preserve">”</w:t>
            </w:r>
            <w:r>
              <w:t xml:space="preserve"> </w:t>
            </w:r>
            <w:r>
              <w:t xml:space="preserve">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 meaningful subset of §7.0’s five evidentiary criteria actually demonstrated, not merely a correlation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</w:t>
            </w:r>
            <w:r>
              <w:t xml:space="preserve">, restating this review’s own Chapter 7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internal cross-reference to this review’s own prior audit (Table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uncertainty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propagated uncertainty (§8.13), including structural uncertainty (§8.12)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Multi-source joint modeling to constrain identifiability (§7.3), not simple averaging (§9.4)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Representative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[44] Dai et al. 2024 (single-city example); [46] Jones et al. 2014 (single chemical-target example)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facts, correctly labeled with their scope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citations are reused from Chapters 7 and 8 respectively, where they were already established as this review’s clearest examples of the method families described (Bayesian functional-data state-space modeling; formal Bayesian excretion-fraction uncertainty). The cell’s implicit claim is</w:t>
            </w:r>
            <w:r>
              <w:t xml:space="preserve"> </w:t>
            </w:r>
            <w:r>
              <w:t xml:space="preserve">“</w:t>
            </w:r>
            <w:r>
              <w:t xml:space="preserve">these are representative examples of absolute-magnitude estimation done with some rigor,</w:t>
            </w:r>
            <w:r>
              <w:t xml:space="preserve">”</w:t>
            </w:r>
            <w:r>
              <w:t xml:space="preserve"> </w:t>
            </w:r>
            <w:r>
              <w:t xml:space="preserve">which both support at Abstract-level confidence, already carried forward from their original Chapter 7/8 audit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[44] is Calgary-specific, [46] is a chemical (drug-consumption) target, not a pathogen. Both limitations are now disclosed in the cell parenthetical.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new unverified number introduced in this row; both citations’ specific figures remain pending full-text verification at their original Chapter 7/8 rows, not restated here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 3 finding:</w:t>
      </w:r>
      <w:r>
        <w:t xml:space="preserve"> </w:t>
      </w:r>
      <w:r>
        <w:t xml:space="preserve">clean — both citations correctly carry forward their pre-existing hedging from Chapters 7/8 without re-asserting a stronger claim than those chapters already established.</w:t>
      </w:r>
    </w:p>
    <w:p>
      <w:r>
        <w:pict>
          <v:rect style="width:0;height:1.5pt" o:hralign="center" o:hrstd="t" o:hr="t"/>
        </w:pict>
      </w:r>
    </w:p>
    <w:bookmarkEnd w:id="22"/>
    <w:bookmarkStart w:id="23" w:name="cross-row-findings"/>
    <w:p>
      <w:pPr>
        <w:pStyle w:val="Heading2"/>
      </w:pPr>
      <w:r>
        <w:t xml:space="preserve">Cross-row findings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(1) — original vs. external:</w:t>
      </w:r>
      <w:r>
        <w:t xml:space="preserve"> </w:t>
      </w:r>
      <w:r>
        <w:t xml:space="preserve">every</w:t>
      </w:r>
      <w:r>
        <w:t xml:space="preserve"> </w:t>
      </w:r>
      <w:r>
        <w:t xml:space="preserve">“</w:t>
      </w:r>
      <w:r>
        <w:t xml:space="preserve">what decision-ready requires,</w:t>
      </w:r>
      <w:r>
        <w:t xml:space="preserve">”</w:t>
      </w:r>
      <w:r>
        <w:t xml:space="preserve"> </w:t>
      </w:r>
      <w:r>
        <w:t xml:space="preserve">“</w:t>
      </w:r>
      <w:r>
        <w:t xml:space="preserve">primary uncertainty sensitivity,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fusion role</w:t>
      </w:r>
      <w:r>
        <w:t xml:space="preserve">”</w:t>
      </w:r>
      <w:r>
        <w:t xml:space="preserve"> </w:t>
      </w:r>
      <w:r>
        <w:t xml:space="preserve">cell in all three rows is this review’s own original synthesis, correctly requiring no citation. Only the</w:t>
      </w:r>
      <w:r>
        <w:t xml:space="preserve"> </w:t>
      </w:r>
      <w:r>
        <w:t xml:space="preserve">“</w:t>
      </w:r>
      <w:r>
        <w:t xml:space="preserve">representative citation</w:t>
      </w:r>
      <w:r>
        <w:t xml:space="preserve">”</w:t>
      </w:r>
      <w:r>
        <w:t xml:space="preserve"> </w:t>
      </w:r>
      <w:r>
        <w:t xml:space="preserve">column contains external facts, and this is by design — the table’s caption now states this explicitly (</w:t>
      </w:r>
      <w:r>
        <w:t xml:space="preserve">“</w:t>
      </w:r>
      <w:r>
        <w:t xml:space="preserve">Proposed by this review… the</w:t>
      </w:r>
      <w:r>
        <w:t xml:space="preserve"> </w:t>
      </w:r>
      <w:r>
        <w:t xml:space="preserve">‘</w:t>
      </w:r>
      <w:r>
        <w:t xml:space="preserve">representative citation</w:t>
      </w:r>
      <w:r>
        <w:t xml:space="preserve">’</w:t>
      </w:r>
      <w:r>
        <w:t xml:space="preserve"> </w:t>
      </w:r>
      <w:r>
        <w:t xml:space="preserve">column names a real study illustrating the row, not a source that has validated the row’s general claim across settings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(4) — single-system dependency:</w:t>
      </w:r>
      <w:r>
        <w:t xml:space="preserve"> </w:t>
      </w:r>
      <w:r>
        <w:t xml:space="preserve">present in every row ([8]: Belgium; [55]: single study, specific setting not independently confirmed this session; [57]: U.S./SARS-CoV-2; [44]: Calgary; [46]: chemical target, not pathogen). Every citation instance in the table now carries an explicit single-setting disclosure parenthetical, applied consistently as of this audit round.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(5) — guidance mischaracterized as evidence:</w:t>
      </w:r>
      <w:r>
        <w:t xml:space="preserve"> </w:t>
      </w:r>
      <w:r>
        <w:t xml:space="preserve">does not occur anywhere in Table 7. No institutional/guidance source (WHO, NASEM, ECDC) appears in any</w:t>
      </w:r>
      <w:r>
        <w:t xml:space="preserve"> </w:t>
      </w:r>
      <w:r>
        <w:t xml:space="preserve">“</w:t>
      </w:r>
      <w:r>
        <w:t xml:space="preserve">representative citation</w:t>
      </w:r>
      <w:r>
        <w:t xml:space="preserve">”</w:t>
      </w:r>
      <w:r>
        <w:t xml:space="preserve"> </w:t>
      </w:r>
      <w:r>
        <w:t xml:space="preserve">cell — all five citations in the table are primary empirical studies, correctly distinguished from the institutional-guidance sources cited elsewhere in §9.8’s prose.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(6) — unverified numbers in the table itself:</w:t>
      </w:r>
      <w:r>
        <w:t xml:space="preserve"> </w:t>
      </w:r>
      <w:r>
        <w:t xml:space="preserve">none. Every specific performance figure (e.g., [57]’s sensitivity/PPV) lives in the main prose, where it is hedged, not duplicated into the table cell without its hedge.</w:t>
      </w:r>
    </w:p>
    <w:bookmarkEnd w:id="23"/>
    <w:bookmarkStart w:id="24" w:name="overall-verdict"/>
    <w:p>
      <w:pPr>
        <w:pStyle w:val="Heading2"/>
      </w:pPr>
      <w:r>
        <w:t xml:space="preserve">Overall verdict</w:t>
      </w:r>
    </w:p>
    <w:p>
      <w:pPr>
        <w:pStyle w:val="FirstParagraph"/>
      </w:pPr>
      <w:r>
        <w:t xml:space="preserve">Table 7 survives this audit as a</w:t>
      </w:r>
      <w:r>
        <w:t xml:space="preserve"> </w:t>
      </w:r>
      <w:r>
        <w:rPr>
          <w:bCs/>
          <w:b/>
        </w:rPr>
        <w:t xml:space="preserve">correctly-labeled original framework</w:t>
      </w:r>
      <w:r>
        <w:t xml:space="preserve"> </w:t>
      </w:r>
      <w:r>
        <w:t xml:space="preserve">rather than a disguised empirical claim. This audit’s one substantive finding — an asymmetric disclosure of single-setting dependency between [55] and its row-mates ([57], [8], [44], [46]) — has been fixed in the main text as part of this same round, not merely logged for later. No cell was found to misattribute a guidance document as validation evidence, and no cell was found to assert an unverified number without the hedge that number already carries in the main text. The table’s caption disclaimer (</w:t>
      </w:r>
      <w:r>
        <w:t xml:space="preserve">“</w:t>
      </w:r>
      <w:r>
        <w:t xml:space="preserve">Proposed by this review…</w:t>
      </w:r>
      <w:r>
        <w:t xml:space="preserve">”</w:t>
      </w:r>
      <w:r>
        <w:t xml:space="preserve">) is judged, on this audit, to be necessary and sufficient to prevent a reader from mistaking it for a validated external standard, provided it is not stripped out in any future extraction of this table into a standalone deliverable (as Chapters 5–8’s tables were — see the</w:t>
      </w:r>
      <w:r>
        <w:t xml:space="preserve"> </w:t>
      </w:r>
      <w:r>
        <w:t xml:space="preserve">“</w:t>
      </w:r>
      <w:r>
        <w:t xml:space="preserve">Note on companion files</w:t>
      </w:r>
      <w:r>
        <w:t xml:space="preserve">”</w:t>
      </w:r>
      <w:r>
        <w:t xml:space="preserve"> </w:t>
      </w:r>
      <w:r>
        <w:t xml:space="preserve">list, which does not currently include a standalone Table 7 extract; if one is created in a future round, this disclaimer must travel with it).</w:t>
      </w:r>
    </w:p>
    <w:bookmarkEnd w:id="24"/>
    <w:bookmarkEnd w:id="25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2026-07-18T08:56:49Z</dcterms:created>
  <dcterms:modified xsi:type="dcterms:W3CDTF">2026-07-18T08:56:49Z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