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d43953476b7ca0ca42d810e1a4c860acc6d3e8a"/>
    <w:p>
      <w:pPr>
        <w:pStyle w:val="Heading1"/>
      </w:pPr>
      <w:r>
        <w:t xml:space="preserve">Target Outline — Water Research Submission-Length Manuscript (Planning Document Only)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Phase 2B. 2026-07-18. Built in Phase 1, revised in Phase 2A to correct the total-length target, revised again here in Phase 2B to confirm Parts 5-8’s budgets. Water Research’s actual review-article guidance, as supplied this round, is: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Review Paper length is comparatively flexible, but a typical review is under 12,000 words, including references.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All 8 parts now exist as actual condensed prose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WBE_Review_WR_Condensed_Draft.md</w:t>
      </w:r>
      <w:r>
        <w:t xml:space="preserve"> </w:t>
      </w:r>
      <w:r>
        <w:t xml:space="preserve">— this file remains the planning record, not the prose itself.</w:t>
      </w:r>
    </w:p>
    <w:bookmarkStart w:id="20" w:name="Xea30f3896d0f2bd0f675c86ec6ef5b997651672"/>
    <w:p>
      <w:pPr>
        <w:pStyle w:val="Heading2"/>
      </w:pPr>
      <w:r>
        <w:t xml:space="preserve">Corrected total-length budget (includes references)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8-part prose body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7,200–7,600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In-text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650–850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Abstract, figure captions, table captions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350–500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 (current 67 active)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1,800–2,200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10,000–11,150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 rules:</w:t>
      </w:r>
      <w:r>
        <w:t xml:space="preserve"> </w:t>
      </w:r>
      <w:r>
        <w:t xml:space="preserve">ideal total ≤10,800 words; ≥11,300 is a warning threshold requiring a cut before proceeding further; the Phase 2 draft must never exceed 11,500 words; at least 500 words of headroom must be preserved below the ceiling for references a future formal database search will add beyond the current 67 active references. All word-count statistics in this file and in</w:t>
      </w:r>
      <w:r>
        <w:t xml:space="preserve"> </w:t>
      </w:r>
      <w:r>
        <w:rPr>
          <w:rStyle w:val="VerbatimChar"/>
        </w:rPr>
        <w:t xml:space="preserve">WBE_Review_Compression_Log.md</w:t>
      </w:r>
      <w:r>
        <w:t xml:space="preserve"> </w:t>
      </w:r>
      <w:r>
        <w:t xml:space="preserve">include references. Highlights are a separate journal-required file, not counted against this budget, and are not produced this round.</w:t>
      </w:r>
    </w:p>
    <w:p>
      <w:pPr>
        <w:pStyle w:val="BodyText"/>
      </w:pPr>
      <w:r>
        <w:rPr>
          <w:bCs/>
          <w:b/>
        </w:rPr>
        <w:t xml:space="preserve">Reference-budget basis:</w:t>
      </w:r>
      <w:r>
        <w:t xml:space="preserve"> </w:t>
      </w:r>
      <w:r>
        <w:t xml:space="preserve">the current</w:t>
      </w:r>
      <w:r>
        <w:t xml:space="preserve"> </w:t>
      </w:r>
      <w:r>
        <w:rPr>
          <w:rStyle w:val="VerbatimChar"/>
        </w:rPr>
        <w:t xml:space="preserve">WBE_Review_References.md</w:t>
      </w:r>
      <w:r>
        <w:t xml:space="preserve"> </w:t>
      </w:r>
      <w:r>
        <w:t xml:space="preserve">project file runs to ~6,500 words, but that figure includes verification annotations, evidence-type notes, and</w:t>
      </w:r>
      <w:r>
        <w:t xml:space="preserve"> </w:t>
      </w:r>
      <w:r>
        <w:t xml:space="preserve">“</w:t>
      </w:r>
      <w:r>
        <w:t xml:space="preserve">pending full-text confirmation</w:t>
      </w:r>
      <w:r>
        <w:t xml:space="preserve">”</w:t>
      </w:r>
      <w:r>
        <w:t xml:space="preserve"> </w:t>
      </w:r>
      <w:r>
        <w:t xml:space="preserve">flags that do not belong in a journal reference list — a plain, standard-format citation (author list, year, title, journal, volume/pages, DOI) for this document’s 67 active references runs approximately 27-33 words each, giving the 1,800-2,200-word estimate above. This has not been mechanically re-typeset this round (the reference list itself is not part of this round’s deliverables) but is a reasonable, checkable estimate.</w:t>
      </w:r>
    </w:p>
    <w:bookmarkEnd w:id="20"/>
    <w:bookmarkStart w:id="21" w:name="prose-body-budget-8-parts"/>
    <w:p>
      <w:pPr>
        <w:pStyle w:val="Heading2"/>
      </w:pPr>
      <w:r>
        <w:t xml:space="preserve">Prose-body budget (8 parts)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this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(750–850)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Phase 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population states to wastewater signals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(850–950)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Phase 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Sewers as information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1,275 (1,200–1,350)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Phase 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1,175 (1,100–1,250)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Phase 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 (1,450–1,550)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Drafted this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(650–750)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Drafted this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(450–550)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Drafted this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priorities and conclusions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 (500–600)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Drafted this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Prose-body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7,400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Parts 5-8 budgets are now confirmed</w:t>
      </w:r>
      <w:r>
        <w:t xml:space="preserve">, not tentative — set explicitly this round per instruction, informed by (though not mechanically derived from) Parts 1-4’s actual drafted density. The 8-part sum (7,400) falls within the instructed 7,200-7,600 range.</w:t>
      </w:r>
    </w:p>
    <w:bookmarkEnd w:id="21"/>
    <w:bookmarkStart w:id="22" w:name="non-body-budget-costed-independently"/>
    <w:p>
      <w:pPr>
        <w:pStyle w:val="Heading2"/>
      </w:pPr>
      <w:r>
        <w:t xml:space="preserve">Non-body budget (costed independently)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(4 in-text: see the Table 6 disposition below for how the former Table 6 is handled)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650–850 words (~160-210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from Phase 2A.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 (4, captions only — images are not word-counted)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~200 words (~50/caption)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from Phase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 (current 67 active, plain citation format)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1,800–2,200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reference-budget basis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200–250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Research’s stated abstract limit;</w:t>
            </w:r>
            <w:r>
              <w:t xml:space="preserve"> </w:t>
            </w:r>
            <w:r>
              <w:rPr>
                <w:bCs/>
                <w:b/>
              </w:rPr>
              <w:t xml:space="preserve">placeholder only this round, not drafted</w:t>
            </w:r>
            <w:r>
              <w:t xml:space="preserve"> </w:t>
            </w:r>
            <w:r>
              <w:t xml:space="preserve">(per instruction to stop before Abstract/Highlights/cover letter).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bullet points, ≤85 characters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file, not counted against body/table/reference budget;</w:t>
            </w:r>
            <w:r>
              <w:t xml:space="preserve"> </w:t>
            </w:r>
            <w:r>
              <w:rPr>
                <w:bCs/>
                <w:b/>
              </w:rPr>
              <w:t xml:space="preserve">not produced this round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Graphical 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image, ~20-word caption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produced this round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full submission length: 7,400 (body midpoint) + 750 (tables midpoint) + 425 (abstract/captions midpoint) + 2,000 (references midpoint) ≈ 10,575 words</w:t>
      </w:r>
      <w:r>
        <w:t xml:space="preserve"> </w:t>
      </w:r>
      <w:r>
        <w:t xml:space="preserve">— within the 10,000-11,150 target range and below the 10,800-word ideal ceiling, leaving roughly 925 words of headroom below the 11,500-word hard maximum, comfortably above the 500-word reserve this round’s instruction requires for references a future formal search will add.</w:t>
      </w:r>
    </w:p>
    <w:p>
      <w:r>
        <w:pict>
          <v:rect style="width:0;height:1.5pt" o:hralign="center" o:hrstd="t" o:hr="t"/>
        </w:pict>
      </w:r>
    </w:p>
    <w:bookmarkEnd w:id="22"/>
    <w:bookmarkStart w:id="23" w:name="Xc175c99fb7f4a5c85a455ec75bde6b5e0bf707c"/>
    <w:p>
      <w:pPr>
        <w:pStyle w:val="Heading2"/>
      </w:pPr>
      <w:r>
        <w:t xml:space="preserve">Part 1. Introduction and review approach (target 800; drafted this round — see</w:t>
      </w:r>
      <w:r>
        <w:t xml:space="preserve"> </w:t>
      </w:r>
      <w:r>
        <w:rPr>
          <w:rStyle w:val="VerbatimChar"/>
        </w:rPr>
        <w:t xml:space="preserve">WBE_Review_WR_Condensed_Draft.md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Final structure (per this round’s explicit instruction, superseding Phase 1’s 1.1/1.2 split):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1.1 The measurement-inference gap</w:t>
      </w:r>
      <w:r>
        <w:t xml:space="preserve"> </w:t>
      </w:r>
      <w:r>
        <w:t xml:space="preserve">— WBE does not observe the target population state directly; concentration/load is the output of multiple superimposed processes; this review reframes WBE as an inverse problem.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1.2 Scope and critical-review approach</w:t>
      </w:r>
      <w:r>
        <w:t xml:space="preserve"> </w:t>
      </w:r>
      <w:r>
        <w:t xml:space="preserve">— review scope, evidence-identification approach, process-based synthesis, stated briefly; the full systematic-search/full-text-verification status is pointed at the internal evidence-audit files rather than restated in prose (per this round’s explicit instruction not to repeat</w:t>
      </w:r>
      <w:r>
        <w:t xml:space="preserve"> </w:t>
      </w:r>
      <w:r>
        <w:t xml:space="preserve">“</w:t>
      </w:r>
      <w:r>
        <w:t xml:space="preserve">pending full-text verification</w:t>
      </w:r>
      <w:r>
        <w:t xml:space="preserve">”</w:t>
      </w:r>
      <w:r>
        <w:t xml:space="preserve"> </w:t>
      </w:r>
      <w:r>
        <w:t xml:space="preserve">through the body text).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1.3 Conceptual contributions</w:t>
      </w:r>
      <w:r>
        <w:t xml:space="preserve"> </w:t>
      </w:r>
      <w:r>
        <w:t xml:space="preserve">— the four original contributions stated together as this review’s thesis: (1) WBE as an inverse problem; (2) amplitude-temporal-spatial distortion; (3) normalization as mechanism-specific causal correction; (4) identifiability- and uncertainty-aware reconstruction from detection to decision.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Removed this round, per explicit instruction:</w:t>
      </w:r>
      <w:r>
        <w:t xml:space="preserve"> </w:t>
      </w:r>
      <w:r>
        <w:t xml:space="preserve">the developmental-history narrative, the multi-disease/multi-target application list, the chapter-by-chapter roadmap restatement, structural-bridge-style prose, and the repeated</w:t>
      </w:r>
      <w:r>
        <w:t xml:space="preserve"> </w:t>
      </w:r>
      <w:r>
        <w:t xml:space="preserve">“</w:t>
      </w:r>
      <w:r>
        <w:t xml:space="preserve">conceptual scaffold</w:t>
      </w:r>
      <w:r>
        <w:t xml:space="preserve">”</w:t>
      </w:r>
      <w:r>
        <w:t xml:space="preserve"> </w:t>
      </w:r>
      <w:r>
        <w:t xml:space="preserve">disclaimer (now stated once, in Part 2).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Evidence needing full-text verification:</w:t>
      </w:r>
      <w:r>
        <w:t xml:space="preserve"> </w:t>
      </w:r>
      <w:r>
        <w:t xml:space="preserve">institutional figures (EU dashboard, China’s national system) — carried as a single evidence-status pointer, not restated per-claim.</w:t>
      </w:r>
    </w:p>
    <w:p>
      <w:r>
        <w:pict>
          <v:rect style="width:0;height:1.5pt" o:hralign="center" o:hrstd="t" o:hr="t"/>
        </w:pict>
      </w:r>
    </w:p>
    <w:bookmarkEnd w:id="23"/>
    <w:bookmarkStart w:id="24" w:name="X715157946df8960aa4fd79e43ef4ea4f15eabef"/>
    <w:p>
      <w:pPr>
        <w:pStyle w:val="Heading2"/>
      </w:pPr>
      <w:r>
        <w:t xml:space="preserve">Part 2. From population states to wastewater signals (target 900; drafted this round)</w:t>
      </w:r>
    </w:p>
    <w:p>
      <w:pPr>
        <w:pStyle w:val="FirstParagraph"/>
      </w:pPr>
      <w:r>
        <w:rPr>
          <w:bCs/>
          <w:b/>
        </w:rPr>
        <w:t xml:space="preserve">Final structure (per this round’s explicit instruction — a single continuous argument, not further subdivided into named subsections):</w:t>
      </w:r>
      <w:r>
        <w:t xml:space="preserve"> </w:t>
      </w:r>
      <w:r>
        <w:t xml:space="preserve">infection/consumption/exposure states; metabolism and excretion; inter-individual variability; shedding/excretion distributions; dynamic contributing population; building drainage; non-human sources; the source-state-vs-sewer-entry-load distinction. The formal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≈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K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τ</m:t>
                </m:r>
              </m:e>
            </m:d>
            <m:r>
              <m:rPr>
                <m:sty m:val="p"/>
              </m:rPr>
              <m:t>*</m:t>
            </m:r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  <m:r>
          <m:rPr>
            <m:sty m:val="p"/>
          </m:rPr>
          <m:t>+</m:t>
        </m:r>
        <m:r>
          <m:t>ε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statement and the amplitude/temporal/spatial taxonomy (Original Contribution #2, stated in full here — its canonical, single location in the condensed draft) anchor this part.</w:t>
      </w:r>
    </w:p>
    <w:p>
      <w:pPr>
        <w:pStyle w:val="BodyText"/>
      </w:pPr>
      <w:r>
        <w:rPr>
          <w:bCs/>
          <w:b/>
        </w:rPr>
        <w:t xml:space="preserve">Removed this round, per explicit instruction:</w:t>
      </w:r>
      <w:r>
        <w:t xml:space="preserve"> </w:t>
      </w:r>
      <w:r>
        <w:t xml:space="preserve">per-biomarker listing, repeated mass-balance explanation, any anticipation of sewer-transport decay or back-calculation content (reserved for Parts 3 and 5), excess textbook background.</w:t>
      </w:r>
    </w:p>
    <w:p>
      <w:pPr>
        <w:pStyle w:val="BodyText"/>
      </w:pPr>
      <w:r>
        <w:rPr>
          <w:bCs/>
          <w:b/>
        </w:rPr>
        <w:t xml:space="preserve">Evidence needing full-text verification:</w:t>
      </w:r>
      <w:r>
        <w:t xml:space="preserve"> </w:t>
      </w:r>
      <w:r>
        <w:t xml:space="preserve">Miura, Kitajima &amp; Omori (2021) shedding-duration figures (flagged internally inconsistent); Boogaerts et al. (2024) pharmacokinetic correction-factor claims.</w:t>
      </w:r>
    </w:p>
    <w:p>
      <w:r>
        <w:pict>
          <v:rect style="width:0;height:1.5pt" o:hralign="center" o:hrstd="t" o:hr="t"/>
        </w:pict>
      </w:r>
    </w:p>
    <w:bookmarkEnd w:id="24"/>
    <w:bookmarkStart w:id="25" w:name="X8c797f46d113ad80f4220a2475dd1cb846231ae"/>
    <w:p>
      <w:pPr>
        <w:pStyle w:val="Heading2"/>
      </w:pPr>
      <w:r>
        <w:t xml:space="preserve">Part 3. Sewers as information filters (target 1,275; drafted this round)</w:t>
      </w:r>
    </w:p>
    <w:p>
      <w:pPr>
        <w:pStyle w:val="FirstParagraph"/>
      </w:pPr>
      <w:r>
        <w:rPr>
          <w:bCs/>
          <w:b/>
        </w:rPr>
        <w:t xml:space="preserve">Final structure (per this round’s explicit 5-subsection instruction, replacing Phase 1’s 3-subsection version):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3.1 Hydraulic transport and residence-time distributions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3.2 Transformation, partitioning and biological interactions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3.3 Sedimentation, resuspension and memory effects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3.4 Rainfall, infiltration, overflow and warm-season forcing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3.5 Amplitude, temporal and spatial distortion</w:t>
      </w:r>
    </w:p>
    <w:p>
      <w:pPr>
        <w:pStyle w:val="BodyText"/>
      </w:pPr>
      <w:r>
        <w:t xml:space="preserve">Organized around one core conclusion, stated once and not re-derived per subsection:</w:t>
      </w:r>
      <w:r>
        <w:t xml:space="preserve"> </w:t>
      </w:r>
      <w:r>
        <w:rPr>
          <w:bCs/>
          <w:b/>
        </w:rPr>
        <w:t xml:space="preserve">the sewer network is an active information filter, not a passive conduit.</w:t>
      </w:r>
      <w:r>
        <w:t xml:space="preserve"> </w:t>
      </w:r>
      <w:r>
        <w:t xml:space="preserve">“</w:t>
      </w:r>
      <w:r>
        <w:t xml:space="preserve">Rainfall is not merely dilution</w:t>
      </w:r>
      <w:r>
        <w:t xml:space="preserve">”</w:t>
      </w:r>
      <w:r>
        <w:t xml:space="preserve"> </w:t>
      </w:r>
      <w:r>
        <w:t xml:space="preserve">is argued fully once (3.4) and referenced, not re-argued, wherever else it matters.</w:t>
      </w:r>
    </w:p>
    <w:p>
      <w:pPr>
        <w:pStyle w:val="BodyText"/>
      </w:pPr>
      <w:r>
        <w:rPr>
          <w:bCs/>
          <w:b/>
        </w:rPr>
        <w:t xml:space="preserve">Removed this round, per explicit instruction:</w:t>
      </w:r>
      <w:r>
        <w:t xml:space="preserve"> </w:t>
      </w:r>
      <w:r>
        <w:t xml:space="preserve">the repeated process-list structure from the source draft’s §4.1-§4.2 (each process named once here, not enumerated by amplitude/temporal/spatial tag every time); the repeated temperature caveat; the repeated residence-time warning; reconstruction-model technical detail reserved for Part 5; end-of-section structural-bridge prose.</w:t>
      </w:r>
    </w:p>
    <w:p>
      <w:pPr>
        <w:pStyle w:val="BodyText"/>
      </w:pPr>
      <w:r>
        <w:rPr>
          <w:bCs/>
          <w:b/>
        </w:rPr>
        <w:t xml:space="preserve">Evidence needing full-text verification:</w:t>
      </w:r>
      <w:r>
        <w:t xml:space="preserve"> </w:t>
      </w:r>
      <w:r>
        <w:t xml:space="preserve">Zhang et al. (2023) biofilm-decay figure; Jung et al. (2026) rate-constant comparisons; Guo et al. (2023) temperature threshold; Janssens et al. (2022) rain-correction improvement magnitude.</w:t>
      </w:r>
    </w:p>
    <w:p>
      <w:r>
        <w:pict>
          <v:rect style="width:0;height:1.5pt" o:hralign="center" o:hrstd="t" o:hr="t"/>
        </w:pict>
      </w:r>
    </w:p>
    <w:bookmarkEnd w:id="25"/>
    <w:bookmarkStart w:id="26" w:name="Xfce1f1928b287d28fcd70171285ceb443f77fbb"/>
    <w:p>
      <w:pPr>
        <w:pStyle w:val="Heading2"/>
      </w:pPr>
      <w:r>
        <w:t xml:space="preserve">Part 4. Observation and normalization (target 1,175; drafted this round)</w:t>
      </w:r>
    </w:p>
    <w:p>
      <w:pPr>
        <w:pStyle w:val="FirstParagraph"/>
      </w:pPr>
      <w:r>
        <w:rPr>
          <w:bCs/>
          <w:b/>
        </w:rPr>
        <w:t xml:space="preserve">Final structure (per §5 of this round’s instruction, replacing Phase 1’s differently-scoped 4-subsection version):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4.1 Sampling and analytical observation</w:t>
      </w:r>
      <w:r>
        <w:t xml:space="preserve"> </w:t>
      </w:r>
      <w:r>
        <w:t xml:space="preserve">(target 250-300)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4.2 Flow and population normalization</w:t>
      </w:r>
      <w:r>
        <w:t xml:space="preserve"> </w:t>
      </w:r>
      <w:r>
        <w:t xml:space="preserve">(target 300-350)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4.3 Biomarker normalization and fate matching</w:t>
      </w:r>
      <w:r>
        <w:t xml:space="preserve"> </w:t>
      </w:r>
      <w:r>
        <w:t xml:space="preserve">(target 300-350)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4.4 When normalization fails</w:t>
      </w:r>
      <w:r>
        <w:t xml:space="preserve"> </w:t>
      </w:r>
      <w:r>
        <w:t xml:space="preserve">(target 250-300)</w:t>
      </w:r>
    </w:p>
    <w:p>
      <w:pPr>
        <w:pStyle w:val="BodyText"/>
      </w:pPr>
      <w:r>
        <w:t xml:space="preserve">Core proposition, stated once and preserved verbatim: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Normalization is a mechanism-specific correction, not reconstruction of the source state.</w:t>
      </w:r>
      <w:r>
        <w:rPr>
          <w:bCs/>
          <w:b/>
        </w:rPr>
        <w:t xml:space="preserve">”</w:t>
      </w:r>
      <w:r>
        <w:t xml:space="preserve"> </w:t>
      </w:r>
      <w:r>
        <w:t xml:space="preserve">Only one in-text table is retained here —</w:t>
      </w:r>
      <w:r>
        <w:t xml:space="preserve"> </w:t>
      </w:r>
      <w:r>
        <w:rPr>
          <w:bCs/>
          <w:b/>
        </w:rPr>
        <w:t xml:space="preserve">Table 2. Normalization strategy, corrected mechanism, required assumption and residual uncertainty</w:t>
      </w:r>
      <w:r>
        <w:t xml:space="preserve"> </w:t>
      </w:r>
      <w:r>
        <w:t xml:space="preserve">— with all per-biomarker narrative evidence, extended candidate-normalizer comparisons, and the full method-assumption-limitation matrix moved to SI (per §5’s explicit SI-destination list).</w:t>
      </w:r>
    </w:p>
    <w:p>
      <w:pPr>
        <w:pStyle w:val="BodyText"/>
      </w:pPr>
      <w:r>
        <w:rPr>
          <w:bCs/>
          <w:b/>
        </w:rPr>
        <w:t xml:space="preserve">Compression-risk note (unchanged in substance from Phase 1, now sharper):</w:t>
      </w:r>
      <w:r>
        <w:t xml:space="preserve"> </w:t>
      </w:r>
      <w:r>
        <w:t xml:space="preserve">this part compresses source Chapters 5+6 (~11,800 words) into ~1,175 words — a ~90% reduction. This is achievable only because nearly all per-study evidentiary detail moves to SI (Table 2 in-text carries the pattern-level finding, not the individual-study narrative) — flagged for author confirmation, not silently assumed.</w:t>
      </w:r>
    </w:p>
    <w:p>
      <w:pPr>
        <w:pStyle w:val="BodyText"/>
      </w:pPr>
      <w:r>
        <w:rPr>
          <w:bCs/>
          <w:b/>
        </w:rPr>
        <w:t xml:space="preserve">Evidence needing full-text verification:</w:t>
      </w:r>
      <w:r>
        <w:t xml:space="preserve"> </w:t>
      </w:r>
      <w:r>
        <w:t xml:space="preserve">the highest concentration of pending-verification claims of any part (Rainey et al., Darling et al., Maal-Bared et al., Dhiyebi et al., Hsu et al., Chen et al., Chettleburgh et al., Langeveld et al., Baz-Lomba et al.) — carried as a single evidence-status pointer in the condensed draft rather than repeated after each claim, per this round’s explicit instruction against repeating</w:t>
      </w:r>
      <w:r>
        <w:t xml:space="preserve"> </w:t>
      </w:r>
      <w:r>
        <w:t xml:space="preserve">“</w:t>
      </w:r>
      <w:r>
        <w:t xml:space="preserve">pending full-text verification</w:t>
      </w:r>
      <w:r>
        <w:t xml:space="preserve">”</w:t>
      </w:r>
      <w:r>
        <w:t xml:space="preserve"> </w:t>
      </w:r>
      <w:r>
        <w:t xml:space="preserve">throughout the body text.</w:t>
      </w:r>
    </w:p>
    <w:p>
      <w:r>
        <w:pict>
          <v:rect style="width:0;height:1.5pt" o:hralign="center" o:hrstd="t" o:hr="t"/>
        </w:pict>
      </w:r>
    </w:p>
    <w:bookmarkEnd w:id="26"/>
    <w:bookmarkStart w:id="32" w:name="Xf194a5df6f1b1f764df023fe37dcbc23be8de7b"/>
    <w:p>
      <w:pPr>
        <w:pStyle w:val="Heading2"/>
      </w:pPr>
      <w:r>
        <w:t xml:space="preserve">Part 5. Reconstruction, identifiability and uncertainty (target 1,500, range 1,450–1,550 —</w:t>
      </w:r>
      <w:r>
        <w:t xml:space="preserve"> </w:t>
      </w:r>
      <w:r>
        <w:rPr>
          <w:bCs/>
          <w:b/>
        </w:rPr>
        <w:t xml:space="preserve">drafted this round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Table 6 disposition (finalized in Phase 2A, executed this round):</w:t>
      </w:r>
      <w:r>
        <w:t xml:space="preserve"> </w:t>
      </w:r>
      <w:r>
        <w:t xml:space="preserve">the former Table 6 is not retained as an independent in-text table. Its full detail moved to</w:t>
      </w:r>
      <w:r>
        <w:t xml:space="preserve"> </w:t>
      </w:r>
      <w:r>
        <w:rPr>
          <w:bCs/>
          <w:b/>
        </w:rPr>
        <w:t xml:space="preserve">Table S5 (SI):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Uncertainty sources, propagation methods, validation requirements and residual limitations.</w:t>
      </w:r>
      <w:r>
        <w:rPr>
          <w:bCs/>
          <w:b/>
        </w:rPr>
        <w:t xml:space="preserve">”</w:t>
      </w:r>
      <w:r>
        <w:t xml:space="preserve"> </w:t>
      </w:r>
      <w:r>
        <w:t xml:space="preserve">4-6 items materially affecting model choice or interpretation are merged into the in-text</w:t>
      </w:r>
      <w:r>
        <w:t xml:space="preserve"> </w:t>
      </w:r>
      <w:r>
        <w:rPr>
          <w:bCs/>
          <w:b/>
        </w:rPr>
        <w:t xml:space="preserve">Table 3,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Model family, identifiability requirement, dominant uncertainty and minimum validation</w:t>
      </w:r>
      <w:r>
        <w:rPr>
          <w:bCs/>
          <w:b/>
        </w:rPr>
        <w:t xml:space="preserve">”</w:t>
      </w:r>
      <w:r>
        <w:t xml:space="preserve">, six columns: model family; inferential target; principal identifiability requirement; dominant uncertainty; minimum validation; principal failure mode — 5-6 rows, ~170-220 table words. No uncertainty source is fully restated in both prose, Table 3, and Table S5.</w:t>
      </w:r>
    </w:p>
    <w:bookmarkStart w:id="27" w:name="Xb92696dc660f286dab066c246b1089a33bea0e7"/>
    <w:p>
      <w:pPr>
        <w:pStyle w:val="Heading3"/>
      </w:pPr>
      <w:r>
        <w:t xml:space="preserve">5.1 Inferential targets and reconstruction models (~240 words)</w:t>
      </w:r>
    </w:p>
    <w:p>
      <w:pPr>
        <w:pStyle w:val="FirstParagraph"/>
      </w:pPr>
      <w:r>
        <w:t xml:space="preserve">Distinguishes trend detection, relative change, anomaly detection, absolute load, and prevalence/incidence/consumption/exposure estimation as targets requiring different model complexity and evidence; briefly compares direct mass balance, convolution models, empirical regression, mechanistic models, Bayesian/state-space models, and hybrid process-informed models without a per-model textbook listing.</w:t>
      </w:r>
    </w:p>
    <w:bookmarkEnd w:id="27"/>
    <w:bookmarkStart w:id="28" w:name="X1582d91d8013cf844523260e2fe78f8326c229c"/>
    <w:p>
      <w:pPr>
        <w:pStyle w:val="Heading3"/>
      </w:pPr>
      <w:r>
        <w:t xml:space="preserve">5.2 Identifiability and observability (~320 words)</w:t>
      </w:r>
    </w:p>
    <w:p>
      <w:pPr>
        <w:pStyle w:val="FirstParagraph"/>
      </w:pPr>
      <w:r>
        <w:t xml:space="preserve">Distinguishes structural identifiability, practical identifiability, parameter uncertainty, state observability, equifinality, and informative data design. Retains, argued once in the whole manuscript:</w:t>
      </w:r>
      <w:r>
        <w:t xml:space="preserve"> </w:t>
      </w:r>
      <w:r>
        <w:t xml:space="preserve">“</w:t>
      </w:r>
      <w:r>
        <w:t xml:space="preserve">A model may fit the observations while the target state remains non-identifiable,</w:t>
      </w:r>
      <w:r>
        <w:t xml:space="preserve">”</w:t>
      </w:r>
      <w:r>
        <w:t xml:space="preserve"> </w:t>
      </w:r>
      <w:r>
        <w:t xml:space="preserve">and that a narrow posterior does not automatically equal true certainty (canonical location, per the Phase 1 Overlap Audit — not re-argued in Part 6).</w:t>
      </w:r>
    </w:p>
    <w:bookmarkEnd w:id="28"/>
    <w:bookmarkStart w:id="29" w:name="Xc00c562bd38942cc4fc9482c75139f6217e1962"/>
    <w:p>
      <w:pPr>
        <w:pStyle w:val="Heading3"/>
      </w:pPr>
      <w:r>
        <w:t xml:space="preserve">5.3 Validation according to inferential purpose (~280 words)</w:t>
      </w:r>
    </w:p>
    <w:p>
      <w:pPr>
        <w:pStyle w:val="FirstParagraph"/>
      </w:pPr>
      <w:r>
        <w:t xml:space="preserve">Distinguishes internal fit, temporal holdout, external site validation, event-based validation, synthetic-state recovery, and decision-value validation. Retains: transferability cannot be shown by a single-point fit; validation must match the inferential target; predictive performance does not equal source-state recovery.</w:t>
      </w:r>
    </w:p>
    <w:bookmarkEnd w:id="29"/>
    <w:bookmarkStart w:id="30" w:name="uncertainty-propagation-320-words"/>
    <w:p>
      <w:pPr>
        <w:pStyle w:val="Heading3"/>
      </w:pPr>
      <w:r>
        <w:t xml:space="preserve">5.4 Uncertainty propagation (~320 words)</w:t>
      </w:r>
    </w:p>
    <w:p>
      <w:pPr>
        <w:pStyle w:val="FirstParagraph"/>
      </w:pPr>
      <w:r>
        <w:t xml:space="preserve">Covers input uncertainty, correlated parameters, ratio uncertainty, censoring/LOD, temporal dependence, structural uncertainty, scenario uncertainty, and propagation methods (Monte Carlo, Bayesian, ensemble) named by what problem each solves, not their technical mechanics.</w:t>
      </w:r>
    </w:p>
    <w:bookmarkEnd w:id="30"/>
    <w:bookmarkStart w:id="31" w:name="X4c9f8c8e079f1f2b50840817fb6f54258fc3fac"/>
    <w:p>
      <w:pPr>
        <w:pStyle w:val="Heading3"/>
      </w:pPr>
      <w:r>
        <w:t xml:space="preserve">5.5 From uncertainty intervals to defensible inference (~240 words)</w:t>
      </w:r>
    </w:p>
    <w:p>
      <w:pPr>
        <w:pStyle w:val="FirstParagraph"/>
      </w:pPr>
      <w:r>
        <w:t xml:space="preserve">Covers calibrated coverage, sensitivity analysis, value of information, uncertainty communication, decision thresholds, and residual irreducible uncertainty — a natural transition into Part 6, without a standalone</w:t>
      </w:r>
      <w:r>
        <w:t xml:space="preserve"> </w:t>
      </w:r>
      <w:r>
        <w:t xml:space="preserve">“</w:t>
      </w:r>
      <w:r>
        <w:t xml:space="preserve">structural bridge</w:t>
      </w:r>
      <w:r>
        <w:t xml:space="preserve">”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5b299c1c5ba696421876e0a87be41fdbd19dfb"/>
    <w:p>
      <w:pPr>
        <w:pStyle w:val="Heading2"/>
      </w:pPr>
      <w:r>
        <w:t xml:space="preserve">Part 6. From wastewater signals to public-health action (target 700, range 650–750 —</w:t>
      </w:r>
      <w:r>
        <w:t xml:space="preserve"> </w:t>
      </w:r>
      <w:r>
        <w:rPr>
          <w:bCs/>
          <w:b/>
        </w:rPr>
        <w:t xml:space="preserve">drafted this round</w:t>
      </w:r>
      <w:r>
        <w:t xml:space="preserve">)</w:t>
      </w:r>
    </w:p>
    <w:bookmarkStart w:id="33" w:name="Xf52d25ceb24c44b09fba071989f7546cd60749e"/>
    <w:p>
      <w:pPr>
        <w:pStyle w:val="Heading3"/>
      </w:pPr>
      <w:r>
        <w:t xml:space="preserve">6.1 Surveillance objectives and decision thresholds</w:t>
      </w:r>
    </w:p>
    <w:p>
      <w:pPr>
        <w:pStyle w:val="FirstParagraph"/>
      </w:pPr>
      <w:r>
        <w:t xml:space="preserve">Trend, anomaly, absolute magnitude; false alarm; missed detection; threshold transportability.</w:t>
      </w:r>
    </w:p>
    <w:bookmarkEnd w:id="33"/>
    <w:bookmarkStart w:id="34" w:name="multi-source-interpretation"/>
    <w:p>
      <w:pPr>
        <w:pStyle w:val="Heading3"/>
      </w:pPr>
      <w:r>
        <w:t xml:space="preserve">6.2 Multi-source interpretation</w:t>
      </w:r>
    </w:p>
    <w:p>
      <w:pPr>
        <w:pStyle w:val="FirstParagraph"/>
      </w:pPr>
      <w:r>
        <w:t xml:space="preserve">Clinical surveillance, hospital/pharmacy data, mobility, weather, demographic context; data fusion does not automatically remove shared confounding, time lag, or selection bias.</w:t>
      </w:r>
    </w:p>
    <w:bookmarkEnd w:id="34"/>
    <w:bookmarkStart w:id="35" w:name="actionability-limits-and-ethics"/>
    <w:p>
      <w:pPr>
        <w:pStyle w:val="Heading3"/>
      </w:pPr>
      <w:r>
        <w:t xml:space="preserve">6.3 Actionability, limits and ethics</w:t>
      </w:r>
    </w:p>
    <w:p>
      <w:pPr>
        <w:pStyle w:val="FirstParagraph"/>
      </w:pPr>
      <w:r>
        <w:t xml:space="preserve">Merges: detectable-to-actionable conditions; WBE cannot provide individual diagnosis; non-sewered populations; small-catchment privacy; stigma; equity; minimum decision-readiness reporting. Does not repeat Part 5’s mathematical uncertainty-propagation content.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fda8f372351d7789b3dedbfa0659d1be036fc52"/>
    <w:p>
      <w:pPr>
        <w:pStyle w:val="Heading2"/>
      </w:pPr>
      <w:r>
        <w:t xml:space="preserve">Part 7. Enabling infrastructure and technology readiness (target 500, range 450–550 —</w:t>
      </w:r>
      <w:r>
        <w:t xml:space="preserve"> </w:t>
      </w:r>
      <w:r>
        <w:rPr>
          <w:bCs/>
          <w:b/>
        </w:rPr>
        <w:t xml:space="preserve">drafted this round</w:t>
      </w:r>
      <w:r>
        <w:t xml:space="preserve">)</w:t>
      </w:r>
    </w:p>
    <w:p>
      <w:pPr>
        <w:pStyle w:val="FirstParagraph"/>
      </w:pPr>
      <w:r>
        <w:t xml:space="preserve">Organized around three capability groups, not a technology-by-technology list:</w:t>
      </w:r>
    </w:p>
    <w:bookmarkStart w:id="37" w:name="process-resolving-infrastructure"/>
    <w:p>
      <w:pPr>
        <w:pStyle w:val="Heading3"/>
      </w:pPr>
      <w:r>
        <w:t xml:space="preserve">7.1 Process-resolving infrastructure</w:t>
      </w:r>
    </w:p>
    <w:p>
      <w:pPr>
        <w:pStyle w:val="FirstParagraph"/>
      </w:pPr>
      <w:r>
        <w:t xml:space="preserve">Distributed sampling, online covariates, digital twins, event-responsive monitoring.</w:t>
      </w:r>
    </w:p>
    <w:bookmarkEnd w:id="37"/>
    <w:bookmarkStart w:id="38" w:name="process-informed-analytics"/>
    <w:p>
      <w:pPr>
        <w:pStyle w:val="Heading3"/>
      </w:pPr>
      <w:r>
        <w:t xml:space="preserve">7.2 Process-informed analytics</w:t>
      </w:r>
    </w:p>
    <w:p>
      <w:pPr>
        <w:pStyle w:val="FirstParagraph"/>
      </w:pPr>
      <w:r>
        <w:t xml:space="preserve">Hybrid mechanistic-statistical models, physics-informed machine learning, interoperable metadata, standard reference materials, interlaboratory comparability.</w:t>
      </w:r>
    </w:p>
    <w:bookmarkEnd w:id="38"/>
    <w:bookmarkStart w:id="39" w:name="readiness-and-equitable-deployment"/>
    <w:p>
      <w:pPr>
        <w:pStyle w:val="Heading3"/>
      </w:pPr>
      <w:r>
        <w:t xml:space="preserve">7.3 Readiness and equitable deployment</w:t>
      </w:r>
    </w:p>
    <w:p>
      <w:pPr>
        <w:pStyle w:val="FirstParagraph"/>
      </w:pPr>
      <w:r>
        <w:t xml:space="preserve">Retains the readiness hierarchy (analytical detection → field validation → cross-site validation → operational integration → demonstrated decision value) and the proposition:</w:t>
      </w:r>
      <w:r>
        <w:t xml:space="preserve"> </w:t>
      </w:r>
      <w:r>
        <w:t xml:space="preserve">“</w:t>
      </w:r>
      <w:r>
        <w:t xml:space="preserve">Analytical novelty is not equivalent to epidemiological validity, operational readiness, or demonstrated decision value.</w:t>
      </w:r>
      <w:r>
        <w:t xml:space="preserve">”</w:t>
      </w:r>
      <w:r>
        <w:t xml:space="preserve"> </w:t>
      </w:r>
      <w:r>
        <w:t xml:space="preserve">Multi-omics, sensor-type, and AI-algorithm lists moved to SI.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7b30659854bcc99053112930a894a60b4adee2"/>
    <w:p>
      <w:pPr>
        <w:pStyle w:val="Heading2"/>
      </w:pPr>
      <w:r>
        <w:t xml:space="preserve">Part 8. Research priorities and conclusions (target 550, range 500–600 —</w:t>
      </w:r>
      <w:r>
        <w:t xml:space="preserve"> </w:t>
      </w:r>
      <w:r>
        <w:rPr>
          <w:bCs/>
          <w:b/>
        </w:rPr>
        <w:t xml:space="preserve">drafted this round</w:t>
      </w:r>
      <w:r>
        <w:t xml:space="preserve">)</w:t>
      </w:r>
    </w:p>
    <w:bookmarkStart w:id="41" w:name="testable-research-priorities"/>
    <w:p>
      <w:pPr>
        <w:pStyle w:val="Heading3"/>
      </w:pPr>
      <w:r>
        <w:t xml:space="preserve">8.1 Testable research priorities</w:t>
      </w:r>
    </w:p>
    <w:p>
      <w:pPr>
        <w:pStyle w:val="FirstParagraph"/>
      </w:pPr>
      <w:r>
        <w:t xml:space="preserve">Six priorities, ~40-50 words each, each naming an unresolved question, required design, and expected inferential gain — no</w:t>
      </w:r>
      <w:r>
        <w:t xml:space="preserve"> </w:t>
      </w:r>
      <w:r>
        <w:t xml:space="preserve">“</w:t>
      </w:r>
      <w:r>
        <w:t xml:space="preserve">more research is needed</w:t>
      </w:r>
      <w:r>
        <w:t xml:space="preserve">”</w:t>
      </w:r>
      <w:r>
        <w:t xml:space="preserve"> </w:t>
      </w:r>
      <w:r>
        <w:t xml:space="preserve">boilerplate.</w:t>
      </w:r>
    </w:p>
    <w:bookmarkEnd w:id="41"/>
    <w:bookmarkStart w:id="42" w:name="conclusions"/>
    <w:p>
      <w:pPr>
        <w:pStyle w:val="Heading3"/>
      </w:pPr>
      <w:r>
        <w:t xml:space="preserve">8.2 Conclusions</w:t>
      </w:r>
    </w:p>
    <w:p>
      <w:pPr>
        <w:pStyle w:val="FirstParagraph"/>
      </w:pPr>
      <w:r>
        <w:t xml:space="preserve">260-320 words, no citations, organized as 4-6 take-home implications in full-paragraph form; recovers the four original contributions; introduces no new claim not already discussed in the body.</w:t>
      </w:r>
    </w:p>
    <w:bookmarkEnd w:id="42"/>
    <w:bookmarkStart w:id="43" w:name="Xe6f03aafb9555f0ac8e3e3c842d7650a3d50b10"/>
    <w:p>
      <w:pPr>
        <w:pStyle w:val="Heading3"/>
      </w:pPr>
      <w:r>
        <w:t xml:space="preserve">8.1 Research priorities (350 words; capped at 5-7 testable tasks, per instruction — NOT an independent Chapter 11)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question:</w:t>
      </w:r>
      <w:r>
        <w:t xml:space="preserve"> </w:t>
      </w:r>
      <w:r>
        <w:t xml:space="preserve">What are the highest-priority, independently testable research tasks this review’s evidence base points to?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Candidate priorities</w:t>
      </w:r>
      <w:r>
        <w:t xml:space="preserve"> </w:t>
      </w:r>
      <w:r>
        <w:t xml:space="preserve">(to be finalized when this section is actually drafted; listed here only to confirm the 5-7 cap is achievable from material already in the source draft, not to pre-draft the content):</w:t>
      </w:r>
    </w:p>
    <w:p>
      <w:pPr>
        <w:numPr>
          <w:ilvl w:val="1"/>
          <w:numId w:val="1002"/>
        </w:numPr>
        <w:pStyle w:val="Compact"/>
      </w:pPr>
      <w:r>
        <w:t xml:space="preserve">Cross-population/cross-climate transfer validation of detection thresholds, AI models, and correction models (the three-times-argued transfer-validation principle, §9.2/§10.5/§10.9) — a single, well-designed multi-site transfer study could address all three surface instances at once.</w:t>
      </w:r>
    </w:p>
    <w:p>
      <w:pPr>
        <w:numPr>
          <w:ilvl w:val="1"/>
          <w:numId w:val="1002"/>
        </w:numPr>
        <w:pStyle w:val="Compact"/>
      </w:pPr>
      <w:r>
        <w:t xml:space="preserve">Structural-identifiability and state-observability diagnostics applied specifically to WBE reconstruction models (§7.3’s documented gap — general epidemic-modeling identifiability tools exist but are rarely applied to a wastewater observation equation).</w:t>
      </w:r>
    </w:p>
    <w:p>
      <w:pPr>
        <w:numPr>
          <w:ilvl w:val="1"/>
          <w:numId w:val="1002"/>
        </w:numPr>
        <w:pStyle w:val="Compact"/>
      </w:pPr>
      <w:r>
        <w:t xml:space="preserve">A dedicated multi-source (clinical + mobility + genomic + wastewater) fusion study, as opposed to the single-source multi-model ensemble study currently in the evidence base (§7.1.2’s named gap).</w:t>
      </w:r>
    </w:p>
    <w:p>
      <w:pPr>
        <w:numPr>
          <w:ilvl w:val="1"/>
          <w:numId w:val="1002"/>
        </w:numPr>
        <w:pStyle w:val="Compact"/>
      </w:pPr>
      <w:r>
        <w:t xml:space="preserve">Formal coverage/posterior-predictive-check validation of propagated uncertainty intervals against independent reference data (§8.16’s documented near-absence in applied WBE studies).</w:t>
      </w:r>
    </w:p>
    <w:p>
      <w:pPr>
        <w:numPr>
          <w:ilvl w:val="1"/>
          <w:numId w:val="1002"/>
        </w:numPr>
        <w:pStyle w:val="Compact"/>
      </w:pPr>
      <w:r>
        <w:t xml:space="preserve">A dedicated climate-transfer validation study for process-informed correction models under nonstationary rainfall regimes (§10.9’s named gap).</w:t>
      </w:r>
    </w:p>
    <w:p>
      <w:pPr>
        <w:numPr>
          <w:ilvl w:val="1"/>
          <w:numId w:val="1002"/>
        </w:numPr>
        <w:pStyle w:val="Compact"/>
      </w:pPr>
      <w:r>
        <w:t xml:space="preserve">Standardized minimum-reporting-schema adoption testing (§10.7) — does a shared metadata standard actually reduce the ambiguous-dataset-relationship problem this review’s own reference management encountered.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(optional 7th, if space allows)</w:t>
      </w:r>
      <w:r>
        <w:t xml:space="preserve"> </w:t>
      </w:r>
      <w:r>
        <w:t xml:space="preserve">An operational, decision-value-validated (TRL 6) deployment case study for any of the Chapter 10 technologies — none currently exists in this review’s evidence base.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chapters:</w:t>
      </w:r>
      <w:r>
        <w:t xml:space="preserve"> </w:t>
      </w:r>
      <w:r>
        <w:t xml:space="preserve">New content, synthesized from gaps already documented across Chapters 3-10 (each candidate above cites its source gap) — not requiring new literature search to identify the gaps themselves, though addressing them would.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Must-retain constraint:</w:t>
      </w:r>
      <w:r>
        <w:t xml:space="preserve"> </w:t>
      </w:r>
      <w:r>
        <w:t xml:space="preserve">Capped at 5-7 items; must not expand into a full standalone chapter.</w:t>
      </w:r>
    </w:p>
    <w:bookmarkEnd w:id="43"/>
    <w:bookmarkStart w:id="44" w:name="Xf85ec67e335c10a72de6dca15cb39ca2e810246"/>
    <w:p>
      <w:pPr>
        <w:pStyle w:val="Heading3"/>
      </w:pPr>
      <w:r>
        <w:t xml:space="preserve">8.2 Conclusions (350 words; 300-400 word range — NOT an independent Chapter 12)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Core question:</w:t>
      </w:r>
      <w:r>
        <w:t xml:space="preserve"> </w:t>
      </w:r>
      <w:r>
        <w:t xml:space="preserve">What does this review establish, and what does it explicitly not establish?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Must-retain arguments:</w:t>
      </w:r>
      <w:r>
        <w:t xml:space="preserve"> </w:t>
      </w:r>
      <w:r>
        <w:t xml:space="preserve">A restatement of the four original contributions (inverse-problem framing; amplitude-temporal-spatial distortion framework; normalization as mechanism-specific causal correction; identifiability- and uncertainty-aware reconstruction from detection to decision) in 1 sentence each; an explicit statement that this remains a conceptual synthesis pending formal systematic search and full-text verification (carried through, in compressed form, from the source draft’s standing evidentiary caveat) — this must survive compression, since overstating the manuscript’s evidentiary status in the one section most readers finish on is the single highest-risk overclaiming failure mode for this compression effort.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chapters:</w:t>
      </w:r>
      <w:r>
        <w:t xml:space="preserve"> </w:t>
      </w:r>
      <w:r>
        <w:t xml:space="preserve">New content — no current chapter is a</w:t>
      </w:r>
      <w:r>
        <w:t xml:space="preserve"> </w:t>
      </w:r>
      <w:r>
        <w:t xml:space="preserve">“</w:t>
      </w:r>
      <w:r>
        <w:t xml:space="preserve">conclusions</w:t>
      </w:r>
      <w:r>
        <w:t xml:space="preserve">”</w:t>
      </w:r>
      <w:r>
        <w:t xml:space="preserve"> </w:t>
      </w:r>
      <w:r>
        <w:t xml:space="preserve">chapter; loosely informed by current §1’s three organizing arguments, restated forward-looking rather than introductory.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Must-retain constraint:</w:t>
      </w:r>
      <w:r>
        <w:t xml:space="preserve"> </w:t>
      </w:r>
      <w:r>
        <w:t xml:space="preserve">300-400 words; must not expand into a full standalone chapter.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ed841de160d3ebcb7078c98bd6895f1f5da4408"/>
    <w:p>
      <w:pPr>
        <w:pStyle w:val="Heading2"/>
      </w:pPr>
      <w:r>
        <w:t xml:space="preserve">Four original contributions: protection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Figure/table carrying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Final-conclusion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Duplicate/repeated locations removed by this 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WBE as an inverse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1.1 (§1)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2.1 (§3.0)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1 (source-to-inference signal 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8.2 (Conclusions, 1-sentence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formal statement currently also appears, restated, in each chapter’s own opening bridge language (§5.0, §6.0, §7.0, §8.0, §9.0, §10.0) and again in the 6 end-matter Structural Bridge sections — this outline keeps one canonical statement (Part 2.1) and reduces every other occurrence to a short cross-reference, per the Overlap Audit’s largest single 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Amplitude-temporal-spatial distortion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1.1 / Part 2.1 (§1/§3.0)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Part 3 (§3-4)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2 (distortion framework diagram)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three-term taxonomy is defined once (§3.0/§1, currently duplicated) and then applied, not re-defined, in Chapters 5-10 — this outline preserves that discipline; the one duplication removed is the definition itself appearing twice in the current source (§1 and §3.0).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Normalization as mechanism-specific causal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4.2 (§6.0-§6.1)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 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 (normalization-assumption-residual-uncertainty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Normalization ≠ reconstruction</w:t>
            </w:r>
            <w:r>
              <w:t xml:space="preserve">”</w:t>
            </w:r>
            <w:r>
              <w:t xml:space="preserve"> </w:t>
            </w:r>
            <w:r>
              <w:t xml:space="preserve">proposition and the §6.6 joint-condition proposition are each stated once in the source draft already (no significant duplication found for this contribution specifically) — this outline’s main compression action is moving per-biomarker narrative evidence into the table, not removing conceptual duplication.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Identifiability- and uncertainty-aware reconstruction from detection to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5.1 (§7.0)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 (§7-8), extended into Part 6 (§9) and Part 7 (§10.10)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3 (reconstruction/uncertainty framework), Table 3 (model-identifiability-validation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contribution with the most internal duplication in the current source: the narrow-posterior-≠-identifiability point (Table 5 cell + §8.9), the validation-levels discussion (§7.5 + §8.16), and the transfer-validation principle (§9.2 + §10.5 + §10.9) are each stated in full 2-3 times — this outline consolidates each to one canonical location (Parts 5.2/5.4 merge point, 5.3 merge point, and 3.3/6.1/7.2 cross-reference chain respectively), per the Overlap Audit’s specific line items.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compression action in this outline weakens any of the four contributions’ full-strength statement</w:t>
      </w:r>
      <w:r>
        <w:t xml:space="preserve"> </w:t>
      </w:r>
      <w:r>
        <w:t xml:space="preserve">— every reduction applied to these rows is either (a) removal of a self-acknowledged verbatim restatement (the bridge sections, the narrow-posterior duplication, the transfer-validation triplication), or (b) moving</w:t>
      </w:r>
      <w:r>
        <w:t xml:space="preserve"> </w:t>
      </w:r>
      <w:r>
        <w:rPr>
          <w:iCs/>
          <w:i/>
        </w:rPr>
        <w:t xml:space="preserve">supporting evidence</w:t>
      </w:r>
      <w:r>
        <w:t xml:space="preserve"> </w:t>
      </w:r>
      <w:r>
        <w:t xml:space="preserve">(per-study narrative) to a table or SI while keeping the</w:t>
      </w:r>
      <w:r>
        <w:t xml:space="preserve"> </w:t>
      </w:r>
      <w:r>
        <w:rPr>
          <w:iCs/>
          <w:i/>
        </w:rPr>
        <w:t xml:space="preserve">conceptual claim</w:t>
      </w:r>
      <w:r>
        <w:t xml:space="preserve"> </w:t>
      </w:r>
      <w:r>
        <w:t xml:space="preserve">in full-strength prose. Where a genuine trade-off exists (Part 4’s ~89% compression ratio, Part 5.2’s dense method-family survey), it is flagged explicitly in that subsection above rather than silently absorbed.</w:t>
      </w:r>
    </w:p>
    <w:p>
      <w:r>
        <w:pict>
          <v:rect style="width:0;height:1.5pt" o:hralign="center" o:hrstd="t" o:hr="t"/>
        </w:pict>
      </w:r>
    </w:p>
    <w:bookmarkEnd w:id="46"/>
    <w:bookmarkStart w:id="47" w:name="X33564d2c2caf27c9428b9600c9daddae6d5f18d"/>
    <w:p>
      <w:pPr>
        <w:pStyle w:val="Heading2"/>
      </w:pPr>
      <w:r>
        <w:t xml:space="preserve">Figure and table inventory and disposition plan</w:t>
      </w:r>
    </w:p>
    <w:p>
      <w:pPr>
        <w:pStyle w:val="FirstParagraph"/>
      </w:pPr>
      <w:r>
        <w:rPr>
          <w:bCs/>
          <w:b/>
        </w:rPr>
        <w:t xml:space="preserve">Current inventory (counted from the source draft, not estimated):</w:t>
      </w:r>
      <w:r>
        <w:t xml:space="preserve"> </w:t>
      </w:r>
      <w:r>
        <w:t xml:space="preserve">3 figures (Fig 1 normalization decision tree, Fig 2 uncertainty chain, Fig 3 uncertainty budget network), 8 numbered tables (Table 1 developmental phases, Table 2 application taxonomy, Table 3 normalization matrix, Table 4 back-calculation method families, Table 5 per-study audit, Table 6 uncertainty source matrix, Table 7 surveillance objective matrix, Table 8 technology-readiness matrix), 4 boxes (Monte Carlo misspecification, nondetect reporting, detectable-vs-actionable, analytical-innovation-vs-epidemiological-value), plus 2 internal-audit tables not intended for submission (the Editorial self-check concept-threading table, and Table 5’s methodological role overlaps partially with internal audit purposes).</w:t>
      </w:r>
    </w:p>
    <w:p>
      <w:pPr>
        <w:pStyle w:val="BodyText"/>
      </w:pPr>
      <w:r>
        <w:rPr>
          <w:bCs/>
          <w:b/>
        </w:rPr>
        <w:t xml:space="preserve">Target inventory (per task §9, capped at 4 figures + 4 tables):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(none currently — 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1. Source-to-inference signal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figure shows the full §3.0→§9.7 pipeline end-to-end; this is the orienting figure a submission review needs and does not yet have as a single image.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(none currently — new, though §3.0’s amplitude/temporal/spatial prose could source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2. Amplitude-temporal-spatial distortion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three-term taxonomy visual; currently prose-only.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2 (uncertainty chain) + Figure 3 (uncertainty budget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3. Process-informed reconstruction and uncertainty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current uncertainty figures can likely merge into one framework diagram spanning reconstruction (Ch7) and uncertainty (Ch8) jointly, consistent with Part 5’s merged treatment.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 (normalization decision tree) + Table 8’s readiness-level concept + §9.7’s four actionability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merge/redesign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4. Detection-to-decision readiness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Consolidates the normalization decision tree, the actionability conditions, and the technology-readiness levels into one</w:t>
            </w:r>
            <w:r>
              <w:t xml:space="preserve"> </w:t>
            </w:r>
            <w:r>
              <w:t xml:space="preserve">“</w:t>
            </w:r>
            <w:r>
              <w:t xml:space="preserve">what has to be true before this is decision-ready</w:t>
            </w:r>
            <w:r>
              <w:t xml:space="preserve">”</w:t>
            </w:r>
            <w:r>
              <w:t xml:space="preserve"> </w:t>
            </w:r>
            <w:r>
              <w:t xml:space="preserve">pathway figure — the single biggest figure-count saving in this plan (3 source concepts into 1 target figure).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 (developmental phases)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scene-setting, not part of the four contributions.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 (application taxonomy)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reasoning as Table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 (normalization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retain/redesign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2. Normalization-assumption-residual-uncertainty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close to the target form; redesign for density (shorter cells, since it must absorb §6.4-6.5’s per-biomarker narrative that is being cut from prose).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 (back-calculation method families) + Table 5 (per-study audit) + up to 4-6 selected items from Table 6 (uncertainty source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3. Model-identifiability-validation matrix</w:t>
            </w:r>
            <w:r>
              <w:t xml:space="preserve"> </w:t>
            </w:r>
            <w:r>
              <w:t xml:space="preserve">— exactly six columns: model family; inferential target; principal identifiability requirement; dominant uncertainty; minimum validation; principal failure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this round (Phase 2A), closing the tension Phase 1 flagged.</w:t>
            </w:r>
            <w:r>
              <w:t xml:space="preserve"> </w:t>
            </w:r>
            <w:r>
              <w:t xml:space="preserve">Table 6 is not retained as an independent in-text table. Its full detail moves to Table S5 (SI); only the 4-6 uncertainty items that materially affect model choice or result interpretation are pulled into Table 3’s</w:t>
            </w:r>
            <w:r>
              <w:t xml:space="preserve"> </w:t>
            </w:r>
            <w:r>
              <w:t xml:space="preserve">“</w:t>
            </w:r>
            <w:r>
              <w:t xml:space="preserve">dominant uncertainty</w:t>
            </w:r>
            <w:r>
              <w:t xml:space="preserve">”</w:t>
            </w:r>
            <w:r>
              <w:t xml:space="preserve"> </w:t>
            </w:r>
            <w:r>
              <w:t xml:space="preserve">column, merged with the method-family/evidentiary content Tables 4-5 already carried. No uncertainty item may appear fully restated in main-text prose, Table 3, and Table S5 simultaneously (§四 of this round’s instruction).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6 (uncertainty source matrix), full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S5. Uncertainty sources, propagation methods, validation requirements and residual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density preserved for a reader who wants the complete uncertainty-source breakdown; this is where Table 6’s content that does NOT make Table 3’s 4-6-item cut still lives, not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7 (surveillance matrix) + Table 8 (technology-readiness matrix) + the five scattered minimum-reporting-requirement boxes (§5.7, §6.9, §7.7, §8.15, §9.8)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4. Minimum reporting and decision-readiness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Consolidates two source tables and five scattered</w:t>
            </w:r>
            <w:r>
              <w:t xml:space="preserve"> </w:t>
            </w:r>
            <w:r>
              <w:t xml:space="preserve">“</w:t>
            </w:r>
            <w:r>
              <w:t xml:space="preserve">minimum reporting requirements</w:t>
            </w:r>
            <w:r>
              <w:t xml:space="preserve">”</w:t>
            </w:r>
            <w:r>
              <w:t xml:space="preserve"> </w:t>
            </w:r>
            <w:r>
              <w:t xml:space="preserve">prose blocks (currently repeated in similar form at the end of five different chapters) into one framework table — this is simultaneously a figure-count reduction and one of the larger word-count savings in the whole compression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Boxes (4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retained as in-text callouts (not counted against the figure/table cap), rest cut or merged into table footnotes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Boxes are cheap in word count and high in clarity; the</w:t>
            </w:r>
            <w:r>
              <w:t xml:space="preserve"> </w:t>
            </w:r>
            <w:r>
              <w:t xml:space="preserve">“</w:t>
            </w:r>
            <w:r>
              <w:t xml:space="preserve">Why Monte Carlo does not solve model misspecification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Why analytical innovation does not guarantee epidemiological value</w:t>
            </w:r>
            <w:r>
              <w:t xml:space="preserve">”</w:t>
            </w:r>
            <w:r>
              <w:t xml:space="preserve"> </w:t>
            </w:r>
            <w:r>
              <w:t xml:space="preserve">boxes are the two strongest candidates to retain as short callouts given they state Original Contribution #4’s core caution in its sharpest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 self-check concept-threading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internal QA device, not submission content.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6 tension: resolved this round (was open in Phase 1).</w:t>
      </w:r>
      <w:r>
        <w:t xml:space="preserve"> </w:t>
      </w:r>
      <w:r>
        <w:t xml:space="preserve">The 4-table in-text cap is preserved (Table 1 Process-distortion-observable-correction, Table 2 Normalization strategy, Table 3 Model-identifiability-validation [now 6 columns, absorbing up to 6 Table-6-sourced items], Table 4 Minimum reporting/decision-readiness) with Table 6’s remaining detail in a new SI table (Table S5) rather than forcing a 5th in-text table or an oversized Table 3. This is now a closed decision, not an open question for Phase 2B.</w:t>
      </w:r>
    </w:p>
    <w:p>
      <w:r>
        <w:pict>
          <v:rect style="width:0;height:1.5pt" o:hralign="center" o:hrstd="t" o:hr="t"/>
        </w:pict>
      </w:r>
    </w:p>
    <w:bookmarkEnd w:id="47"/>
    <w:bookmarkStart w:id="48" w:name="Xd240aea4477a0be115ad3b460d38c014dab6b1f"/>
    <w:p>
      <w:pPr>
        <w:pStyle w:val="Heading2"/>
      </w:pPr>
      <w:r>
        <w:t xml:space="preserve">Research priorities and conclusions word-count discipline (restated from Part 8, per task §11)</w:t>
      </w:r>
    </w:p>
    <w:p>
      <w:pPr>
        <w:pStyle w:val="FirstParagraph"/>
      </w:pPr>
      <w:r>
        <w:t xml:space="preserve">Research priorities is capped at 5-7 independently testable tasks (see Part 8.1’s 6-item candidate list, with an optional 7th) and does not expand into an independent Chapter 11. Conclusions is capped at 300-400 words (see Part 8.2) and does not expand into an independent Chapter 12. Both caps are structural constraints on the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outline, not yet-drafted prose — no Chapter 11 or Chapter 12 content exists anywhere in this round’s deliverables, consistent with the task’s explicit instruction not to continue drafting either.</w:t>
      </w:r>
    </w:p>
    <w:bookmarkEnd w:id="48"/>
    <w:bookmarkEnd w:id="49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2026-07-18T14:43:37Z</dcterms:created>
  <dcterms:modified xsi:type="dcterms:W3CDTF">2026-07-18T14:43:37Z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