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07ad74c3e1f47ce6b4ba87ac222c20cb1ecd091"/>
    <w:p>
      <w:pPr>
        <w:pStyle w:val="Heading1"/>
      </w:pPr>
      <w:r>
        <w:t xml:space="preserve">Targeted Search Addendum — 11 Modules for Critical/High Evidence Recovery</w:t>
      </w:r>
    </w:p>
    <w:p>
      <w:pPr>
        <w:pStyle w:val="FirstParagraph"/>
      </w:pPr>
      <w:r>
        <w:rPr>
          <w:bCs/>
          <w:b/>
        </w:rPr>
        <w:t xml:space="preserve">Round:</w:t>
      </w:r>
      <w:r>
        <w:t xml:space="preserve"> </w:t>
      </w:r>
      <w:r>
        <w:t xml:space="preserve">Water Research compression, Phase 3A. 2026-07-18.</w:t>
      </w:r>
      <w:r>
        <w:t xml:space="preserve"> </w:t>
      </w:r>
      <w:r>
        <w:rPr>
          <w:bCs/>
          <w:b/>
        </w:rPr>
        <w:t xml:space="preserve">This document is search-reinforcement design only.</w:t>
      </w:r>
      <w:r>
        <w:t xml:space="preserve"> </w:t>
      </w:r>
      <w:r>
        <w:t xml:space="preserve">No search has been run against Web of Science, Scopus, PubMed, or any other database this round — this environment has no such access. No hit counts, screening numbers, or PRISMA figures appear anywhere below, and none should be inferred from this document. Each module states a gap, a search design, and the specific Critical/High claim IDs (from</w:t>
      </w:r>
      <w:r>
        <w:t xml:space="preserve"> </w:t>
      </w:r>
      <w:r>
        <w:rPr>
          <w:rStyle w:val="VerbatimChar"/>
        </w:rPr>
        <w:t xml:space="preserve">WBE_Review_Critical_Claim_Verification_Queue.csv</w:t>
      </w:r>
      <w:r>
        <w:t xml:space="preserve">) it is meant to resolve, so that whoever runs the eventual formal search (see</w:t>
      </w:r>
      <w:r>
        <w:t xml:space="preserve"> </w:t>
      </w:r>
      <w:r>
        <w:rPr>
          <w:rStyle w:val="VerbatimChar"/>
        </w:rPr>
        <w:t xml:space="preserve">systematic-review/README.md</w:t>
      </w:r>
      <w:r>
        <w:t xml:space="preserve"> </w:t>
      </w:r>
      <w:r>
        <w:t xml:space="preserve">for the execution pipeline) can proceed directly from this document without re-deriving the rationale.</w:t>
      </w:r>
    </w:p>
    <w:p>
      <w:pPr>
        <w:pStyle w:val="BodyText"/>
      </w:pPr>
      <w:r>
        <w:t xml:space="preserve">This addendum supplements, and does not replace,</w:t>
      </w:r>
      <w:r>
        <w:t xml:space="preserve"> </w:t>
      </w:r>
      <w:r>
        <w:rPr>
          <w:rStyle w:val="VerbatimChar"/>
        </w:rPr>
        <w:t xml:space="preserve">WBE_Review_Systematic_Search_Strategy.md</w:t>
      </w:r>
      <w:r>
        <w:t xml:space="preserve">’s existing core-plus-seven-module search strategy built for the full source draft. These 11 modules are narrower and specific to the 9 Critical + 7 High claims this round identified; several overlap conceptually with the earlier strategy’s modules and should be reconciled with it, not run twice from scratch, when a real search is eventually executed.</w:t>
      </w:r>
    </w:p>
    <w:p>
      <w:r>
        <w:pict>
          <v:rect style="width:0;height:1.5pt" o:hralign="center" o:hrstd="t" o:hr="t"/>
        </w:pict>
      </w:r>
    </w:p>
    <w:bookmarkStart w:id="20" w:name="module-1-sewer-transformation-biofilm"/>
    <w:p>
      <w:pPr>
        <w:pStyle w:val="Heading2"/>
      </w:pPr>
      <w:r>
        <w:t xml:space="preserve">Module 1 — Sewer transformation / biofilm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Evidence gap:</w:t>
      </w:r>
      <w:r>
        <w:t xml:space="preserve"> </w:t>
      </w:r>
      <w:r>
        <w:t xml:space="preserve">P3-3’s claim that microbial activity, not chemical hydrolysis, dominates viral-RNA loss in sewer biofilms rests on two abstract-checked sources ([16] Zhang et al. 2023, [9] Jung et al. 2026); full text is needed to confirm the mechanism was directly measured (e.g., via a biocide-inhibition control) rather than inferred from decay kinetics alone.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Database:</w:t>
      </w:r>
      <w:r>
        <w:t xml:space="preserve"> </w:t>
      </w:r>
      <w:r>
        <w:t xml:space="preserve">Web of Science, Scopus (biology/environmental-microbiology coverage), PubMed (secondary).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Core concept groups:</w:t>
      </w:r>
      <w:r>
        <w:t xml:space="preserve"> </w:t>
      </w:r>
      <w:r>
        <w:t xml:space="preserve">(sewer biofilm OR biofilm-associated) AND (SARS-CoV-2 OR viral RNA OR enteric virus) AND (decay OR degradation OR persistence) AND (mechanism OR microbial activity OR enzymatic OR hydrolysis).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Candidate search string:</w:t>
      </w:r>
      <w:r>
        <w:t xml:space="preserve"> </w:t>
      </w:r>
      <w:r>
        <w:rPr>
          <w:rStyle w:val="VerbatimChar"/>
        </w:rPr>
        <w:t xml:space="preserve">("sewer biofilm" OR "biofilm-associated") AND ("viral RNA" OR "SARS-CoV-2" OR "enteric virus") AND (decay OR degradation OR persistence) AND (mechanism OR "microbial activity" OR enzymatic)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Evidence types to include:</w:t>
      </w:r>
      <w:r>
        <w:t xml:space="preserve"> </w:t>
      </w:r>
      <w:r>
        <w:t xml:space="preserve">laboratory reactor studies, pipeline/sewer simulator studies, controlled decay-kinetics experiments with an explicit inhibition or sterilization control arm.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Exclusion conditions:</w:t>
      </w:r>
      <w:r>
        <w:t xml:space="preserve"> </w:t>
      </w:r>
      <w:r>
        <w:t xml:space="preserve">studies reporting decay without a biofilm-specific or mechanism-isolating experimental arm (e.g., bulk-liquid-only decay studies); non-peer-reviewed sources unless no peer-reviewed alternative exists.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Minimum acceptable evidence:</w:t>
      </w:r>
      <w:r>
        <w:t xml:space="preserve"> </w:t>
      </w:r>
      <w:r>
        <w:t xml:space="preserve">at least one peer-reviewed study with a direct experimental (not purely correlational) mechanism test.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Claim IDs to resolve:</w:t>
      </w:r>
      <w:r>
        <w:t xml:space="preserve"> </w:t>
      </w:r>
      <w:r>
        <w:t xml:space="preserve">P3-3.</w:t>
      </w:r>
    </w:p>
    <w:bookmarkEnd w:id="20"/>
    <w:bookmarkStart w:id="21" w:name="Xcf3164dbd0142c3f4eef1b2883c01ea9ad43c59"/>
    <w:p>
      <w:pPr>
        <w:pStyle w:val="Heading2"/>
      </w:pPr>
      <w:r>
        <w:t xml:space="preserve">Module 2 — Rainfall / infiltration / hydraulic disturbance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Evidence gap:</w:t>
      </w:r>
      <w:r>
        <w:t xml:space="preserve"> </w:t>
      </w:r>
      <w:r>
        <w:t xml:space="preserve">P3-7’s correlation-improvement finding ([8] Janssens et al. 2022) and P3-9’s cross-hydrologic-condition synthesis ([13] Rainey et al. 2023, [3] Darling et al. 2025) both need full text to confirm effect magnitude, statistical significance, replication across a second country/climate, and exact site counts and infiltration/inflow (I&amp;I) severity classifications.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Database:</w:t>
      </w:r>
      <w:r>
        <w:t xml:space="preserve"> </w:t>
      </w:r>
      <w:r>
        <w:t xml:space="preserve">Web of Science, Scopus.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Core concept groups:</w:t>
      </w:r>
      <w:r>
        <w:t xml:space="preserve"> </w:t>
      </w:r>
      <w:r>
        <w:t xml:space="preserve">(rainfall OR precipitation OR</w:t>
      </w:r>
      <w:r>
        <w:t xml:space="preserve"> </w:t>
      </w:r>
      <w:r>
        <w:t xml:space="preserve">“</w:t>
      </w:r>
      <w:r>
        <w:t xml:space="preserve">wet weather</w:t>
      </w:r>
      <w:r>
        <w:t xml:space="preserve">”</w:t>
      </w:r>
      <w:r>
        <w:t xml:space="preserve">) AND (infiltration OR inflow OR I&amp;I) AND (wastewater OR sewer OR sewershed) AND (surveillance OR normalization OR correlation) AND (SARS-CoV-2 OR COVID-19).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Candidate search string:</w:t>
      </w:r>
      <w:r>
        <w:t xml:space="preserve"> </w:t>
      </w:r>
      <w:r>
        <w:rPr>
          <w:rStyle w:val="VerbatimChar"/>
        </w:rPr>
        <w:t xml:space="preserve">(rainfall OR precipitation OR "wet weather" OR infiltration OR "inflow and infiltration") AND (wastewater-based epidemiology OR WBE OR "sewage surveillance") AND (correlation OR normalization OR dilution)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Evidence types to include:</w:t>
      </w:r>
      <w:r>
        <w:t xml:space="preserve"> </w:t>
      </w:r>
      <w:r>
        <w:t xml:space="preserve">multi-site field studies explicitly comparing wet- and dry-weather performance; hydraulic/hydrologic studies with paired wastewater-surveillance outcomes.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Exclusion conditions:</w:t>
      </w:r>
      <w:r>
        <w:t xml:space="preserve"> </w:t>
      </w:r>
      <w:r>
        <w:t xml:space="preserve">single-site studies presented as if generalizable without an explicit generalization caveat; studies that measure rainfall only as a covariate without reporting the correlation-improvement magnitude itself.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Minimum acceptable evidence:</w:t>
      </w:r>
      <w:r>
        <w:t xml:space="preserve"> </w:t>
      </w:r>
      <w:r>
        <w:t xml:space="preserve">for P3-9’s cross-hydrologic claim specifically, at least two independent settings or one explicit multi-site study (per this round’s cross-population evidence threshold); for P3-7, the original full text with the actual reported statistic.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Claim IDs to resolve:</w:t>
      </w:r>
      <w:r>
        <w:t xml:space="preserve"> </w:t>
      </w:r>
      <w:r>
        <w:t xml:space="preserve">P3-7, P3-9 (primary); P3-6 (secondary — see Module 3 for the sub-mechanism-specific search).</w:t>
      </w:r>
    </w:p>
    <w:bookmarkEnd w:id="21"/>
    <w:bookmarkStart w:id="22" w:name="X1c6b530fb10c0114b6f3bc298ac6bba5e7de6ec"/>
    <w:p>
      <w:pPr>
        <w:pStyle w:val="Heading2"/>
      </w:pPr>
      <w:r>
        <w:t xml:space="preserve">Module 3 — Sedimentation / resuspension / sewer memory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Evidence gap:</w:t>
      </w:r>
      <w:r>
        <w:t xml:space="preserve"> </w:t>
      </w:r>
      <w:r>
        <w:t xml:space="preserve">P3-6 asserts three specific sub-mechanisms by which rainfall affects wastewater signals beyond simple dilution — sediment resuspension during storms, retention-time shortening, and sub-catchment weight shift — with</w:t>
      </w:r>
      <w:r>
        <w:t xml:space="preserve"> </w:t>
      </w:r>
      <w:r>
        <w:rPr>
          <w:bCs/>
          <w:b/>
        </w:rPr>
        <w:t xml:space="preserve">no citation currently supporting any of the three</w:t>
      </w:r>
      <w:r>
        <w:t xml:space="preserve"> </w:t>
      </w:r>
      <w:r>
        <w:t xml:space="preserve">individually. This is a genuine new-search gap, not a citation-restoration gap (see</w:t>
      </w:r>
      <w:r>
        <w:t xml:space="preserve"> </w:t>
      </w:r>
      <w:r>
        <w:rPr>
          <w:rStyle w:val="VerbatimChar"/>
        </w:rPr>
        <w:t xml:space="preserve">WBE_Review_Full_Text_Request_List.csv</w:t>
      </w:r>
      <w:r>
        <w:t xml:space="preserve"> </w:t>
      </w:r>
      <w:r>
        <w:t xml:space="preserve">row</w:t>
      </w:r>
      <w:r>
        <w:t xml:space="preserve"> </w:t>
      </w:r>
      <w:r>
        <w:rPr>
          <w:rStyle w:val="VerbatimChar"/>
        </w:rPr>
        <w:t xml:space="preserve">CAND-P3-6-A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Database:</w:t>
      </w:r>
      <w:r>
        <w:t xml:space="preserve"> </w:t>
      </w:r>
      <w:r>
        <w:t xml:space="preserve">Web of Science, Scopus (civil/environmental engineering and sewer-hydraulics coverage).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Core concept groups:</w:t>
      </w:r>
      <w:r>
        <w:t xml:space="preserve"> </w:t>
      </w:r>
      <w:r>
        <w:t xml:space="preserve">(sediment resuspension OR</w:t>
      </w:r>
      <w:r>
        <w:t xml:space="preserve"> </w:t>
      </w:r>
      <w:r>
        <w:t xml:space="preserve">“</w:t>
      </w:r>
      <w:r>
        <w:t xml:space="preserve">sewer sediment</w:t>
      </w:r>
      <w:r>
        <w:t xml:space="preserve">”</w:t>
      </w:r>
      <w:r>
        <w:t xml:space="preserve">) AND (storm OR</w:t>
      </w:r>
      <w:r>
        <w:t xml:space="preserve"> </w:t>
      </w:r>
      <w:r>
        <w:t xml:space="preserve">“</w:t>
      </w:r>
      <w:r>
        <w:t xml:space="preserve">wet weather</w:t>
      </w:r>
      <w:r>
        <w:t xml:space="preserve">”</w:t>
      </w:r>
      <w:r>
        <w:t xml:space="preserve"> </w:t>
      </w:r>
      <w:r>
        <w:t xml:space="preserve">OR rainfall) AND (retention time OR hydraulic residence time) AND (sewershed OR sub-catchment OR</w:t>
      </w:r>
      <w:r>
        <w:t xml:space="preserve"> </w:t>
      </w:r>
      <w:r>
        <w:t xml:space="preserve">“</w:t>
      </w:r>
      <w:r>
        <w:t xml:space="preserve">contributing area</w:t>
      </w:r>
      <w:r>
        <w:t xml:space="preserve">”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Candidate search string:</w:t>
      </w:r>
      <w:r>
        <w:t xml:space="preserve"> </w:t>
      </w:r>
      <w:r>
        <w:rPr>
          <w:rStyle w:val="VerbatimChar"/>
        </w:rPr>
        <w:t xml:space="preserve">("sewer sediment" OR "in-sewer sediment") AND (resuspension OR remobilization) AND (storm OR rainfall OR "wet weather")</w:t>
      </w:r>
      <w:r>
        <w:t xml:space="preserve"> </w:t>
      </w:r>
      <w:r>
        <w:t xml:space="preserve">— run as a separate query from</w:t>
      </w:r>
      <w:r>
        <w:t xml:space="preserve"> </w:t>
      </w:r>
      <w:r>
        <w:rPr>
          <w:rStyle w:val="VerbatimChar"/>
        </w:rPr>
        <w:t xml:space="preserve">(hydraulic retention time OR residence time) AND (sewer OR wastewater collection system) AND (storm OR rainfall)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Evidence types to include:</w:t>
      </w:r>
      <w:r>
        <w:t xml:space="preserve"> </w:t>
      </w:r>
      <w:r>
        <w:t xml:space="preserve">sewer-hydraulics field or modeling studies; sediment-transport studies in combined or separate sewer systems, ideally with a wastewater-quality or pathogen-signal outcome.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Exclusion conditions:</w:t>
      </w:r>
      <w:r>
        <w:t xml:space="preserve"> </w:t>
      </w:r>
      <w:r>
        <w:t xml:space="preserve">general urban-drainage hydraulics studies with no wastewater-quality or signal-interpretation link; studies limited to stormwater-only systems with no sanitary/combined-sewer relevance.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Minimum acceptable evidence:</w:t>
      </w:r>
      <w:r>
        <w:t xml:space="preserve"> </w:t>
      </w:r>
      <w:r>
        <w:t xml:space="preserve">direct observational or experimental verification per mechanism (this is a mechanistic claim type — correlational evidence alone does not qualify, per this round’s evidence thresholds).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Claim IDs to resolve:</w:t>
      </w:r>
      <w:r>
        <w:t xml:space="preserve"> </w:t>
      </w:r>
      <w:r>
        <w:t xml:space="preserve">P3-6.</w:t>
      </w:r>
    </w:p>
    <w:bookmarkEnd w:id="22"/>
    <w:bookmarkStart w:id="23" w:name="Xef7dfe091d0dc56092d74a1edcbd6dba2375016"/>
    <w:p>
      <w:pPr>
        <w:pStyle w:val="Heading2"/>
      </w:pPr>
      <w:r>
        <w:t xml:space="preserve">Module 4 — Wastewater normalization biomarkers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Evidence gap:</w:t>
      </w:r>
      <w:r>
        <w:t xml:space="preserve"> </w:t>
      </w:r>
      <w:r>
        <w:t xml:space="preserve">P4-6/P4-10’s biomarker-performance claims (creatinine/cotinine via Chen et al. 2014 [30]; PMMoV via Maal-Bared et al. 2023 [28]; crAssphage via Dhiyebi et al. 2023 [29]) are citation-attribution gaps, not full-text gaps — these sources already exist in</w:t>
      </w:r>
      <w:r>
        <w:t xml:space="preserve"> </w:t>
      </w:r>
      <w:r>
        <w:rPr>
          <w:rStyle w:val="VerbatimChar"/>
        </w:rPr>
        <w:t xml:space="preserve">WBE_Review_References.md</w:t>
      </w:r>
      <w:r>
        <w:t xml:space="preserve"> </w:t>
      </w:r>
      <w:r>
        <w:t xml:space="preserve">and need only full-text confirmation of the specific site counts and performance directions already summarized. P4-5’s industrial/non-domestic-discharge-limits-on-flow-normalization claim is a genuine new-search gap with no existing citation at all.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Database:</w:t>
      </w:r>
      <w:r>
        <w:t xml:space="preserve"> </w:t>
      </w:r>
      <w:r>
        <w:t xml:space="preserve">Web of Science, Scopus, PubMed.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Core concept groups:</w:t>
      </w:r>
      <w:r>
        <w:t xml:space="preserve"> </w:t>
      </w:r>
      <w:r>
        <w:t xml:space="preserve">(population biomarker OR PMMoV OR crAssphage OR creatinine OR cotinine) AND (wastewater-based epidemiology OR normalization) AND (performance OR correlation OR lead time); separately, (industrial discharge OR non-domestic discharge OR trade waste) AND (flow normalization OR flow-based) AND (wastewater surveillance).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Candidate search string:</w:t>
      </w:r>
      <w:r>
        <w:t xml:space="preserve"> </w:t>
      </w:r>
      <w:r>
        <w:rPr>
          <w:rStyle w:val="VerbatimChar"/>
        </w:rPr>
        <w:t xml:space="preserve">(PMMoV OR crAssphage OR creatinine OR cotinine OR "population biomarker") AND ("wastewater-based epidemiology" OR normalization) AND (performance OR correlation)</w:t>
      </w:r>
      <w:r>
        <w:t xml:space="preserve"> </w:t>
      </w:r>
      <w:r>
        <w:t xml:space="preserve">— plus</w:t>
      </w:r>
      <w:r>
        <w:t xml:space="preserve"> </w:t>
      </w:r>
      <w:r>
        <w:rPr>
          <w:rStyle w:val="VerbatimChar"/>
        </w:rPr>
        <w:t xml:space="preserve">("industrial discharge" OR "non-domestic discharge" OR "trade waste") AND ("flow normalization" OR "wastewater surveillance")</w:t>
      </w:r>
      <w:r>
        <w:t xml:space="preserve"> </w:t>
      </w:r>
      <w:r>
        <w:t xml:space="preserve">for the P4-5 sub-item.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Evidence types to include:</w:t>
      </w:r>
      <w:r>
        <w:t xml:space="preserve"> </w:t>
      </w:r>
      <w:r>
        <w:t xml:space="preserve">multi-site or multi-method comparative biomarker-performance studies; utility/engineering studies quantifying industrial-discharge effects on flow-based population estimates.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Exclusion conditions:</w:t>
      </w:r>
      <w:r>
        <w:t xml:space="preserve"> </w:t>
      </w:r>
      <w:r>
        <w:t xml:space="preserve">single-biomarker studies with no comparative baseline (for the performance-direction claim specifically); conference abstracts or non-peer-reviewed grey literature unless no alternative exists for the industrial-discharge sub-claim.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Minimum acceptable evidence:</w:t>
      </w:r>
      <w:r>
        <w:t xml:space="preserve"> </w:t>
      </w:r>
      <w:r>
        <w:t xml:space="preserve">original full text with explicit sample/scenario/method for the three named biomarker studies (a citation-restoration task, addressable immediately per</w:t>
      </w:r>
      <w:r>
        <w:t xml:space="preserve"> </w:t>
      </w:r>
      <w:r>
        <w:rPr>
          <w:rStyle w:val="VerbatimChar"/>
        </w:rPr>
        <w:t xml:space="preserve">WBE_Review_Evidence_Recovery_Plan.md</w:t>
      </w:r>
      <w:r>
        <w:t xml:space="preserve">); at least one peer-reviewed source, of any design, for the previously entirely-uncited industrial-discharge sub-claim.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Claim IDs to resolve:</w:t>
      </w:r>
      <w:r>
        <w:t xml:space="preserve"> </w:t>
      </w:r>
      <w:r>
        <w:t xml:space="preserve">P4-6, P4-10 (citation restoration); P4-5 (new search, industrial-discharge sub-item only).</w:t>
      </w:r>
    </w:p>
    <w:bookmarkEnd w:id="23"/>
    <w:bookmarkStart w:id="24" w:name="module-5-target-normalizer-fate-matching"/>
    <w:p>
      <w:pPr>
        <w:pStyle w:val="Heading2"/>
      </w:pPr>
      <w:r>
        <w:t xml:space="preserve">Module 5 — Target-normalizer fate matching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Evidence gap:</w:t>
      </w:r>
      <w:r>
        <w:t xml:space="preserve"> </w:t>
      </w:r>
      <w:r>
        <w:t xml:space="preserve">the broader Part 4/SI argument (not itself a single Critical/High row, but the evidentiary basis underlying P4-10’s Table 2 and the SI’s normalizer-performance detail) that a normalizer should share transport and decay characteristics with its target analyte. This module supports the general evidence base rather than a single named claim.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Database:</w:t>
      </w:r>
      <w:r>
        <w:t xml:space="preserve"> </w:t>
      </w:r>
      <w:r>
        <w:t xml:space="preserve">Web of Science, Scopus.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Core concept groups:</w:t>
      </w:r>
      <w:r>
        <w:t xml:space="preserve"> </w:t>
      </w:r>
      <w:r>
        <w:t xml:space="preserve">(fate OR transport OR decay) AND (target analyte OR pathogen) AND (normalizer OR population marker) AND (matching OR co-behavior OR</w:t>
      </w:r>
      <w:r>
        <w:t xml:space="preserve"> </w:t>
      </w:r>
      <w:r>
        <w:t xml:space="preserve">“</w:t>
      </w:r>
      <w:r>
        <w:t xml:space="preserve">differential decay</w:t>
      </w:r>
      <w:r>
        <w:t xml:space="preserve">”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Candidate search string:</w:t>
      </w:r>
      <w:r>
        <w:t xml:space="preserve"> </w:t>
      </w:r>
      <w:r>
        <w:rPr>
          <w:rStyle w:val="VerbatimChar"/>
        </w:rPr>
        <w:t xml:space="preserve">(fate OR transport OR decay) AND ("target analyte" OR pathogen OR biomarker) AND (normalizer OR "population marker") AND (matching OR "co-behavior" OR "differential decay")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Evidence types to include:</w:t>
      </w:r>
      <w:r>
        <w:t xml:space="preserve"> </w:t>
      </w:r>
      <w:r>
        <w:t xml:space="preserve">comparative fate/decay studies measuring both a target pathogen/analyte and a candidate normalizer under matched conditions.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Exclusion conditions:</w:t>
      </w:r>
      <w:r>
        <w:t xml:space="preserve"> </w:t>
      </w:r>
      <w:r>
        <w:t xml:space="preserve">studies measuring only one of the target or the normalizer, with no direct comparison.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Minimum acceptable evidence:</w:t>
      </w:r>
      <w:r>
        <w:t xml:space="preserve"> </w:t>
      </w:r>
      <w:r>
        <w:t xml:space="preserve">at least one comparative fate study per major normalizer class named in</w:t>
      </w:r>
      <w:r>
        <w:t xml:space="preserve"> </w:t>
      </w:r>
      <w:r>
        <w:rPr>
          <w:rStyle w:val="VerbatimChar"/>
        </w:rPr>
        <w:t xml:space="preserve">WBE_Review_Supplementary_Outline.md</w:t>
      </w:r>
      <w:r>
        <w:t xml:space="preserve"> </w:t>
      </w:r>
      <w:r>
        <w:t xml:space="preserve">§S5/§S6.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Claim IDs to resolve:</w:t>
      </w:r>
      <w:r>
        <w:t xml:space="preserve"> </w:t>
      </w:r>
      <w:r>
        <w:t xml:space="preserve">none individually (background support for P4-10 and the SI normalizer catalog).</w:t>
      </w:r>
    </w:p>
    <w:bookmarkEnd w:id="24"/>
    <w:bookmarkStart w:id="25" w:name="Xaf82e8f5994d1c0e75d9762d8f199a288ac5c7d"/>
    <w:p>
      <w:pPr>
        <w:pStyle w:val="Heading2"/>
      </w:pPr>
      <w:r>
        <w:t xml:space="preserve">Module 6 — Identifiability and observability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Evidence gap:</w:t>
      </w:r>
      <w:r>
        <w:t xml:space="preserve"> </w:t>
      </w:r>
      <w:r>
        <w:t xml:space="preserve">P5-2’s and P5-10’s claims about non-identifiability (a model may fit observations while the target state remains non-identifiable) and the specific claim that</w:t>
      </w:r>
      <w:r>
        <w:t xml:space="preserve"> </w:t>
      </w:r>
      <w:r>
        <w:t xml:space="preserve">“</w:t>
      </w:r>
      <w:r>
        <w:t xml:space="preserve">no formal observability analysis accompanies</w:t>
      </w:r>
      <w:r>
        <w:t xml:space="preserve">”</w:t>
      </w:r>
      <w:r>
        <w:t xml:space="preserve"> </w:t>
      </w:r>
      <w:r>
        <w:t xml:space="preserve">the Dai et al. 2024 [44] Bayesian estimates — the latter is an absence-of-evidence claim based on this review’s own search not finding something, and needs the full text checked directly to confirm the absence is genuine rather than a search-summary omission.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Database:</w:t>
      </w:r>
      <w:r>
        <w:t xml:space="preserve"> </w:t>
      </w:r>
      <w:r>
        <w:t xml:space="preserve">Web of Science, Scopus (applied mathematics/systems-engineering cross-listing likely needed).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Core concept groups:</w:t>
      </w:r>
      <w:r>
        <w:t xml:space="preserve"> </w:t>
      </w:r>
      <w:r>
        <w:t xml:space="preserve">(identifiability OR observability) AND (state-space OR Bayesian OR compartmental model) AND (wastewater-based epidemiology OR epidemiological inference).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Candidate search string:</w:t>
      </w:r>
      <w:r>
        <w:t xml:space="preserve"> </w:t>
      </w:r>
      <w:r>
        <w:rPr>
          <w:rStyle w:val="VerbatimChar"/>
        </w:rPr>
        <w:t xml:space="preserve">(identifiability OR observability OR "parameter identifiability") AND ("state-space model" OR "Bayesian model" OR compartmental) AND ("wastewater-based epidemiology" OR "wastewater surveillance")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Evidence types to include:</w:t>
      </w:r>
      <w:r>
        <w:t xml:space="preserve"> </w:t>
      </w:r>
      <w:r>
        <w:t xml:space="preserve">methodological/statistical papers directly addressing identifiability or observability in epidemiological state-space or Bayesian models; the full text of [44] Dai et al. 2024 itself, checked specifically for any observability analysis the abstract-level summary may have omitted.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Exclusion conditions:</w:t>
      </w:r>
      <w:r>
        <w:t xml:space="preserve"> </w:t>
      </w:r>
      <w:r>
        <w:t xml:space="preserve">papers using</w:t>
      </w:r>
      <w:r>
        <w:t xml:space="preserve"> </w:t>
      </w:r>
      <w:r>
        <w:t xml:space="preserve">“</w:t>
      </w:r>
      <w:r>
        <w:t xml:space="preserve">identifiability</w:t>
      </w:r>
      <w:r>
        <w:t xml:space="preserve">”</w:t>
      </w:r>
      <w:r>
        <w:t xml:space="preserve"> </w:t>
      </w:r>
      <w:r>
        <w:t xml:space="preserve">informally without a structural or practical identifiability analysis.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Minimum acceptable evidence:</w:t>
      </w:r>
      <w:r>
        <w:t xml:space="preserve"> </w:t>
      </w:r>
      <w:r>
        <w:t xml:space="preserve">the source actually checked recovery of the target state, not merely predictive fit to the observed signal (per this round’s model/validation evidence threshold).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Claim IDs to resolve:</w:t>
      </w:r>
      <w:r>
        <w:t xml:space="preserve"> </w:t>
      </w:r>
      <w:r>
        <w:t xml:space="preserve">P5-2, P5-10.</w:t>
      </w:r>
    </w:p>
    <w:bookmarkEnd w:id="25"/>
    <w:bookmarkStart w:id="26" w:name="X2854f6a83183cd0c0a38a723a2c50aa8b49bc1f"/>
    <w:p>
      <w:pPr>
        <w:pStyle w:val="Heading2"/>
      </w:pPr>
      <w:r>
        <w:t xml:space="preserve">Module 7 — Uncertainty propagation and coverage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Evidence gap:</w:t>
      </w:r>
      <w:r>
        <w:t xml:space="preserve"> </w:t>
      </w:r>
      <w:r>
        <w:t xml:space="preserve">P5-4’s and P5-6’s claims about uncertainty-propagation methods and interval coverage across the six model families in Table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Database:</w:t>
      </w:r>
      <w:r>
        <w:t xml:space="preserve"> </w:t>
      </w:r>
      <w:r>
        <w:t xml:space="preserve">Web of Science, Scopus.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Core concept groups:</w:t>
      </w:r>
      <w:r>
        <w:t xml:space="preserve"> </w:t>
      </w:r>
      <w:r>
        <w:t xml:space="preserve">(uncertainty propagation OR uncertainty quantification) AND (wastewater-based epidemiology) AND (coverage OR</w:t>
      </w:r>
      <w:r>
        <w:t xml:space="preserve"> </w:t>
      </w:r>
      <w:r>
        <w:t xml:space="preserve">“</w:t>
      </w:r>
      <w:r>
        <w:t xml:space="preserve">confidence interval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credible interval</w:t>
      </w:r>
      <w:r>
        <w:t xml:space="preserve">”</w:t>
      </w:r>
      <w:r>
        <w:t xml:space="preserve">) AND (validation).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Candidate search string:</w:t>
      </w:r>
      <w:r>
        <w:t xml:space="preserve"> </w:t>
      </w:r>
      <w:r>
        <w:rPr>
          <w:rStyle w:val="VerbatimChar"/>
        </w:rPr>
        <w:t xml:space="preserve">("uncertainty propagation" OR "uncertainty quantification") AND ("wastewater-based epidemiology" OR "wastewater surveillance") AND (coverage OR "prediction interval" OR "credible interval")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Evidence types to include:</w:t>
      </w:r>
      <w:r>
        <w:t xml:space="preserve"> </w:t>
      </w:r>
      <w:r>
        <w:t xml:space="preserve">methodological studies reporting actual interval-coverage validation (e.g., against held-out data), not just point-estimate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Exclusion conditions:</w:t>
      </w:r>
      <w:r>
        <w:t xml:space="preserve"> </w:t>
      </w:r>
      <w:r>
        <w:t xml:space="preserve">studies reporting only point estimates with no uncertainty interval at all.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Minimum acceptable evidence:</w:t>
      </w:r>
      <w:r>
        <w:t xml:space="preserve"> </w:t>
      </w:r>
      <w:r>
        <w:t xml:space="preserve">per the model/validation threshold, confirmation that reported intervals were checked against actual outcomes, not just internally generated.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Claim IDs to resolve:</w:t>
      </w:r>
      <w:r>
        <w:t xml:space="preserve"> </w:t>
      </w:r>
      <w:r>
        <w:t xml:space="preserve">P5-4, P5-6.</w:t>
      </w:r>
    </w:p>
    <w:bookmarkEnd w:id="26"/>
    <w:bookmarkStart w:id="27" w:name="module-8-cross-site-model-validation"/>
    <w:p>
      <w:pPr>
        <w:pStyle w:val="Heading2"/>
      </w:pPr>
      <w:r>
        <w:t xml:space="preserve">Module 8 — Cross-site model validation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Evidence gap:</w:t>
      </w:r>
      <w:r>
        <w:t xml:space="preserve"> </w:t>
      </w:r>
      <w:r>
        <w:t xml:space="preserve">P5-10’s Table 3 claims about each model family’s</w:t>
      </w:r>
      <w:r>
        <w:t xml:space="preserve"> </w:t>
      </w:r>
      <w:r>
        <w:t xml:space="preserve">“</w:t>
      </w:r>
      <w:r>
        <w:t xml:space="preserve">minimum validation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principal failure mode</w:t>
      </w:r>
      <w:r>
        <w:t xml:space="preserve">”</w:t>
      </w:r>
      <w:r>
        <w:t xml:space="preserve"> </w:t>
      </w:r>
      <w:r>
        <w:t xml:space="preserve">require confirmation that the underlying studies validated across more than one site where a cross-site claim is implied.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Database:</w:t>
      </w:r>
      <w:r>
        <w:t xml:space="preserve"> </w:t>
      </w:r>
      <w:r>
        <w:t xml:space="preserve">Web of Science, Scopus.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Core concept groups:</w:t>
      </w:r>
      <w:r>
        <w:t xml:space="preserve"> </w:t>
      </w:r>
      <w:r>
        <w:t xml:space="preserve">(model validation OR external validation) AND (multi-site OR cross-site OR</w:t>
      </w:r>
      <w:r>
        <w:t xml:space="preserve"> </w:t>
      </w:r>
      <w:r>
        <w:t xml:space="preserve">“</w:t>
      </w:r>
      <w:r>
        <w:t xml:space="preserve">multiple sewersheds</w:t>
      </w:r>
      <w:r>
        <w:t xml:space="preserve">”</w:t>
      </w:r>
      <w:r>
        <w:t xml:space="preserve">) AND (wastewater-based epidemiology).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Candidate search string:</w:t>
      </w:r>
      <w:r>
        <w:t xml:space="preserve"> </w:t>
      </w:r>
      <w:r>
        <w:rPr>
          <w:rStyle w:val="VerbatimChar"/>
        </w:rPr>
        <w:t xml:space="preserve">("external validation" OR "multi-site validation") AND ("wastewater-based epidemiology" OR "wastewater surveillance model") AND (sewershed OR "treatment plant")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Evidence types to include:</w:t>
      </w:r>
      <w:r>
        <w:t xml:space="preserve"> </w:t>
      </w:r>
      <w:r>
        <w:t xml:space="preserve">studies validating a reconstruction or inference model against held-out sites or held-out time periods.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Exclusion conditions:</w:t>
      </w:r>
      <w:r>
        <w:t xml:space="preserve"> </w:t>
      </w:r>
      <w:r>
        <w:t xml:space="preserve">studies validating only in-sample (same site, same period as calibration).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Minimum acceptable evidence:</w:t>
      </w:r>
      <w:r>
        <w:t xml:space="preserve"> </w:t>
      </w:r>
      <w:r>
        <w:t xml:space="preserve">at least one explicit multi-site validation per model family claimed as broadly applicable in Table 3, or an explicit single-site caveat added if none is found.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Claim IDs to resolve:</w:t>
      </w:r>
      <w:r>
        <w:t xml:space="preserve"> </w:t>
      </w:r>
      <w:r>
        <w:t xml:space="preserve">P5-10 (secondary to Module 6); P3-9 (secondary to Module 2).</w:t>
      </w:r>
    </w:p>
    <w:bookmarkEnd w:id="27"/>
    <w:bookmarkStart w:id="28" w:name="X337241ee0c5558482a0b46537f8fc1c556c00a4"/>
    <w:p>
      <w:pPr>
        <w:pStyle w:val="Heading2"/>
      </w:pPr>
      <w:r>
        <w:t xml:space="preserve">Module 9 — Alert thresholds and transportability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Evidence gap:</w:t>
      </w:r>
      <w:r>
        <w:t xml:space="preserve"> </w:t>
      </w:r>
      <w:r>
        <w:t xml:space="preserve">P6-1’s threshold-transportability conclusion currently rests on a single non-peer-reviewed preprint ([57] Link, Garrido, et al. 2026). This round applied Option C (narrowing the condensed-draft text; see</w:t>
      </w:r>
      <w:r>
        <w:t xml:space="preserve"> </w:t>
      </w:r>
      <w:r>
        <w:rPr>
          <w:rStyle w:val="VerbatimChar"/>
        </w:rPr>
        <w:t xml:space="preserve">WBE_Review_Evidence_Recovery_Plan.md</w:t>
      </w:r>
      <w:r>
        <w:t xml:space="preserve"> </w:t>
      </w:r>
      <w:r>
        <w:t xml:space="preserve">§3) in the absence of a formal version or independent second source. This module is the target search for Options A/B in a future round. P6-2’s multi-source objective-distinction example ([55] Assoum et al. 2023) also benefits from this module’s search.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Database:</w:t>
      </w:r>
      <w:r>
        <w:t xml:space="preserve"> </w:t>
      </w:r>
      <w:r>
        <w:t xml:space="preserve">Web of Science, Scopus, PubMed, and a direct medRxiv/preprint-server check for a published version of the same DOI/author pair.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Core concept groups:</w:t>
      </w:r>
      <w:r>
        <w:t xml:space="preserve"> </w:t>
      </w:r>
      <w:r>
        <w:t xml:space="preserve">(event detection OR outbreak detection OR alert threshold) AND (wastewater) AND (sensitivity OR</w:t>
      </w:r>
      <w:r>
        <w:t xml:space="preserve"> </w:t>
      </w:r>
      <w:r>
        <w:t xml:space="preserve">“</w:t>
      </w:r>
      <w:r>
        <w:t xml:space="preserve">predictive value</w:t>
      </w:r>
      <w:r>
        <w:t xml:space="preserve">”</w:t>
      </w:r>
      <w:r>
        <w:t xml:space="preserve"> </w:t>
      </w:r>
      <w:r>
        <w:t xml:space="preserve">OR performance).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Candidate search string:</w:t>
      </w:r>
      <w:r>
        <w:t xml:space="preserve"> </w:t>
      </w:r>
      <w:r>
        <w:rPr>
          <w:rStyle w:val="VerbatimChar"/>
        </w:rPr>
        <w:t xml:space="preserve">("event detection" OR "outbreak detection" OR "alert threshold") AND (wastewater) AND (sensitivity OR "predictive value")</w:t>
      </w:r>
      <w:r>
        <w:t xml:space="preserve"> </w:t>
      </w:r>
      <w:r>
        <w:t xml:space="preserve">— the same string already recorded in</w:t>
      </w:r>
      <w:r>
        <w:t xml:space="preserve"> </w:t>
      </w:r>
      <w:r>
        <w:rPr>
          <w:rStyle w:val="VerbatimChar"/>
        </w:rPr>
        <w:t xml:space="preserve">WBE_Review_Critical_Claim_Verification_Queue.csv</w:t>
      </w:r>
      <w:r>
        <w:t xml:space="preserve">’s P6-1 row, repeated here for the module-level record.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Evidence types to include:</w:t>
      </w:r>
      <w:r>
        <w:t xml:space="preserve"> </w:t>
      </w:r>
      <w:r>
        <w:t xml:space="preserve">peer-reviewed event/outbreak-detection performance studies against a clinical baseline, in any country or disease context; a formal published version of the Link/Garrido preprint specifically, if one exists.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Exclusion conditions:</w:t>
      </w:r>
      <w:r>
        <w:t xml:space="preserve"> </w:t>
      </w:r>
      <w:r>
        <w:t xml:space="preserve">preprints (already the current evidence base and insufficient alone); studies reporting only trend-monitoring correlation without an explicit event/outbreak-detection framing.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Minimum acceptable evidence:</w:t>
      </w:r>
      <w:r>
        <w:t xml:space="preserve"> </w:t>
      </w:r>
      <w:r>
        <w:t xml:space="preserve">either the formal peer-reviewed version of [57] (with the version relationship to the preprint recorded, not silently substituted) or at least one independent peer-reviewed study of comparable event-detection performance from a different team/scenario — i.e., Option A or B as originally specified.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Claim IDs to resolve:</w:t>
      </w:r>
      <w:r>
        <w:t xml:space="preserve"> </w:t>
      </w:r>
      <w:r>
        <w:t xml:space="preserve">P6-1 (primary); P6-2 (secondary).</w:t>
      </w:r>
    </w:p>
    <w:bookmarkEnd w:id="28"/>
    <w:bookmarkStart w:id="29" w:name="module-10-ethics-privacy-equity"/>
    <w:p>
      <w:pPr>
        <w:pStyle w:val="Heading2"/>
      </w:pPr>
      <w:r>
        <w:t xml:space="preserve">Module 10 — Ethics / privacy / equity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Evidence gap:</w:t>
      </w:r>
      <w:r>
        <w:t xml:space="preserve"> </w:t>
      </w:r>
      <w:r>
        <w:t xml:space="preserve">P6-4’s equity and re-identification claims ([51] Moallef et al. 2025, [52] Yu et al. 2024) need full text to confirm the single re-identification example’s details and the sewer-connectivity coverage-gap statistics, and to classify each supporting source correctly as normative recommendation, documented empirical harm, or theoretical/anticipated risk (per this round’s ethics-claim evidence threshold — guidance documents alone cannot prove a risk has actually occurred).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Database:</w:t>
      </w:r>
      <w:r>
        <w:t xml:space="preserve"> </w:t>
      </w:r>
      <w:r>
        <w:t xml:space="preserve">Web of Science, Scopus, PubMed (public-health-ethics and health-equity coverage).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Core concept groups:</w:t>
      </w:r>
      <w:r>
        <w:t xml:space="preserve"> </w:t>
      </w:r>
      <w:r>
        <w:t xml:space="preserve">(wastewater-based epidemiology OR wastewater surveillance) AND (equity OR ethics OR privacy) AND (re-identification OR</w:t>
      </w:r>
      <w:r>
        <w:t xml:space="preserve"> </w:t>
      </w:r>
      <w:r>
        <w:t xml:space="preserve">“</w:t>
      </w:r>
      <w:r>
        <w:t xml:space="preserve">individual privacy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community stigma</w:t>
      </w:r>
      <w:r>
        <w:t xml:space="preserve">”</w:t>
      </w:r>
      <w:r>
        <w:t xml:space="preserve">) AND (sewer connectivity OR coverage gap).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Candidate search string:</w:t>
      </w:r>
      <w:r>
        <w:t xml:space="preserve"> </w:t>
      </w:r>
      <w:r>
        <w:rPr>
          <w:rStyle w:val="VerbatimChar"/>
        </w:rPr>
        <w:t xml:space="preserve">("wastewater-based epidemiology" OR "wastewater surveillance") AND (equity OR privacy OR ethics) AND ("re-identification" OR "sewer connectivity" OR "coverage gap" OR stigma)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Evidence types to include:</w:t>
      </w:r>
      <w:r>
        <w:t xml:space="preserve"> </w:t>
      </w:r>
      <w:r>
        <w:t xml:space="preserve">empirical case studies documenting an actual re-identification or coverage-gap event; governance and guidance literature, explicitly tagged as normative rather than empirical; critical reviews synthesizing equity considerations.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Exclusion conditions:</w:t>
      </w:r>
      <w:r>
        <w:t xml:space="preserve"> </w:t>
      </w:r>
      <w:r>
        <w:t xml:space="preserve">normative or theoretical-risk sources cited as if they were documented empirical harms without the type distinction made explicit in the text.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Minimum acceptable evidence:</w:t>
      </w:r>
      <w:r>
        <w:t xml:space="preserve"> </w:t>
      </w:r>
      <w:r>
        <w:t xml:space="preserve">each cited source classified as normative-recommendation, documented-empirical-harm, or theoretical-risk, with the classification stated in the manuscript text, not left implicit.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Claim IDs to resolve:</w:t>
      </w:r>
      <w:r>
        <w:t xml:space="preserve"> </w:t>
      </w:r>
      <w:r>
        <w:t xml:space="preserve">P6-4.</w:t>
      </w:r>
    </w:p>
    <w:bookmarkEnd w:id="29"/>
    <w:bookmarkStart w:id="30" w:name="X8786367ae40d36a1e8207eafb546bf9adf2879d"/>
    <w:p>
      <w:pPr>
        <w:pStyle w:val="Heading2"/>
      </w:pPr>
      <w:r>
        <w:t xml:space="preserve">Module 11 — Reference materials and interlaboratory standardization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Evidence gap:</w:t>
      </w:r>
      <w:r>
        <w:t xml:space="preserve"> </w:t>
      </w:r>
      <w:r>
        <w:t xml:space="preserve">P4-2’s interlaboratory recovery/inhibition finding ([24] Pecson et al. 2021, a citation-restoration gap) and P7-2’s standardized-reporting/proficiency-testing conclusion ([64] Keenum et al. 2024, which also carries an unresolved duplicated-surname author-list inconsistency, independent of the full-text question).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Database:</w:t>
      </w:r>
      <w:r>
        <w:t xml:space="preserve"> </w:t>
      </w:r>
      <w:r>
        <w:t xml:space="preserve">Web of Science, Scopus.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Core concept groups:</w:t>
      </w:r>
      <w:r>
        <w:t xml:space="preserve"> </w:t>
      </w:r>
      <w:r>
        <w:t xml:space="preserve">(interlaboratory OR proficiency testing OR reference material) AND (wastewater-based epidemiology OR SARS-CoV-2 quantification) AND (standardization OR harmonization OR reporting).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Candidate search string:</w:t>
      </w:r>
      <w:r>
        <w:t xml:space="preserve"> </w:t>
      </w:r>
      <w:r>
        <w:rPr>
          <w:rStyle w:val="VerbatimChar"/>
        </w:rPr>
        <w:t xml:space="preserve">(interlaboratory OR "proficiency testing" OR "reference material") AND ("wastewater-based epidemiology" OR "SARS-CoV-2 quantification") AND (standardization OR harmonization)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Evidence types to include:</w:t>
      </w:r>
      <w:r>
        <w:t xml:space="preserve"> </w:t>
      </w:r>
      <w:r>
        <w:t xml:space="preserve">interlaboratory comparison/method-evaluation studies; standardization working-group position papers, tagged as normative rather than empirical where applicable.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Exclusion conditions:</w:t>
      </w:r>
      <w:r>
        <w:t xml:space="preserve"> </w:t>
      </w:r>
      <w:r>
        <w:t xml:space="preserve">single-laboratory method papers presented as if establishing an interlaboratory finding.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Minimum acceptable evidence:</w:t>
      </w:r>
      <w:r>
        <w:t xml:space="preserve"> </w:t>
      </w:r>
      <w:r>
        <w:t xml:space="preserve">the original Pecson et al. 2021 full text for P4-2 (citation restoration); for P7-2, confirmation that the standardization argument is corroborated by more than the one position paper, or an explicit single-source caveat if not.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 IDs to resolve:</w:t>
      </w:r>
      <w:r>
        <w:t xml:space="preserve"> </w:t>
      </w:r>
      <w:r>
        <w:t xml:space="preserve">P4-2, P7-2.</w:t>
      </w:r>
    </w:p>
    <w:p>
      <w:r>
        <w:pict>
          <v:rect style="width:0;height:1.5pt" o:hralign="center" o:hrstd="t" o:hr="t"/>
        </w:pict>
      </w:r>
    </w:p>
    <w:bookmarkEnd w:id="30"/>
    <w:bookmarkStart w:id="3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Eleven modules, covering all 9 Critical and 7 High claims from</w:t>
      </w:r>
      <w:r>
        <w:t xml:space="preserve"> </w:t>
      </w:r>
      <w:r>
        <w:rPr>
          <w:rStyle w:val="VerbatimChar"/>
        </w:rPr>
        <w:t xml:space="preserve">WBE_Review_Critical_Claim_Verification_Queue.csv</w:t>
      </w:r>
      <w:r>
        <w:t xml:space="preserve"> </w:t>
      </w:r>
      <w:r>
        <w:t xml:space="preserve">(several claims appear in more than one module where the evidence gap has more than one facet — e.g., P3-6 spans Modules 2 and 3, P5-10 spans Modules 6 and 8). No search was executed to produce this document; it is a design artifact only, meant to be handed directly to whoever runs the next formal search round using</w:t>
      </w:r>
      <w:r>
        <w:t xml:space="preserve"> </w:t>
      </w:r>
      <w:r>
        <w:rPr>
          <w:rStyle w:val="VerbatimChar"/>
        </w:rPr>
        <w:t xml:space="preserve">systematic-review/</w:t>
      </w:r>
      <w:r>
        <w:t xml:space="preserve">’s existing toolkit.</w:t>
      </w:r>
    </w:p>
    <w:bookmarkEnd w:id="31"/>
    <w:bookmarkEnd w:id="32"/>
    <w:sectPr>
      <w:pgSz w:h="15840" w:w="12240"/>
      <w:pgMar w:bottom="1008" w:left="864" w:right="864" w:top="10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2026-07-19T02:29:11Z</dcterms:created>
  <dcterms:modified xsi:type="dcterms:W3CDTF">2026-07-19T02:29:11Z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