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0.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Full conceptual source draft — not the submission-length manuscript</w:t>
      </w:r>
    </w:p>
    <w:p>
      <w:pPr>
        <w:pStyle w:val="BodyText"/>
      </w:pPr>
      <w:r>
        <w:t xml:space="preserve">This is the complete, unabridged 10-chapter conceptual working draft. The submission-length, evidence-recovery-tracked manuscript derived from it is</w:t>
      </w:r>
      <w:r>
        <w:t xml:space="preserve"> </w:t>
      </w:r>
      <w:r>
        <w:rPr>
          <w:rStyle w:val="VerbatimChar"/>
        </w:rPr>
        <w:t xml:space="preserve">WBE_Review_WR_Condensed_Draft.md</w:t>
      </w:r>
      <w:r>
        <w:t xml:space="preserve"> </w:t>
      </w:r>
      <w:r>
        <w:t xml:space="preserve">(see</w:t>
      </w:r>
      <w:r>
        <w:t xml:space="preserve"> </w:t>
      </w:r>
      <w:r>
        <w:rPr>
          <w:rStyle w:val="VerbatimChar"/>
        </w:rPr>
        <w:t xml:space="preserve">exports/condensed/</w:t>
      </w:r>
      <w:r>
        <w:t xml:space="preserve">). This file is provided as a full-content archive, not as the document to mark up or submit.</w:t>
      </w:r>
    </w:p>
    <w:p>
      <w:pPr>
        <w:pStyle w:val="BodyText"/>
      </w:pPr>
      <w:r>
        <w:t xml:space="preserve">Full-text verified: 0/67</w:t>
      </w:r>
      <w:r>
        <w:t xml:space="preserve"> </w:t>
      </w:r>
      <w:r>
        <w:t xml:space="preserve">Critical claims resolved: 0/9</w:t>
      </w:r>
      <w:r>
        <w:t xml:space="preserve"> </w:t>
      </w:r>
      <w:r>
        <w:t xml:space="preserve">Not ready for submission</w:t>
      </w:r>
    </w:p>
    <w:p>
      <w:r>
        <w:br w:type="page"/>
      </w:r>
    </w:p>
    <w:bookmarkStart w:id="133" w:name="X4aefd3a70ea96ac75327f016555b4b0ae80883f"/>
    <w:p>
      <w:pPr>
        <w:pStyle w:val="Heading1"/>
      </w:pPr>
      <w:r>
        <w:t xml:space="preserve">Beyond Detection in Wastewater-Based Epidemiology: Sewer Processes, Signal Distortion, Normalization, and Epidemiological Inference</w:t>
      </w:r>
    </w:p>
    <w:p>
      <w:pPr>
        <w:pStyle w:val="FirstParagraph"/>
      </w:pPr>
      <w:r>
        <w:rPr>
          <w:bCs/>
          <w:b/>
        </w:rPr>
        <w:t xml:space="preserve">Working draft — Chapters 1–10 (Chapter 10 added 2026-07-18:</w:t>
      </w:r>
      <w:r>
        <w:rPr>
          <w:bCs/>
          <w:b/>
        </w:rPr>
        <w:t xml:space="preserve"> </w:t>
      </w:r>
      <w:r>
        <w:rPr>
          <w:bCs/>
          <w:b/>
        </w:rPr>
        <w:t xml:space="preserve">“</w:t>
      </w:r>
      <w:r>
        <w:rPr>
          <w:bCs/>
          <w:b/>
        </w:rPr>
        <w:t xml:space="preserve">Enabling technologies and research infrastructures for process-informed wastewater-based epidemiology</w:t>
      </w:r>
      <w:r>
        <w:rPr>
          <w:bCs/>
          <w:b/>
        </w:rPr>
        <w:t xml:space="preserve">”</w:t>
      </w:r>
      <w:r>
        <w:rPr>
          <w:bCs/>
          <w:b/>
        </w:rPr>
        <w:t xml:space="preserve">)</w:t>
      </w:r>
    </w:p>
    <w:p>
      <w:pPr>
        <w:pStyle w:val="BodyText"/>
      </w:pPr>
      <w:r>
        <w:rPr>
          <w:bCs/>
          <w:b/>
        </w:rPr>
        <w:t xml:space="preserve">Full conceptual source draft — not the submission-length manuscript.</w:t>
      </w:r>
      <w:r>
        <w:t xml:space="preserve"> </w:t>
      </w:r>
      <w:r>
        <w:t xml:space="preserve">A Water Research–style compression is being planned as a separate, non-destructive track (see</w:t>
      </w:r>
      <w:r>
        <w:t xml:space="preserve"> </w:t>
      </w:r>
      <w:r>
        <w:rPr>
          <w:rStyle w:val="VerbatimChar"/>
        </w:rPr>
        <w:t xml:space="preserve">WBE_Review_Compression_Map.md</w:t>
      </w:r>
      <w:r>
        <w:t xml:space="preserve">,</w:t>
      </w:r>
      <w:r>
        <w:t xml:space="preserve"> </w:t>
      </w:r>
      <w:r>
        <w:rPr>
          <w:rStyle w:val="VerbatimChar"/>
        </w:rPr>
        <w:t xml:space="preserve">WBE_Review_Target_Outline.md</w:t>
      </w:r>
      <w:r>
        <w:t xml:space="preserve">, and</w:t>
      </w:r>
      <w:r>
        <w:t xml:space="preserve"> </w:t>
      </w:r>
      <w:r>
        <w:rPr>
          <w:rStyle w:val="VerbatimChar"/>
        </w:rPr>
        <w:t xml:space="preserve">WBE_Review_Word_Count_Method.md</w:t>
      </w:r>
      <w:r>
        <w:t xml:space="preserve">, all 2026-07-18): this file remains the complete, unabridged conceptual working draft and will not itself be cut down. Any submission-length manuscript is a distinct, derived document.</w:t>
      </w:r>
    </w:p>
    <w:p>
      <w:pPr>
        <w:pStyle w:val="BodyText"/>
      </w:pPr>
      <w:r>
        <w:rPr>
          <w:iCs/>
          <w:i/>
        </w:rPr>
        <w:t xml:space="preserve">Status: this is a working draft, not a submission-ready manuscript, at every chapter drafted so far — the review’s formal systematic search has still not been executed (§2.1–§2.2, and see</w:t>
      </w:r>
      <w:r>
        <w:rPr>
          <w:iCs/>
          <w:i/>
        </w:rPr>
        <w:t xml:space="preserve"> </w:t>
      </w:r>
      <w:r>
        <w:rPr>
          <w:rStyle w:val="VerbatimChar"/>
          <w:iCs/>
          <w:i/>
        </w:rPr>
        <w:t xml:space="preserve">systematic-review/</w:t>
      </w:r>
      <w:r>
        <w:rPr>
          <w:iCs/>
          <w:i/>
        </w:rPr>
        <w:t xml:space="preserve"> </w:t>
      </w:r>
      <w:r>
        <w:rPr>
          <w:iCs/>
          <w:i/>
        </w:rPr>
        <w:t xml:space="preserve">for the execution toolkit’s current status — built, pilot-mode-tested, and pilot-precheck-tested against real-but-empty directories, but not yet run against any real database export). Full-text citation verification remains at 0 of the review’s active references, and that denominator is recomputed, not frozen, every time a chapter adds sources — it was 0/51 through Chapter 8, 0/59 as of Chapter 9, and is</w:t>
      </w:r>
      <w:r>
        <w:rPr>
          <w:iCs/>
          <w:i/>
        </w:rPr>
        <w:t xml:space="preserve"> </w:t>
      </w:r>
      <w:r>
        <w:rPr>
          <w:bCs/>
          <w:b/>
          <w:iCs/>
          <w:i/>
        </w:rPr>
        <w:t xml:space="preserve">0/67</w:t>
      </w:r>
      <w:r>
        <w:rPr>
          <w:iCs/>
          <w:i/>
        </w:rPr>
        <w:t xml:space="preserve"> </w:t>
      </w:r>
      <w:r>
        <w:rPr>
          <w:iCs/>
          <w:i/>
        </w:rPr>
        <w:t xml:space="preserve">as of Chapter 10 (see</w:t>
      </w:r>
      <w:r>
        <w:rPr>
          <w:iCs/>
          <w:i/>
        </w:rPr>
        <w:t xml:space="preserve"> </w:t>
      </w:r>
      <w:r>
        <w:rPr>
          <w:rStyle w:val="VerbatimChar"/>
          <w:iCs/>
          <w:i/>
        </w:rPr>
        <w:t xml:space="preserve">WBE_Review_Ch8_Evidence_Freeze_Audit.md</w:t>
      </w:r>
      <w:r>
        <w:rPr>
          <w:iCs/>
          <w:i/>
        </w:rPr>
        <w:t xml:space="preserve"> </w:t>
      </w:r>
      <w:r>
        <w:rPr>
          <w:iCs/>
          <w:i/>
        </w:rPr>
        <w:t xml:space="preserve">for the full recomputation each round — never quote a prior round’s denominator as current); every source in every chapter is</w:t>
      </w:r>
      <w:r>
        <w:rPr>
          <w:iCs/>
          <w:i/>
        </w:rPr>
        <w:t xml:space="preserve"> </w:t>
      </w:r>
      <w:r>
        <w:rPr>
          <w:bCs/>
          <w:b/>
          <w:iCs/>
          <w:i/>
        </w:rPr>
        <w:t xml:space="preserve">retrieved and metadata-checked source material</w:t>
      </w:r>
      <w:r>
        <w:rPr>
          <w:iCs/>
          <w:i/>
        </w:rPr>
        <w:t xml:space="preserve">, not verified source material — see §9’s status note for the four-way metadata/abstract/full-text/claim distinction this review applies explicitly throughout, including Chapter 10. All citations were retrieved via web search this session; full-text retrieval was blocked throughout. Every quantitative claim carries an explicit verification status in the companion Citation Verification Table and the chapter-specific claim audits (</w:t>
      </w:r>
      <w:r>
        <w:rPr>
          <w:rStyle w:val="VerbatimChar"/>
          <w:iCs/>
          <w:i/>
        </w:rPr>
        <w:t xml:space="preserve">WBE_Review_Ch9_Claim_Audit.md</w:t>
      </w:r>
      <w:r>
        <w:rPr>
          <w:iCs/>
          <w:i/>
        </w:rPr>
        <w:t xml:space="preserve"> </w:t>
      </w:r>
      <w:r>
        <w:rPr>
          <w:iCs/>
          <w:i/>
        </w:rPr>
        <w:t xml:space="preserve">and onward) and should be treated as</w:t>
      </w:r>
      <w:r>
        <w:rPr>
          <w:iCs/>
          <w:i/>
        </w:rPr>
        <w:t xml:space="preserve"> </w:t>
      </w:r>
      <w:r>
        <w:rPr>
          <w:iCs/>
          <w:i/>
        </w:rPr>
        <w:t xml:space="preserve">“</w:t>
      </w:r>
      <w:r>
        <w:rPr>
          <w:iCs/>
          <w:i/>
        </w:rPr>
        <w:t xml:space="preserve">pending full-text verification</w:t>
      </w:r>
      <w:r>
        <w:rPr>
          <w:iCs/>
          <w:i/>
        </w:rPr>
        <w:t xml:space="preserve">”</w:t>
      </w:r>
      <w:r>
        <w:rPr>
          <w:iCs/>
          <w:i/>
        </w:rPr>
        <w:t xml:space="preserve"> </w:t>
      </w:r>
      <w:r>
        <w:rPr>
          <w:iCs/>
          <w:i/>
        </w:rPr>
        <w:t xml:space="preserve">unless marked otherwise; many claims are deliberately reported without a specific number at all, rather than with a hedge, where no number could be corroborated with reasonable confidence. Do not circulate, quote, or submit any part of this draft as finished work, and do not read any chapter’s conclusions as settled findings — they are this review’s own conceptual synthesis, built on an unverified evidence base, pending the formal search-and-verification process named in §2 and not yet begun. Chapters 11–12 remain to be drafted.</w:t>
      </w:r>
    </w:p>
    <w:p>
      <w:r>
        <w:pict>
          <v:rect style="width:0;height:1.5pt" o:hralign="center" o:hrstd="t" o:hr="t"/>
        </w:pict>
      </w:r>
    </w:p>
    <w:bookmarkStart w:id="20" w:name="introduction"/>
    <w:p>
      <w:pPr>
        <w:pStyle w:val="Heading2"/>
      </w:pPr>
      <w:r>
        <w:t xml:space="preserve">1. Introduction</w:t>
      </w:r>
    </w:p>
    <w:p>
      <w:pPr>
        <w:pStyle w:val="FirstParagraph"/>
      </w:pPr>
      <w:r>
        <w:t xml:space="preserve">Wastewater-based epidemiology (WBE) rests on a simple premise: human excreta carry a continuous, population-scale record of health and behavior, aggregated across a sewer catchment before it is ever measured. This makes wastewater monitoring attractive as a public health tool — non-invasive, requiring no individual consent or clinical encounter, and capturing asymptomatic, undiagnosed, and untested individuals alongside those who present to a clinic (National Academies of Sciences, Engineering, and Medicine [NASEM], 2023). Because sampling occurs at fixed infrastructure points rather than through individual testing, WBE is comparatively insulated from fluctuations in health-care-seeking behavior and diagnostic capacity, and can in principle be sustained continuously at a fraction of the cost of population-wide clinical testing.</w:t>
      </w:r>
    </w:p>
    <w:p>
      <w:pPr>
        <w:pStyle w:val="BodyText"/>
      </w:pPr>
      <w:r>
        <w:t xml:space="preserve">These properties explain why WBE has moved, in roughly two decades, from a niche application in poliovirus eradication to a routine pillar of public health surveillance. The World Health Organization now frames wastewater and environmental surveillance (WES) as a</w:t>
      </w:r>
      <w:r>
        <w:t xml:space="preserve"> </w:t>
      </w:r>
      <w:r>
        <w:rPr>
          <w:iCs/>
          <w:i/>
        </w:rPr>
        <w:t xml:space="preserve">complementary</w:t>
      </w:r>
      <w:r>
        <w:t xml:space="preserve"> </w:t>
      </w:r>
      <w:r>
        <w:t xml:space="preserve">layer to conventional case-based surveillance, filling gaps where clinical data are sparse, delayed, or biased, rather than replacing it (WHO, 2025a). The European Commission’s Wastewater Surveillance Dashboard, launched in January 2025, already aggregates a reported million-plus measurements of SARS-CoV-2, influenza, and RSV across eleven countries (European Commission, 2025 — exact figures pending full-text confirmation, see §2.3), and the recast EU Urban Wastewater Treatment Directive now requires routine wastewater surveillance and antimicrobial resistance (AMR) monitoring for large agglomerations across the Union (Eurosurveillance, 2026). China reports having built a nationwide, multi-scenario wastewater surveillance system combining national urban monitoring, inbound-flight monitoring, and pilot public-health-risk surveillance (Han et al., 2025). Wastewater surveillance is, in short, becoming institutionalized infrastructure rather than a research technique.</w:t>
      </w:r>
    </w:p>
    <w:p>
      <w:pPr>
        <w:pStyle w:val="BodyText"/>
      </w:pPr>
      <w:r>
        <w:t xml:space="preserve">Institutionalization has exposed a problem the field’s early, detection-oriented literature did not have to confront:</w:t>
      </w:r>
      <w:r>
        <w:t xml:space="preserve"> </w:t>
      </w:r>
      <w:r>
        <w:rPr>
          <w:bCs/>
          <w:b/>
        </w:rPr>
        <w:t xml:space="preserve">a concentration measured at a wastewater treatment plant is not, by itself, a public health indicator.</w:t>
      </w:r>
      <w:r>
        <w:t xml:space="preserve"> </w:t>
      </w:r>
      <w:r>
        <w:t xml:space="preserve">It becomes one only after a chain of physical, chemical, biological, and statistical transformations has been accounted for and, where possible, inverted. A 2024 review of population normalization markers found no consensus on which marker performs best (Boogaerts et al., 2024); a large multistate comparison found simple flow-rate normalization outperforming three commonly used fecal biomarkers in correlating with clinical COVID-19 case counts (Rainey et al., 2023); and laboratory and sewer-simulator work has shown that in-sewer microbial activity is a dominant, distance-dependent driver of viral RNA loss during transport (Jung et al., 2026). This literature marks a shift in the field’s central question — from</w:t>
      </w:r>
      <w:r>
        <w:t xml:space="preserve"> </w:t>
      </w:r>
      <w:r>
        <w:rPr>
          <w:iCs/>
          <w:i/>
        </w:rPr>
        <w:t xml:space="preserve">what can be detected in wastewater?</w:t>
      </w:r>
      <w:r>
        <w:t xml:space="preserve"> </w:t>
      </w:r>
      <w:r>
        <w:t xml:space="preserve">to a harder one:</w:t>
      </w:r>
    </w:p>
    <w:p>
      <w:pPr>
        <w:pStyle w:val="BlockText"/>
      </w:pPr>
      <w:r>
        <w:t xml:space="preserve">Under what conditions does a concentration measured at a wastewater treatment plant’s inlet reliably represent the true upstream excretion, infection level, consumption, or exposure of the contributing population?</w:t>
      </w:r>
    </w:p>
    <w:p>
      <w:pPr>
        <w:pStyle w:val="FirstParagraph"/>
      </w:pPr>
      <w:r>
        <w:rPr>
          <w:bCs/>
          <w:b/>
        </w:rPr>
        <w:t xml:space="preserve">This review treats that question explicitly as an inverse problem.</w:t>
      </w:r>
      <w:r>
        <w:t xml:space="preserve"> </w:t>
      </w:r>
      <w:r>
        <w:t xml:space="preserve">A wastewater sample is an observation generated by an unknown source signal passed through a chain of physical operators — human excretion, building drainage, sewer transport, sampling, and analysis — each of which can distort the signal in one or more of three formal ways that recur throughout this review and are defined precisely in Section 3:</w:t>
      </w:r>
    </w:p>
    <w:p>
      <w:pPr>
        <w:numPr>
          <w:ilvl w:val="0"/>
          <w:numId w:val="1001"/>
        </w:numPr>
        <w:pStyle w:val="Compact"/>
      </w:pPr>
      <w:r>
        <w:rPr>
          <w:bCs/>
          <w:b/>
        </w:rPr>
        <w:t xml:space="preserve">Amplitude distortion</w:t>
      </w:r>
      <w:r>
        <w:t xml:space="preserve"> </w:t>
      </w:r>
      <w:r>
        <w:t xml:space="preserve">— multiplicative or additive changes to signal magnitude (dilution, decay, recovery loss, matrix effects);</w:t>
      </w:r>
    </w:p>
    <w:p>
      <w:pPr>
        <w:numPr>
          <w:ilvl w:val="0"/>
          <w:numId w:val="1001"/>
        </w:numPr>
        <w:pStyle w:val="Compact"/>
      </w:pPr>
      <w:r>
        <w:rPr>
          <w:bCs/>
          <w:b/>
        </w:rPr>
        <w:t xml:space="preserve">Temporal distortion</w:t>
      </w:r>
      <w:r>
        <w:t xml:space="preserve"> </w:t>
      </w:r>
      <w:r>
        <w:t xml:space="preserve">— shifts, lags, or smearing of the signal in time (variable shedding kinetics, sewer retention-time distributions, sampling-schedule mismatch);</w:t>
      </w:r>
    </w:p>
    <w:p>
      <w:pPr>
        <w:numPr>
          <w:ilvl w:val="0"/>
          <w:numId w:val="1001"/>
        </w:numPr>
        <w:pStyle w:val="Compact"/>
      </w:pPr>
      <w:r>
        <w:rPr>
          <w:bCs/>
          <w:b/>
        </w:rPr>
        <w:t xml:space="preserve">Spatial distortion</w:t>
      </w:r>
      <w:r>
        <w:t xml:space="preserve"> </w:t>
      </w:r>
      <w:r>
        <w:t xml:space="preserve">— changes in which sub-populations and sub-catchments contribute, and in what proportion, to a single downstream composite sample (heterogeneous flow paths, combined sewer overflow, differential storm response across a network).</w:t>
      </w:r>
    </w:p>
    <w:p>
      <w:pPr>
        <w:pStyle w:val="FirstParagraph"/>
      </w:pPr>
      <w:r>
        <w:t xml:space="preserve">Recovering the source signal from a distorted, aggregated, noisy observation is only possible to the extent the problem remains</w:t>
      </w:r>
      <w:r>
        <w:t xml:space="preserve"> </w:t>
      </w:r>
      <w:r>
        <w:rPr>
          <w:bCs/>
          <w:b/>
        </w:rPr>
        <w:t xml:space="preserve">identifiable</w:t>
      </w:r>
      <w:r>
        <w:t xml:space="preserve"> </w:t>
      </w:r>
      <w:r>
        <w:t xml:space="preserve">— that is, to the extent the available data and auxiliary information constrain the space of source signals consistent with what was actually measured to a useful degree. Where identifiability is poor,</w:t>
      </w:r>
      <w:r>
        <w:t xml:space="preserve"> </w:t>
      </w:r>
      <w:r>
        <w:rPr>
          <w:bCs/>
          <w:b/>
        </w:rPr>
        <w:t xml:space="preserve">process-informed correction</w:t>
      </w:r>
      <w:r>
        <w:t xml:space="preserve"> </w:t>
      </w:r>
      <w:r>
        <w:t xml:space="preserve">— using mechanistic models of excretion, transport, and decay, rather than purely statistical normalization, to reduce the space of admissible solutions — and independent auxiliary information may narrow the admissible solution space, but they cannot guarantee identifiability or recover information irreversibly lost during transport, sampling, or aggregation (§7.0, §7.3, §8.0). These five concepts (amplitude, temporal, and spatial distortion; identifiability; process-informed correction) are introduced formally in Section 3 and used as the organizing vocabulary throughout Sections 3–8.</w:t>
      </w:r>
    </w:p>
    <w:p>
      <w:pPr>
        <w:pStyle w:val="BodyText"/>
      </w:pPr>
      <w:r>
        <w:t xml:space="preserve">Three arguments organize the review as a whole:</w:t>
      </w:r>
    </w:p>
    <w:p>
      <w:pPr>
        <w:numPr>
          <w:ilvl w:val="0"/>
          <w:numId w:val="1002"/>
        </w:numPr>
        <w:pStyle w:val="Compact"/>
      </w:pPr>
      <w:r>
        <w:t xml:space="preserve">The object of WBE monitoring is not the concentration of a target analyte itself, but the population-level information that concentration encodes — information recoverable only if the encoding (distortion) process is understood.</w:t>
      </w:r>
    </w:p>
    <w:p>
      <w:pPr>
        <w:numPr>
          <w:ilvl w:val="0"/>
          <w:numId w:val="1002"/>
        </w:numPr>
        <w:pStyle w:val="Compact"/>
      </w:pPr>
      <w:r>
        <w:t xml:space="preserve">The signal measured at a treatment-plant inlet is the joint product of source excretion, population dynamics, in-sewer transport and transformation, and the sampling/analytical process; it cannot be treated as equivalent to source-end load without explicit, process-informed correction.</w:t>
      </w:r>
    </w:p>
    <w:p>
      <w:pPr>
        <w:numPr>
          <w:ilvl w:val="0"/>
          <w:numId w:val="1002"/>
        </w:numPr>
        <w:pStyle w:val="Compact"/>
      </w:pPr>
      <w:r>
        <w:t xml:space="preserve">The field’s next advance requires moving from single-target detection toward process-aware, multi-source-corrected, probabilistic inference — which in turn requires being explicit about identifiability, not just accuracy.</w:t>
      </w:r>
    </w:p>
    <w:p>
      <w:pPr>
        <w:pStyle w:val="FirstParagraph"/>
      </w:pPr>
      <w:r>
        <w:t xml:space="preserve">Section 2 describes this review’s methodology and evidence base, including an honest account of its current limitations. Section 3 develops the source-to-sample signal-formation chain as a formal inverse problem. Section 4 addresses in-sewer transformation and rainfall/seasonal distortion — the review’s mechanistic core — and closes by connecting distortion back to identifiability and process-informed correction. Section 5 extends the same inverse-problem framework through sampling and analytical uncertainty. Section 6 addresses normalization — flow-, population-, and biomarker-based — as a further correction step applied to the already-doubly-distorted reported signal, and argues that normalization is not itself a reconstruction of the source state but a conditionally valid statistical adjustment whose validity must be checked rather than assumed. Section 7 develops back-calculation, identifiability, and validation as a formal five-way methodological distinction, and Section 8 develops a formal uncertainty-propagation framework spanning source variability to decision uncertainty. Section 9 translates the resulting uncertainty-quantified signal into public-health decision-making — distinguishing trend, anomaly-detection, and absolute-magnitude surveillance objectives; alert-threshold design under asymmetric error costs; multi-source data fusion; the boundary between wastewater surveillance and clinical care it cannot replace; the privacy, stigma, and equity considerations specific to small-catchment and building-scale monitoring; and the conditions under which a scientifically detectable signal becomes institutionally actionable. Section 10 turns to the enabling technologies and research infrastructures that determine whether a better signal can be produced in the first place — distributed sewer-network sensing, near-real-time measurement, sewer digital twins, multi-omics and expanded biomarker panels, process-informed artificial intelligence, standard reference materials and interlaboratory comparability, interoperable data infrastructure, privacy-preserving analytics, and climate-resilient infrastructure — organized under an explicit technology-readiness framework distinguishing analytical novelty from field validation from operational, decision-value-demonstrated deployment. Sections 11–12 remain to be drafted: research gaps (§11) and conclusions (§12).</w:t>
      </w:r>
    </w:p>
    <w:p>
      <w:r>
        <w:pict>
          <v:rect style="width:0;height:1.5pt" o:hralign="center" o:hrstd="t" o:hr="t"/>
        </w:pict>
      </w:r>
    </w:p>
    <w:bookmarkEnd w:id="20"/>
    <w:bookmarkStart w:id="27" w:name="Xfb79a1387762f1a8543b96037685b8671a978a7"/>
    <w:p>
      <w:pPr>
        <w:pStyle w:val="Heading2"/>
      </w:pPr>
      <w:r>
        <w:t xml:space="preserve">2. Review Methodology and Evidence Synthesis</w:t>
      </w:r>
    </w:p>
    <w:bookmarkStart w:id="21" w:name="review-type-and-scope"/>
    <w:p>
      <w:pPr>
        <w:pStyle w:val="Heading3"/>
      </w:pPr>
      <w:r>
        <w:t xml:space="preserve">2.1 Review type and scope</w:t>
      </w:r>
    </w:p>
    <w:p>
      <w:pPr>
        <w:pStyle w:val="FirstParagraph"/>
      </w:pPr>
      <w:r>
        <w:t xml:space="preserve">This is, at the current draft stage, a</w:t>
      </w:r>
      <w:r>
        <w:t xml:space="preserve"> </w:t>
      </w:r>
      <w:r>
        <w:rPr>
          <w:bCs/>
          <w:b/>
        </w:rPr>
        <w:t xml:space="preserve">narrative synthesis structured around a mechanistic framework</w:t>
      </w:r>
      <w:r>
        <w:t xml:space="preserve"> </w:t>
      </w:r>
      <w:r>
        <w:t xml:space="preserve">(the source-to-sample signal chain and its associated inverse-problem vocabulary), not yet a formal systematic or scoping review. That distinction matters and is stated here rather than left implicit: a defensible scoping review of this literature would follow PRISMA-ScR, use structured Boolean queries against Web of Science, Scopus, and Embase, apply documented inclusion/exclusion criteria, and report a PRISMA flow diagram of records identified/screened/included.</w:t>
      </w:r>
      <w:r>
        <w:t xml:space="preserve"> </w:t>
      </w:r>
      <w:r>
        <w:rPr>
          <w:bCs/>
          <w:b/>
        </w:rPr>
        <w:t xml:space="preserve">None of that has been done yet.</w:t>
      </w:r>
      <w:r>
        <w:t xml:space="preserve"> </w:t>
      </w:r>
      <w:r>
        <w:t xml:space="preserve">What follows in §2.2–§2.3 is a transparent account of what was actually done, so the evidence base’s strength can be judged accurately rather than assumed.</w:t>
      </w:r>
    </w:p>
    <w:bookmarkEnd w:id="21"/>
    <w:bookmarkStart w:id="22" w:name="search-process-used-for-this-draft"/>
    <w:p>
      <w:pPr>
        <w:pStyle w:val="Heading3"/>
      </w:pPr>
      <w:r>
        <w:t xml:space="preserve">2.2 Search process used for this draft</w:t>
      </w:r>
    </w:p>
    <w:p>
      <w:pPr>
        <w:pStyle w:val="FirstParagraph"/>
      </w:pPr>
      <w:r>
        <w:t xml:space="preserve">Sources for Chapters 1–4 were identified through approximately 20 targeted queries issued to a general-purpose web search tool (not a bibliographic database), grouped around: (a) recent (2024–2026) reviews of WBE normalization, uncertainty, and methodological frameworks; (b) institutional/programmatic developments (WHO, EU, China, US CDC) from 2024–2026; (c) mechanistic literature on in-sewer transformation, RNA decay, and sewer biofilms; (d) rainfall/inflow-infiltration effects on wastewater signals; and (e) historical background on poliovirus and drug-consumption monitoring. Search results were screened for relevance by title/snippet, and priority was given to peer-reviewed journal articles, official institutional publications (WHO, European Commission, China CDC Weekly, National Academies Press), and — for a small number of background facts — reputable secondary sources (e.g., a policy-news item on WHO guidance).</w:t>
      </w:r>
    </w:p>
    <w:p>
      <w:pPr>
        <w:pStyle w:val="BodyText"/>
      </w:pPr>
      <w:r>
        <w:t xml:space="preserve">This process is a reasonable way to identify a</w:t>
      </w:r>
      <w:r>
        <w:t xml:space="preserve"> </w:t>
      </w:r>
      <w:r>
        <w:rPr>
          <w:bCs/>
          <w:b/>
        </w:rPr>
        <w:t xml:space="preserve">starting evidence set</w:t>
      </w:r>
      <w:r>
        <w:t xml:space="preserve"> </w:t>
      </w:r>
      <w:r>
        <w:t xml:space="preserve">and to check that the review’s mechanistic framing has real literature behind it, but it is</w:t>
      </w:r>
      <w:r>
        <w:t xml:space="preserve"> </w:t>
      </w:r>
      <w:r>
        <w:rPr>
          <w:bCs/>
          <w:b/>
        </w:rPr>
        <w:t xml:space="preserve">not equivalent to a systematic search</w:t>
      </w:r>
      <w:r>
        <w:t xml:space="preserve"> </w:t>
      </w:r>
      <w:r>
        <w:t xml:space="preserve">and almost certainly under-samples the literature, particularly older foundational work, non-English-language studies (including likely-relevant Chinese-language mechanistic and field studies), and papers that don’t surface well under natural-language query phrasing. A full systematic search — using the Boolean query sets already drafted for this project (Web of Science / Scopus queries for core WBE terms, process/uncertainty terms, and emerging-contaminant terms) — is a prerequisite before this review is submission-ready, and should be run by someone with institutional database access, which was not available in this session.</w:t>
      </w:r>
    </w:p>
    <w:bookmarkEnd w:id="22"/>
    <w:bookmarkStart w:id="23" w:name="X1771eb5430b86c9a7f1176f95cbd14dda6f8636"/>
    <w:p>
      <w:pPr>
        <w:pStyle w:val="Heading3"/>
      </w:pPr>
      <w:r>
        <w:t xml:space="preserve">2.3 Source verification procedure and its limitations — read before citing any number in this draft</w:t>
      </w:r>
    </w:p>
    <w:p>
      <w:pPr>
        <w:pStyle w:val="FirstParagraph"/>
      </w:pPr>
      <w:r>
        <w:t xml:space="preserve">Every citation below was checked for author list, journal, year, volume/issue, and DOI by cross-referencing at least one, and in most cases two or more, independent web-search result sets (see the companion</w:t>
      </w:r>
      <w:r>
        <w:t xml:space="preserve"> </w:t>
      </w:r>
      <w:r>
        <w:rPr>
          <w:bCs/>
          <w:b/>
        </w:rPr>
        <w:t xml:space="preserve">Citation Verification Table</w:t>
      </w:r>
      <w:r>
        <w:t xml:space="preserve">). This gives reasonably high confidence in</w:t>
      </w:r>
      <w:r>
        <w:t xml:space="preserve"> </w:t>
      </w:r>
      <w:r>
        <w:rPr>
          <w:iCs/>
          <w:i/>
        </w:rPr>
        <w:t xml:space="preserve">bibliographic metadata</w:t>
      </w:r>
      <w:r>
        <w:t xml:space="preserve"> </w:t>
      </w:r>
      <w:r>
        <w:t xml:space="preserve">for most sources.</w:t>
      </w:r>
    </w:p>
    <w:p>
      <w:pPr>
        <w:pStyle w:val="BodyText"/>
      </w:pPr>
      <w:r>
        <w:t xml:space="preserve">It does</w:t>
      </w:r>
      <w:r>
        <w:t xml:space="preserve"> </w:t>
      </w:r>
      <w:r>
        <w:rPr>
          <w:bCs/>
          <w:b/>
        </w:rPr>
        <w:t xml:space="preserve">not</w:t>
      </w:r>
      <w:r>
        <w:t xml:space="preserve"> </w:t>
      </w:r>
      <w:r>
        <w:t xml:space="preserve">give the same confidence in the</w:t>
      </w:r>
      <w:r>
        <w:t xml:space="preserve"> </w:t>
      </w:r>
      <w:r>
        <w:rPr>
          <w:iCs/>
          <w:i/>
        </w:rPr>
        <w:t xml:space="preserve">specific quantitative claims</w:t>
      </w:r>
      <w:r>
        <w:t xml:space="preserve"> </w:t>
      </w:r>
      <w:r>
        <w:t xml:space="preserve">attributed to those sources in the text.</w:t>
      </w:r>
      <w:r>
        <w:t xml:space="preserve"> </w:t>
      </w:r>
      <w:r>
        <w:rPr>
          <w:bCs/>
          <w:b/>
        </w:rPr>
        <w:t xml:space="preserve">WebFetch (full-text retrieval) returned HTTP 403 for every publisher domain attempted this session — PMC, MDPI, PLOS, and DOI-resolved links all failed identically</w:t>
      </w:r>
      <w:r>
        <w:t xml:space="preserve"> </w:t>
      </w:r>
      <w:r>
        <w:t xml:space="preserve">— so no source in this draft was read in full; every quantitative figure in Chapters 1–4 (percentages, rate constants, day-counts, participant/sample counts) is drawn from a search engine’s auto-generated summary of the source, not from the primary text or a table therein. This is stated once here and applies uniformly, rather than being re-flagged inline after every number, but two specific issues are worth naming directly:</w:t>
      </w:r>
    </w:p>
    <w:p>
      <w:pPr>
        <w:numPr>
          <w:ilvl w:val="0"/>
          <w:numId w:val="1003"/>
        </w:numPr>
        <w:pStyle w:val="Compact"/>
      </w:pPr>
      <w:r>
        <w:rPr>
          <w:bCs/>
          <w:b/>
        </w:rPr>
        <w:t xml:space="preserve">Internal inconsistency detected:</w:t>
      </w:r>
      <w:r>
        <w:t xml:space="preserve"> </w:t>
      </w:r>
      <w:r>
        <w:t xml:space="preserve">two independent searches for Miura, Kitajima, &amp; Omori (2021) returned different point estimates for the same paper’s central findings (3.4 vs. 2.6 log copies/gram-feces; 26.0-day vs. 20–32-day shedding-duration estimate). The text in §3.1 was written to avoid citing either specific number for this reason, but the discrepancy itself should be resolved by reading the primary source before this draft advances further.</w:t>
      </w:r>
    </w:p>
    <w:p>
      <w:pPr>
        <w:numPr>
          <w:ilvl w:val="0"/>
          <w:numId w:val="1003"/>
        </w:numPr>
        <w:pStyle w:val="Compact"/>
      </w:pPr>
      <w:r>
        <w:rPr>
          <w:bCs/>
          <w:b/>
        </w:rPr>
        <w:t xml:space="preserve">One source considered and excluded:</w:t>
      </w:r>
      <w:r>
        <w:t xml:space="preserve"> </w:t>
      </w:r>
      <w:r>
        <w:t xml:space="preserve">a 2022 systematic review of pre-sampling factors affecting SARS-CoV-2 wastewater RNA concentrations (PMC8772136 / ScienceDirect S0048969722003813) was identified as topically relevant to §3–4 but its author list could not be confirmed with confidence across search results, so it was</w:t>
      </w:r>
      <w:r>
        <w:t xml:space="preserve"> </w:t>
      </w:r>
      <w:r>
        <w:rPr>
          <w:bCs/>
          <w:b/>
        </w:rPr>
        <w:t xml:space="preserve">not cited</w:t>
      </w:r>
      <w:r>
        <w:t xml:space="preserve"> </w:t>
      </w:r>
      <w:r>
        <w:t xml:space="preserve">rather than cited with a guessed author list.</w:t>
      </w:r>
    </w:p>
    <w:p>
      <w:pPr>
        <w:pStyle w:val="FirstParagraph"/>
      </w:pPr>
      <w:r>
        <w:t xml:space="preserve">Any number, percentage, or effect-size claim in Chapters 3–4 should be treated as</w:t>
      </w:r>
      <w:r>
        <w:t xml:space="preserve"> </w:t>
      </w:r>
      <w:r>
        <w:rPr>
          <w:bCs/>
          <w:b/>
        </w:rPr>
        <w:t xml:space="preserve">“</w:t>
      </w:r>
      <w:r>
        <w:rPr>
          <w:bCs/>
          <w:b/>
        </w:rPr>
        <w:t xml:space="preserve">pending full-text verification</w:t>
      </w:r>
      <w:r>
        <w:rPr>
          <w:bCs/>
          <w:b/>
        </w:rPr>
        <w:t xml:space="preserve">”</w:t>
      </w:r>
      <w:r>
        <w:t xml:space="preserve"> </w:t>
      </w:r>
      <w:r>
        <w:t xml:space="preserve">until someone with database/publisher access confirms it directly. This is the single most important methodological caveat in this draft.</w:t>
      </w:r>
    </w:p>
    <w:bookmarkEnd w:id="23"/>
    <w:bookmarkStart w:id="24" w:name="X21f2a99d65b2ae6da26dccefce256a5b7029af9"/>
    <w:p>
      <w:pPr>
        <w:pStyle w:val="Heading3"/>
      </w:pPr>
      <w:r>
        <w:t xml:space="preserve">2.4 Terminology and developmental background (compressed)</w:t>
      </w:r>
    </w:p>
    <w:p>
      <w:pPr>
        <w:pStyle w:val="FirstParagraph"/>
      </w:pPr>
      <w:r>
        <w:t xml:space="preserve">Three overlapping terms recur in the literature and carry different implicit inference goals:</w:t>
      </w:r>
      <w:r>
        <w:t xml:space="preserve"> </w:t>
      </w:r>
      <w:r>
        <w:rPr>
          <w:bCs/>
          <w:b/>
        </w:rPr>
        <w:t xml:space="preserve">wastewater-based epidemiology (WBE)</w:t>
      </w:r>
      <w:r>
        <w:t xml:space="preserve">, generally used for work that back-calculates population-level</w:t>
      </w:r>
      <w:r>
        <w:t xml:space="preserve"> </w:t>
      </w:r>
      <w:r>
        <w:rPr>
          <w:iCs/>
          <w:i/>
        </w:rPr>
        <w:t xml:space="preserve">behavior, consumption, or exposure</w:t>
      </w:r>
      <w:r>
        <w:t xml:space="preserve"> </w:t>
      </w:r>
      <w:r>
        <w:t xml:space="preserve">from biomarker concentrations;</w:t>
      </w:r>
      <w:r>
        <w:t xml:space="preserve"> </w:t>
      </w:r>
      <w:r>
        <w:rPr>
          <w:bCs/>
          <w:b/>
        </w:rPr>
        <w:t xml:space="preserve">wastewater-based surveillance (WBS)</w:t>
      </w:r>
      <w:r>
        <w:t xml:space="preserve"> </w:t>
      </w:r>
      <w:r>
        <w:t xml:space="preserve">/</w:t>
      </w:r>
      <w:r>
        <w:t xml:space="preserve"> </w:t>
      </w:r>
      <w:r>
        <w:rPr>
          <w:bCs/>
          <w:b/>
        </w:rPr>
        <w:t xml:space="preserve">wastewater and environmental surveillance (WES)</w:t>
      </w:r>
      <w:r>
        <w:t xml:space="preserve">, generally used for</w:t>
      </w:r>
      <w:r>
        <w:t xml:space="preserve"> </w:t>
      </w:r>
      <w:r>
        <w:rPr>
          <w:iCs/>
          <w:i/>
        </w:rPr>
        <w:t xml:space="preserve">trend and outbreak detection</w:t>
      </w:r>
      <w:r>
        <w:t xml:space="preserve"> </w:t>
      </w:r>
      <w:r>
        <w:t xml:space="preserve">without necessarily back-calculating absolute case counts (WHO usage; WHO, 2025a, 2025b); and the broader</w:t>
      </w:r>
      <w:r>
        <w:t xml:space="preserve"> </w:t>
      </w:r>
      <w:r>
        <w:rPr>
          <w:bCs/>
          <w:b/>
        </w:rPr>
        <w:t xml:space="preserve">environmental surveillance (ES)</w:t>
      </w:r>
      <w:r>
        <w:t xml:space="preserve">, which extends to non-sewage matrices influenced by human excreta. This review uses</w:t>
      </w:r>
      <w:r>
        <w:t xml:space="preserve"> </w:t>
      </w:r>
      <w:r>
        <w:t xml:space="preserve">“</w:t>
      </w:r>
      <w:r>
        <w:t xml:space="preserve">WBE</w:t>
      </w:r>
      <w:r>
        <w:t xml:space="preserve">”</w:t>
      </w:r>
      <w:r>
        <w:t xml:space="preserve"> </w:t>
      </w:r>
      <w:r>
        <w:t xml:space="preserve">as the umbrella term, since the underlying signal-formation problem is shared, while preserving narrower terms where a cited study’s specific inferential goal matters to the argument.</w:t>
      </w:r>
    </w:p>
    <w:p>
      <w:pPr>
        <w:pStyle w:val="BodyText"/>
      </w:pPr>
      <w:r>
        <w:t xml:space="preserve">The field’s growth is compressible into five overlapping phases, summarized in Table 1 rather than narrated at length: (1) poliovirus environmental surveillance, from first wastewater detection in 1939 to WHO’s formal 2003 adoption within polio eradication surveillance standards; (2) illicit-drug and pharmaceutical consumption monitoring, from proposals around 1999 through demonstrated cocaine-metabolite quantification by the mid-2000s, which forced early development of quantitative back-calculation methodology; (3) COVID-19-driven expansion (2020–2022), which converted WBE from a research technique at a few dozen sites into networks covering hundreds to thousands of sewersheds (NASEM, 2023); (4) multi-pathogen, multi-purpose integration (2022–2024), extending shared monitoring infrastructure to influenza, RSV, mpox, and AMR targets; and (5) standardization, institutionalization, and probabilistic inference (2024–present) — the phase this review is positioned within, marked by formal guidance frameworks (WHO, 2025a, 2025b; Blue Community, 2025) and program-level integration (European Commission, 2025; Eurosurveillance, 2026; Han et al., 2025) alongside a methodological literature increasingly focused on normalization uncertainty and process-based correction rather than detection sensitivity per se (Boogaerts et al., 2024; Zhu et al., 2025; Rainey et al., 2023; Jung et al., 2026).</w:t>
      </w:r>
    </w:p>
    <w:p>
      <w:pPr>
        <w:pStyle w:val="BodyText"/>
      </w:pPr>
      <w:r>
        <w:rPr>
          <w:bCs/>
          <w:b/>
        </w:rPr>
        <w:t xml:space="preserve">Table 1. Developmental phases of WBE (compressed).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Period</w:t>
            </w:r>
          </w:p>
        </w:tc>
        <w:tc>
          <w:tcPr/>
          <w:p>
            <w:pPr>
              <w:pStyle w:val="Compact"/>
              <w:jc w:val="left"/>
            </w:pPr>
            <w:r>
              <w:t xml:space="preserve">Defining shift</w:t>
            </w:r>
          </w:p>
        </w:tc>
      </w:tr>
      <w:tr>
        <w:tc>
          <w:tcPr/>
          <w:p>
            <w:pPr>
              <w:pStyle w:val="Compact"/>
              <w:jc w:val="left"/>
            </w:pPr>
            <w:r>
              <w:t xml:space="preserve">1. Poliovirus environmental surveillance</w:t>
            </w:r>
          </w:p>
        </w:tc>
        <w:tc>
          <w:tcPr/>
          <w:p>
            <w:pPr>
              <w:pStyle w:val="Compact"/>
              <w:jc w:val="left"/>
            </w:pPr>
            <w:r>
              <w:t xml:space="preserve">1939–2000s</w:t>
            </w:r>
          </w:p>
        </w:tc>
        <w:tc>
          <w:tcPr/>
          <w:p>
            <w:pPr>
              <w:pStyle w:val="Compact"/>
              <w:jc w:val="left"/>
            </w:pPr>
            <w:r>
              <w:t xml:space="preserve">Established composite-sample detection logic; low temporal resolution, single stable target</w:t>
            </w:r>
          </w:p>
        </w:tc>
      </w:tr>
      <w:tr>
        <w:tc>
          <w:tcPr/>
          <w:p>
            <w:pPr>
              <w:pStyle w:val="Compact"/>
              <w:jc w:val="left"/>
            </w:pPr>
            <w:r>
              <w:t xml:space="preserve">2. Drug/pharmaceutical consumption monitoring</w:t>
            </w:r>
          </w:p>
        </w:tc>
        <w:tc>
          <w:tcPr/>
          <w:p>
            <w:pPr>
              <w:pStyle w:val="Compact"/>
              <w:jc w:val="left"/>
            </w:pPr>
            <w:r>
              <w:t xml:space="preserve">1999–2010s</w:t>
            </w:r>
          </w:p>
        </w:tc>
        <w:tc>
          <w:tcPr/>
          <w:p>
            <w:pPr>
              <w:pStyle w:val="Compact"/>
              <w:jc w:val="left"/>
            </w:pPr>
            <w:r>
              <w:t xml:space="preserve">Forced early quantitative back-calculation and correction-factor methodology</w:t>
            </w:r>
          </w:p>
        </w:tc>
      </w:tr>
      <w:tr>
        <w:tc>
          <w:tcPr/>
          <w:p>
            <w:pPr>
              <w:pStyle w:val="Compact"/>
              <w:jc w:val="left"/>
            </w:pPr>
            <w:r>
              <w:t xml:space="preserve">3. COVID-19-driven expansion</w:t>
            </w:r>
          </w:p>
        </w:tc>
        <w:tc>
          <w:tcPr/>
          <w:p>
            <w:pPr>
              <w:pStyle w:val="Compact"/>
              <w:jc w:val="left"/>
            </w:pPr>
            <w:r>
              <w:t xml:space="preserve">2020–2022</w:t>
            </w:r>
          </w:p>
        </w:tc>
        <w:tc>
          <w:tcPr/>
          <w:p>
            <w:pPr>
              <w:pStyle w:val="Compact"/>
              <w:jc w:val="left"/>
            </w:pPr>
            <w:r>
              <w:t xml:space="preserve">Rapid scale-up outpaced resolution of underlying uncertainty problems</w:t>
            </w:r>
          </w:p>
        </w:tc>
      </w:tr>
      <w:tr>
        <w:tc>
          <w:tcPr/>
          <w:p>
            <w:pPr>
              <w:pStyle w:val="Compact"/>
              <w:jc w:val="left"/>
            </w:pPr>
            <w:r>
              <w:t xml:space="preserve">4. Multi-pathogen/multi-purpose integration</w:t>
            </w:r>
          </w:p>
        </w:tc>
        <w:tc>
          <w:tcPr/>
          <w:p>
            <w:pPr>
              <w:pStyle w:val="Compact"/>
              <w:jc w:val="left"/>
            </w:pPr>
            <w:r>
              <w:t xml:space="preserve">2022–2024</w:t>
            </w:r>
          </w:p>
        </w:tc>
        <w:tc>
          <w:tcPr/>
          <w:p>
            <w:pPr>
              <w:pStyle w:val="Compact"/>
              <w:jc w:val="left"/>
            </w:pPr>
            <w:r>
              <w:t xml:space="preserve">Shared infrastructure extended to influenza, RSV, mpox, AMR</w:t>
            </w:r>
          </w:p>
        </w:tc>
      </w:tr>
      <w:tr>
        <w:tc>
          <w:tcPr/>
          <w:p>
            <w:pPr>
              <w:pStyle w:val="Compact"/>
              <w:jc w:val="left"/>
            </w:pPr>
            <w:r>
              <w:t xml:space="preserve">5. Standardization &amp; probabilistic inference</w:t>
            </w:r>
          </w:p>
        </w:tc>
        <w:tc>
          <w:tcPr/>
          <w:p>
            <w:pPr>
              <w:pStyle w:val="Compact"/>
              <w:jc w:val="left"/>
            </w:pPr>
            <w:r>
              <w:t xml:space="preserve">2024–present</w:t>
            </w:r>
          </w:p>
        </w:tc>
        <w:tc>
          <w:tcPr/>
          <w:p>
            <w:pPr>
              <w:pStyle w:val="Compact"/>
              <w:jc w:val="left"/>
            </w:pPr>
            <w:r>
              <w:t xml:space="preserve">Institutional guidance + shift toward process-based correction and identifiability</w:t>
            </w:r>
          </w:p>
        </w:tc>
      </w:tr>
    </w:tbl>
    <w:bookmarkEnd w:id="24"/>
    <w:bookmarkStart w:id="25" w:name="Xc894f0c4568406f8cb686577f564eb6c9045cc5"/>
    <w:p>
      <w:pPr>
        <w:pStyle w:val="Heading3"/>
      </w:pPr>
      <w:r>
        <w:t xml:space="preserve">2.5 Application taxonomy, organized by inference goal</w:t>
      </w:r>
    </w:p>
    <w:p>
      <w:pPr>
        <w:pStyle w:val="FirstParagraph"/>
      </w:pPr>
      <w:r>
        <w:t xml:space="preserve">Rather than a target-by-target listing, applications are grouped here by</w:t>
      </w:r>
      <w:r>
        <w:t xml:space="preserve"> </w:t>
      </w:r>
      <w:r>
        <w:rPr>
          <w:iCs/>
          <w:i/>
        </w:rPr>
        <w:t xml:space="preserve">what kind of population-level inference is being attempted</w:t>
      </w:r>
      <w:r>
        <w:t xml:space="preserve">, since the dominant distortion mechanisms differ systematically by category — a distinction used repeatedly in Sections 3–4.</w:t>
      </w:r>
    </w:p>
    <w:p>
      <w:pPr>
        <w:pStyle w:val="BodyText"/>
      </w:pPr>
      <w:r>
        <w:rPr>
          <w:bCs/>
          <w:b/>
        </w:rPr>
        <w:t xml:space="preserve">Table 2. WBE application taxonomy by inference goal.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Inference goal</w:t>
            </w:r>
          </w:p>
        </w:tc>
        <w:tc>
          <w:tcPr/>
          <w:p>
            <w:pPr>
              <w:pStyle w:val="Compact"/>
              <w:jc w:val="left"/>
            </w:pPr>
            <w:r>
              <w:t xml:space="preserve">Representative targets</w:t>
            </w:r>
          </w:p>
        </w:tc>
        <w:tc>
          <w:tcPr/>
          <w:p>
            <w:pPr>
              <w:pStyle w:val="Compact"/>
              <w:jc w:val="left"/>
            </w:pPr>
            <w:r>
              <w:t xml:space="preserve">Dominant distortion source</w:t>
            </w:r>
          </w:p>
        </w:tc>
      </w:tr>
      <w:tr>
        <w:tc>
          <w:tcPr/>
          <w:p>
            <w:pPr>
              <w:pStyle w:val="Compact"/>
              <w:jc w:val="left"/>
            </w:pPr>
            <w:r>
              <w:t xml:space="preserve">Infectious disease trend/outbreak detection</w:t>
            </w:r>
          </w:p>
        </w:tc>
        <w:tc>
          <w:tcPr/>
          <w:p>
            <w:pPr>
              <w:pStyle w:val="Compact"/>
              <w:jc w:val="left"/>
            </w:pPr>
            <w:r>
              <w:t xml:space="preserve">SARS-CoV-2, influenza A/B, RSV, poliovirus, norovirus, mpox, measles</w:t>
            </w:r>
          </w:p>
        </w:tc>
        <w:tc>
          <w:tcPr/>
          <w:p>
            <w:pPr>
              <w:pStyle w:val="Compact"/>
              <w:jc w:val="left"/>
            </w:pPr>
            <w:r>
              <w:t xml:space="preserve">Shedding heterogeneity (temporal); in-sewer RNA/capsid decay (amplitude) (Jung et al., 2026)</w:t>
            </w:r>
          </w:p>
        </w:tc>
      </w:tr>
      <w:tr>
        <w:tc>
          <w:tcPr/>
          <w:p>
            <w:pPr>
              <w:pStyle w:val="Compact"/>
              <w:jc w:val="left"/>
            </w:pPr>
            <w:r>
              <w:t xml:space="preserve">Antimicrobial resistance surveillance</w:t>
            </w:r>
          </w:p>
        </w:tc>
        <w:tc>
          <w:tcPr/>
          <w:p>
            <w:pPr>
              <w:pStyle w:val="Compact"/>
              <w:jc w:val="left"/>
            </w:pPr>
            <w:r>
              <w:t xml:space="preserve">Resistance genes/organisms, antibiotics and metabolites</w:t>
            </w:r>
          </w:p>
        </w:tc>
        <w:tc>
          <w:tcPr/>
          <w:p>
            <w:pPr>
              <w:pStyle w:val="Compact"/>
              <w:jc w:val="left"/>
            </w:pPr>
            <w:r>
              <w:t xml:space="preserve">One Health source attribution (spatial); indicator non-standardization (Punch et al., 2025)</w:t>
            </w:r>
          </w:p>
        </w:tc>
      </w:tr>
      <w:tr>
        <w:tc>
          <w:tcPr/>
          <w:p>
            <w:pPr>
              <w:pStyle w:val="Compact"/>
              <w:jc w:val="left"/>
            </w:pPr>
            <w:r>
              <w:t xml:space="preserve">Population behavior/consumption estimation</w:t>
            </w:r>
          </w:p>
        </w:tc>
        <w:tc>
          <w:tcPr/>
          <w:p>
            <w:pPr>
              <w:pStyle w:val="Compact"/>
              <w:jc w:val="left"/>
            </w:pPr>
            <w:r>
              <w:t xml:space="preserve">Illicit drugs, alcohol, nicotine, caffeine, prescription pharmaceuticals</w:t>
            </w:r>
          </w:p>
        </w:tc>
        <w:tc>
          <w:tcPr/>
          <w:p>
            <w:pPr>
              <w:pStyle w:val="Compact"/>
              <w:jc w:val="left"/>
            </w:pPr>
            <w:r>
              <w:t xml:space="preserve">Pharmacokinetic/excretion correction factors (amplitude); population-size normalization (spatial) (Boogaerts et al., 2024)</w:t>
            </w:r>
          </w:p>
        </w:tc>
      </w:tr>
      <w:tr>
        <w:tc>
          <w:tcPr/>
          <w:p>
            <w:pPr>
              <w:pStyle w:val="Compact"/>
              <w:jc w:val="left"/>
            </w:pPr>
            <w:r>
              <w:t xml:space="preserve">Population exposure/health-status estimation</w:t>
            </w:r>
          </w:p>
        </w:tc>
        <w:tc>
          <w:tcPr/>
          <w:p>
            <w:pPr>
              <w:pStyle w:val="Compact"/>
              <w:jc w:val="left"/>
            </w:pPr>
            <w:r>
              <w:t xml:space="preserve">Pesticide metabolites, plasticizers, endocrine disruptors, inflammation biomarkers</w:t>
            </w:r>
          </w:p>
        </w:tc>
        <w:tc>
          <w:tcPr/>
          <w:p>
            <w:pPr>
              <w:pStyle w:val="Compact"/>
              <w:jc w:val="left"/>
            </w:pPr>
            <w:r>
              <w:t xml:space="preserve">Non-human/non-dietary source contamination (amplitude); analyte transport stability (temporal)</w:t>
            </w:r>
          </w:p>
        </w:tc>
      </w:tr>
    </w:tbl>
    <w:bookmarkEnd w:id="25"/>
    <w:bookmarkStart w:id="26" w:name="scope-boundaries"/>
    <w:p>
      <w:pPr>
        <w:pStyle w:val="Heading3"/>
      </w:pPr>
      <w:r>
        <w:t xml:space="preserve">2.6 Scope boundaries</w:t>
      </w:r>
    </w:p>
    <w:p>
      <w:pPr>
        <w:pStyle w:val="FirstParagraph"/>
      </w:pPr>
      <w:r>
        <w:t xml:space="preserve">This review does not attempt to catalog every WBE target chemical or pathogen (several recent reviews already do this well — e.g., Zhu et al., 2025, on methodological frameworks; Punch et al., 2025, on AMR specifically). It is scoped instead to the signal-formation, distortion, and correction problem shared across targets, using specific pathogens/analytes as illustrations rather than as the organizing structure.</w:t>
      </w:r>
    </w:p>
    <w:p>
      <w:r>
        <w:pict>
          <v:rect style="width:0;height:1.5pt" o:hralign="center" o:hrstd="t" o:hr="t"/>
        </w:pict>
      </w:r>
    </w:p>
    <w:bookmarkEnd w:id="26"/>
    <w:bookmarkEnd w:id="27"/>
    <w:bookmarkStart w:id="31" w:name="X561e428aa31098dec38cfff9a8e95145e53f39f"/>
    <w:p>
      <w:pPr>
        <w:pStyle w:val="Heading2"/>
      </w:pPr>
      <w:r>
        <w:t xml:space="preserve">3. WBE as an Inverse Problem: Source-to-Sample Signal Formation</w:t>
      </w:r>
    </w:p>
    <w:bookmarkStart w:id="28" w:name="formal-problem-statement"/>
    <w:p>
      <w:pPr>
        <w:pStyle w:val="Heading3"/>
      </w:pPr>
      <w:r>
        <w:t xml:space="preserve">3.0 Formal problem statement</w:t>
      </w:r>
    </w:p>
    <w:p>
      <w:pPr>
        <w:pStyle w:val="FirstParagraph"/>
      </w:pPr>
      <w:r>
        <w:t xml:space="preserve">Every WBE inference implicitly assumes a chain connecting a population-level event to a measured concentration:</w:t>
      </w:r>
    </w:p>
    <w:p>
      <w:pPr>
        <w:pStyle w:val="BodyText"/>
      </w:pPr>
      <w:r>
        <w:rPr>
          <w:bCs/>
          <w:b/>
        </w:rPr>
        <w:t xml:space="preserve">population infection, consumption, or exposure → human uptake, metabolism, and excretion → household/building drainage → sewer conveyance → pump stations, storage, and overflow structures → treatment-plant inlet sampling → sample preservation and pre-treatment → instrumental analysis → normalization → load or trend back-calculation → public health interpretation.</w:t>
      </w:r>
    </w:p>
    <w:p>
      <w:pPr>
        <w:pStyle w:val="BodyText"/>
      </w:pPr>
      <w:r>
        <w:t xml:space="preserve">It is useful to state this chain formally, at least schematically, because doing so makes precise what</w:t>
      </w:r>
      <w:r>
        <w:t xml:space="preserve"> </w:t>
      </w:r>
      <w:r>
        <w:t xml:space="preserve">“</w:t>
      </w:r>
      <w:r>
        <w:t xml:space="preserve">signal distortion</w:t>
      </w:r>
      <w:r>
        <w:t xml:space="preserve">”</w:t>
      </w:r>
      <w:r>
        <w:t xml:space="preserve"> </w:t>
      </w:r>
      <w:r>
        <w:t xml:space="preserve">means and why some correction strategies work while others cannot. Let</w:t>
      </w:r>
      <w:r>
        <w:t xml:space="preserve"> </w:t>
      </w:r>
      <m:oMath>
        <m:r>
          <m:t>X</m:t>
        </m:r>
        <m:d>
          <m:dPr>
            <m:begChr m:val="("/>
            <m:endChr m:val=")"/>
            <m:sepChr m:val=""/>
            <m:grow/>
          </m:dPr>
          <m:e>
            <m:r>
              <m:t>τ</m:t>
            </m:r>
          </m:e>
        </m:d>
      </m:oMath>
      <w:r>
        <w:t xml:space="preserve"> </w:t>
      </w:r>
      <w:r>
        <w:t xml:space="preserve">denote the true source-end excretion signal (mass of target analyte entering the network per unit time from the contributing population, as a function of source time</w:t>
      </w:r>
      <w:r>
        <w:t xml:space="preserve"> </w:t>
      </w:r>
      <m:oMath>
        <m:r>
          <m:t>τ</m:t>
        </m:r>
      </m:oMath>
      <w:r>
        <w:t xml:space="preserve">). The observed concentration</w:t>
      </w:r>
      <w:r>
        <w:t xml:space="preserve"> </w:t>
      </w:r>
      <m:oMath>
        <m:r>
          <m:t>Y</m:t>
        </m:r>
        <m:d>
          <m:dPr>
            <m:begChr m:val="("/>
            <m:endChr m:val=")"/>
            <m:sepChr m:val=""/>
            <m:grow/>
          </m:dPr>
          <m:e>
            <m:r>
              <m:t>t</m:t>
            </m:r>
          </m:e>
        </m:d>
      </m:oMath>
      <w:r>
        <w:t xml:space="preserve"> </w:t>
      </w:r>
      <w:r>
        <w:t xml:space="preserve">at the treatment-plant inlet at sampling time</w:t>
      </w:r>
      <w:r>
        <w:t xml:space="preserve"> </w:t>
      </w:r>
      <m:oMath>
        <m:r>
          <m:t>t</m:t>
        </m:r>
      </m:oMath>
      <w:r>
        <w:t xml:space="preserve"> </w:t>
      </w:r>
      <w:r>
        <w:t xml:space="preserve">can be written schematically as</w:t>
      </w:r>
    </w:p>
    <w:p>
      <w:pPr>
        <w:pStyle w:val="BodyText"/>
      </w:pPr>
      <m:oMathPara>
        <m:oMathParaPr>
          <m:jc m:val="center"/>
        </m:oMathParaPr>
        <m:oMath>
          <m:r>
            <m:t>Y</m:t>
          </m:r>
          <m:d>
            <m:dPr>
              <m:begChr m:val="("/>
              <m:endChr m:val=")"/>
              <m:sepChr m:val=""/>
              <m:grow/>
            </m:dPr>
            <m:e>
              <m:r>
                <m:t>t</m:t>
              </m:r>
            </m:e>
          </m:d>
          <m:r>
            <m:t> </m:t>
          </m:r>
          <m:r>
            <m:rPr>
              <m:sty m:val="p"/>
            </m:rPr>
            <m:t>≈</m:t>
          </m:r>
          <m:r>
            <m:t> </m:t>
          </m:r>
          <m:r>
            <m:t>A</m:t>
          </m:r>
          <m:d>
            <m:dPr>
              <m:begChr m:val="("/>
              <m:endChr m:val=")"/>
              <m:sepChr m:val=""/>
              <m:grow/>
            </m:dPr>
            <m:e>
              <m:r>
                <m:t>t</m:t>
              </m:r>
            </m:e>
          </m:d>
          <m:r>
            <m:t> </m:t>
          </m:r>
          <m:d>
            <m:dPr>
              <m:begChr m:val="["/>
              <m:endChr m:val="]"/>
              <m:sepChr m:val=""/>
              <m:grow/>
            </m:dPr>
            <m:e>
              <m:r>
                <m:t> </m:t>
              </m:r>
              <m:r>
                <m:t>K</m:t>
              </m:r>
              <m:d>
                <m:dPr>
                  <m:begChr m:val="("/>
                  <m:endChr m:val=")"/>
                  <m:sepChr m:val=""/>
                  <m:grow/>
                </m:dPr>
                <m:e>
                  <m:r>
                    <m:t>t</m:t>
                  </m:r>
                  <m:r>
                    <m:rPr>
                      <m:sty m:val="p"/>
                    </m:rPr>
                    <m:t>,</m:t>
                  </m:r>
                  <m:r>
                    <m:t>τ</m:t>
                  </m:r>
                </m:e>
              </m:d>
              <m:r>
                <m:rPr>
                  <m:sty m:val="p"/>
                </m:rPr>
                <m:t>*</m:t>
              </m:r>
              <m:r>
                <m:t>X</m:t>
              </m:r>
              <m:d>
                <m:dPr>
                  <m:begChr m:val="("/>
                  <m:endChr m:val=")"/>
                  <m:sepChr m:val=""/>
                  <m:grow/>
                </m:dPr>
                <m:e>
                  <m:r>
                    <m:t>τ</m:t>
                  </m:r>
                </m:e>
              </m:d>
              <m:r>
                <m:t> </m:t>
              </m:r>
            </m:e>
          </m:d>
          <m:r>
            <m:t> </m:t>
          </m:r>
          <m:r>
            <m:rPr>
              <m:sty m:val="p"/>
            </m:rPr>
            <m:t>+</m:t>
          </m:r>
          <m:r>
            <m:t> </m:t>
          </m:r>
          <m:r>
            <m:t>ε</m:t>
          </m:r>
          <m:d>
            <m:dPr>
              <m:begChr m:val="("/>
              <m:endChr m:val=")"/>
              <m:sepChr m:val=""/>
              <m:grow/>
            </m:dPr>
            <m:e>
              <m:r>
                <m:t>t</m:t>
              </m:r>
            </m:e>
          </m:d>
        </m:oMath>
      </m:oMathPara>
    </w:p>
    <w:p>
      <w:pPr>
        <w:pStyle w:val="FirstParagraph"/>
      </w:pPr>
      <w:r>
        <w:t xml:space="preserve">where</w:t>
      </w:r>
      <w:r>
        <w:t xml:space="preserve"> </w:t>
      </w:r>
      <m:oMath>
        <m:r>
          <m:t>K</m:t>
        </m:r>
        <m:d>
          <m:dPr>
            <m:begChr m:val="("/>
            <m:endChr m:val=")"/>
            <m:sepChr m:val=""/>
            <m:grow/>
          </m:dPr>
          <m:e>
            <m:r>
              <m:t>t</m:t>
            </m:r>
            <m:r>
              <m:rPr>
                <m:sty m:val="p"/>
              </m:rPr>
              <m:t>,</m:t>
            </m:r>
            <m:r>
              <m:t>τ</m:t>
            </m:r>
          </m:e>
        </m:d>
      </m:oMath>
      <w:r>
        <w:t xml:space="preserve"> </w:t>
      </w:r>
      <w:r>
        <w:t xml:space="preserve">is a transport kernel describing how much of the mass excreted at source time</w:t>
      </w:r>
      <w:r>
        <w:t xml:space="preserve"> </w:t>
      </w:r>
      <m:oMath>
        <m:r>
          <m:t>τ</m:t>
        </m:r>
      </m:oMath>
      <w:r>
        <w:t xml:space="preserve"> </w:t>
      </w:r>
      <w:r>
        <w:t xml:space="preserve">arrives at the sampling point at time</w:t>
      </w:r>
      <w:r>
        <w:t xml:space="preserve"> </w:t>
      </w:r>
      <m:oMath>
        <m:r>
          <m:t>t</m:t>
        </m:r>
      </m:oMath>
      <w:r>
        <w:t xml:space="preserve"> </w:t>
      </w:r>
      <w:r>
        <w:t xml:space="preserve">(this kernel is not a fixed delay but a</w:t>
      </w:r>
      <w:r>
        <w:t xml:space="preserve"> </w:t>
      </w:r>
      <w:r>
        <w:rPr>
          <w:iCs/>
          <w:i/>
        </w:rPr>
        <w:t xml:space="preserve">distribution</w:t>
      </w:r>
      <w:r>
        <w:t xml:space="preserve"> </w:t>
      </w:r>
      <w:r>
        <w:t xml:space="preserve">over arrival times, because different sub-catchments and flow paths have different retention times);</w:t>
      </w:r>
      <w:r>
        <w:t xml:space="preserve"> </w:t>
      </w:r>
      <m:oMath>
        <m:r>
          <m:t>A</m:t>
        </m:r>
        <m:d>
          <m:dPr>
            <m:begChr m:val="("/>
            <m:endChr m:val=")"/>
            <m:sepChr m:val=""/>
            <m:grow/>
          </m:dPr>
          <m:e>
            <m:r>
              <m:t>t</m:t>
            </m:r>
          </m:e>
        </m:d>
      </m:oMath>
      <w:r>
        <w:t xml:space="preserve"> </w:t>
      </w:r>
      <w:r>
        <w:t xml:space="preserve">is a multiplicative amplitude factor capturing dilution, in-transit decay, and recovery/matrix effects; and</w:t>
      </w:r>
      <w:r>
        <w:t xml:space="preserve"> </w:t>
      </w:r>
      <m:oMath>
        <m:r>
          <m:t>ε</m:t>
        </m:r>
        <m:d>
          <m:dPr>
            <m:begChr m:val="("/>
            <m:endChr m:val=")"/>
            <m:sepChr m:val=""/>
            <m:grow/>
          </m:dPr>
          <m:e>
            <m:r>
              <m:t>t</m:t>
            </m:r>
          </m:e>
        </m:d>
      </m:oMath>
      <w:r>
        <w:t xml:space="preserve"> </w:t>
      </w:r>
      <w:r>
        <w:t xml:space="preserve">is measurement noise. Three named distortion types follow directly from this structure and are used throughout the remainder of this review:</w:t>
      </w:r>
    </w:p>
    <w:p>
      <w:pPr>
        <w:numPr>
          <w:ilvl w:val="0"/>
          <w:numId w:val="1004"/>
        </w:numPr>
        <w:pStyle w:val="Compact"/>
      </w:pPr>
      <w:r>
        <w:rPr>
          <w:bCs/>
          <w:b/>
        </w:rPr>
        <w:t xml:space="preserve">Amplitude distortion</w:t>
      </w:r>
      <w:r>
        <w:t xml:space="preserve"> </w:t>
      </w:r>
      <w:r>
        <w:t xml:space="preserve">is any process that scales</w:t>
      </w:r>
      <w:r>
        <w:t xml:space="preserve"> </w:t>
      </w:r>
      <m:oMath>
        <m:r>
          <m:t>A</m:t>
        </m:r>
        <m:d>
          <m:dPr>
            <m:begChr m:val="("/>
            <m:endChr m:val=")"/>
            <m:sepChr m:val=""/>
            <m:grow/>
          </m:dPr>
          <m:e>
            <m:r>
              <m:t>t</m:t>
            </m:r>
          </m:e>
        </m:d>
      </m:oMath>
      <w:r>
        <w:t xml:space="preserve"> </w:t>
      </w:r>
      <w:r>
        <w:t xml:space="preserve">away from 1 in a way not accounted for — dilution from inflow/infiltration, in-sewer decay, adsorption losses, and analytical recovery inefficiency all act on</w:t>
      </w:r>
      <w:r>
        <w:t xml:space="preserve"> </w:t>
      </w:r>
      <m:oMath>
        <m:r>
          <m:t>A</m:t>
        </m:r>
        <m:d>
          <m:dPr>
            <m:begChr m:val="("/>
            <m:endChr m:val=")"/>
            <m:sepChr m:val=""/>
            <m:grow/>
          </m:dPr>
          <m:e>
            <m:r>
              <m:t>t</m:t>
            </m:r>
          </m:e>
        </m:d>
      </m:oMath>
      <w:r>
        <w:t xml:space="preserve">.</w:t>
      </w:r>
    </w:p>
    <w:p>
      <w:pPr>
        <w:numPr>
          <w:ilvl w:val="0"/>
          <w:numId w:val="1004"/>
        </w:numPr>
        <w:pStyle w:val="Compact"/>
      </w:pPr>
      <w:r>
        <w:rPr>
          <w:bCs/>
          <w:b/>
        </w:rPr>
        <w:t xml:space="preserve">Temporal distortion</w:t>
      </w:r>
      <w:r>
        <w:t xml:space="preserve"> </w:t>
      </w:r>
      <w:r>
        <w:t xml:space="preserve">is any process that broadens, shifts, or otherwise reshapes the kernel</w:t>
      </w:r>
      <w:r>
        <w:t xml:space="preserve"> </w:t>
      </w:r>
      <m:oMath>
        <m:r>
          <m:t>K</m:t>
        </m:r>
        <m:d>
          <m:dPr>
            <m:begChr m:val="("/>
            <m:endChr m:val=")"/>
            <m:sepChr m:val=""/>
            <m:grow/>
          </m:dPr>
          <m:e>
            <m:r>
              <m:t>t</m:t>
            </m:r>
            <m:r>
              <m:rPr>
                <m:sty m:val="p"/>
              </m:rPr>
              <m:t>,</m:t>
            </m:r>
            <m:r>
              <m:t>τ</m:t>
            </m:r>
          </m:e>
        </m:d>
      </m:oMath>
      <w:r>
        <w:t xml:space="preserve"> </w:t>
      </w:r>
      <w:r>
        <w:t xml:space="preserve">away from a simple, known, fixed delay — variable individual shedding kinetics broaden the</w:t>
      </w:r>
      <w:r>
        <w:t xml:space="preserve"> </w:t>
      </w:r>
      <w:r>
        <w:rPr>
          <w:iCs/>
          <w:i/>
        </w:rPr>
        <w:t xml:space="preserve">effective source pulse</w:t>
      </w:r>
      <w:r>
        <w:t xml:space="preserve"> </w:t>
      </w:r>
      <m:oMath>
        <m:r>
          <m:t>X</m:t>
        </m:r>
        <m:d>
          <m:dPr>
            <m:begChr m:val="("/>
            <m:endChr m:val=")"/>
            <m:sepChr m:val=""/>
            <m:grow/>
          </m:dPr>
          <m:e>
            <m:r>
              <m:t>τ</m:t>
            </m:r>
          </m:e>
        </m:d>
      </m:oMath>
      <w:r>
        <w:t xml:space="preserve"> </w:t>
      </w:r>
      <w:r>
        <w:t xml:space="preserve">itself, while heterogeneous sewer retention times broaden</w:t>
      </w:r>
      <w:r>
        <w:t xml:space="preserve"> </w:t>
      </w:r>
      <m:oMath>
        <m:r>
          <m:t>K</m:t>
        </m:r>
      </m:oMath>
      <w:r>
        <w:t xml:space="preserve">; both have the practical effect of smearing a sharp underlying epidemiological signal (e.g., an outbreak onset) into a slower, delayed, harder-to-localize rise in</w:t>
      </w:r>
      <w:r>
        <w:t xml:space="preserve"> </w:t>
      </w:r>
      <m:oMath>
        <m:r>
          <m:t>Y</m:t>
        </m:r>
        <m:d>
          <m:dPr>
            <m:begChr m:val="("/>
            <m:endChr m:val=")"/>
            <m:sepChr m:val=""/>
            <m:grow/>
          </m:dPr>
          <m:e>
            <m:r>
              <m:t>t</m:t>
            </m:r>
          </m:e>
        </m:d>
      </m:oMath>
      <w:r>
        <w:t xml:space="preserve">.</w:t>
      </w:r>
    </w:p>
    <w:p>
      <w:pPr>
        <w:numPr>
          <w:ilvl w:val="0"/>
          <w:numId w:val="1004"/>
        </w:numPr>
        <w:pStyle w:val="Compact"/>
      </w:pPr>
      <w:r>
        <w:rPr>
          <w:bCs/>
          <w:b/>
        </w:rPr>
        <w:t xml:space="preserve">Spatial distortion</w:t>
      </w:r>
      <w:r>
        <w:t xml:space="preserve"> </w:t>
      </w:r>
      <w:r>
        <w:t xml:space="preserve">arises because a single treatment-plant sample is, in reality, a sum of contributions from multiple sub-catchments</w:t>
      </w:r>
      <w:r>
        <w:t xml:space="preserve"> </w:t>
      </w:r>
      <m:oMath>
        <m:r>
          <m:t>i</m:t>
        </m:r>
      </m:oMath>
      <w:r>
        <w:t xml:space="preserve">, each with its own</w:t>
      </w:r>
      <w:r>
        <w:t xml:space="preserve"> </w:t>
      </w:r>
      <m:oMath>
        <m:sSub>
          <m:e>
            <m:r>
              <m:t>K</m:t>
            </m:r>
          </m:e>
          <m:sub>
            <m:r>
              <m:t>i</m:t>
            </m:r>
          </m:sub>
        </m:sSub>
      </m:oMath>
      <w:r>
        <w:t xml:space="preserve">,</w:t>
      </w:r>
      <w:r>
        <w:t xml:space="preserve"> </w:t>
      </w:r>
      <m:oMath>
        <m:sSub>
          <m:e>
            <m:r>
              <m:t>A</m:t>
            </m:r>
          </m:e>
          <m:sub>
            <m:r>
              <m:t>i</m:t>
            </m:r>
          </m:sub>
        </m:sSub>
      </m:oMath>
      <w:r>
        <w:t xml:space="preserve">, and even its own</w:t>
      </w:r>
      <w:r>
        <w:t xml:space="preserve"> </w:t>
      </w:r>
      <m:oMath>
        <m:sSub>
          <m:e>
            <m:r>
              <m:t>X</m:t>
            </m:r>
          </m:e>
          <m:sub>
            <m:r>
              <m:t>i</m:t>
            </m:r>
          </m:sub>
        </m:sSub>
      </m:oMath>
      <w:r>
        <w:t xml:space="preserve"> </w:t>
      </w:r>
      <w:r>
        <w:t xml:space="preserve">(e.g., an institutional sub-catchment with atypical excretion patterns) — that is,</w:t>
      </w:r>
      <w:r>
        <w:t xml:space="preserve"> </w:t>
      </w:r>
      <m:oMath>
        <m:r>
          <m:t>Y</m:t>
        </m:r>
        <m:d>
          <m:dPr>
            <m:begChr m:val="("/>
            <m:endChr m:val=")"/>
            <m:sepChr m:val=""/>
            <m:grow/>
          </m:dPr>
          <m:e>
            <m:r>
              <m:t>t</m:t>
            </m:r>
          </m:e>
        </m:d>
      </m:oMath>
      <w:r>
        <w:t xml:space="preserve"> </w:t>
      </w:r>
      <w:r>
        <w:t xml:space="preserve">is really</w:t>
      </w:r>
      <w:r>
        <w:t xml:space="preserve"> </w:t>
      </w:r>
      <m:oMath>
        <m:nary>
          <m:naryPr>
            <m:chr m:val="∑"/>
            <m:limLoc m:val="undOvr"/>
            <m:subHide m:val="off"/>
            <m:supHide m:val="on"/>
          </m:naryPr>
          <m:sub>
            <m:r>
              <m:t>i</m:t>
            </m:r>
          </m:sub>
          <m:sup>
            <m:r>
              <m:t>​</m:t>
            </m:r>
          </m:sup>
          <m:e>
            <m:sSub>
              <m:e>
                <m:r>
                  <m:t>A</m:t>
                </m:r>
              </m:e>
              <m:sub>
                <m:r>
                  <m:t>i</m:t>
                </m:r>
              </m:sub>
            </m:sSub>
          </m:e>
        </m:nary>
        <m:d>
          <m:dPr>
            <m:begChr m:val="("/>
            <m:endChr m:val=")"/>
            <m:sepChr m:val=""/>
            <m:grow/>
          </m:dPr>
          <m:e>
            <m:r>
              <m:t>t</m:t>
            </m:r>
          </m:e>
        </m:d>
        <m:r>
          <m:t> </m:t>
        </m:r>
        <m:d>
          <m:dPr>
            <m:begChr m:val="["/>
            <m:endChr m:val="]"/>
            <m:sepChr m:val=""/>
            <m:grow/>
          </m:dPr>
          <m:e>
            <m:sSub>
              <m:e>
                <m:r>
                  <m:t>K</m:t>
                </m:r>
              </m:e>
              <m:sub>
                <m:r>
                  <m:t>i</m:t>
                </m:r>
              </m:sub>
            </m:sSub>
            <m:r>
              <m:rPr>
                <m:sty m:val="p"/>
              </m:rPr>
              <m:t>*</m:t>
            </m:r>
            <m:sSub>
              <m:e>
                <m:r>
                  <m:t>X</m:t>
                </m:r>
              </m:e>
              <m:sub>
                <m:r>
                  <m:t>i</m:t>
                </m:r>
              </m:sub>
            </m:sSub>
          </m:e>
        </m:d>
        <m:d>
          <m:dPr>
            <m:begChr m:val="("/>
            <m:endChr m:val=")"/>
            <m:sepChr m:val=""/>
            <m:grow/>
          </m:dPr>
          <m:e>
            <m:r>
              <m:t>t</m:t>
            </m:r>
          </m:e>
        </m:d>
      </m:oMath>
      <w:r>
        <w:t xml:space="preserve">, a weighted sum across sub-catchments rather than a single clean chain. Spatial distortion is what happens when the</w:t>
      </w:r>
      <w:r>
        <w:t xml:space="preserve"> </w:t>
      </w:r>
      <w:r>
        <w:rPr>
          <w:iCs/>
          <w:i/>
        </w:rPr>
        <w:t xml:space="preserve">relative weighting</w:t>
      </w:r>
      <w:r>
        <w:t xml:space="preserve"> </w:t>
      </w:r>
      <w:r>
        <w:t xml:space="preserve">of the</w:t>
      </w:r>
      <w:r>
        <w:t xml:space="preserve"> </w:t>
      </w:r>
      <m:oMath>
        <m:r>
          <m:t>i</m:t>
        </m:r>
      </m:oMath>
      <w:r>
        <w:t xml:space="preserve"> </w:t>
      </w:r>
      <w:r>
        <w:t xml:space="preserve">sub-catchments in that sum changes over time — for instance, when a storm disproportionately increases the flow contribution from one sub-catchment relative to others.</w:t>
      </w:r>
    </w:p>
    <w:p>
      <w:pPr>
        <w:pStyle w:val="FirstParagraph"/>
      </w:pPr>
      <w:r>
        <w:rPr>
          <w:bCs/>
          <w:b/>
        </w:rPr>
        <w:t xml:space="preserve">Identifiability</w:t>
      </w:r>
      <w:r>
        <w:t xml:space="preserve"> </w:t>
      </w:r>
      <w:r>
        <w:t xml:space="preserve">is the question of whether</w:t>
      </w:r>
      <w:r>
        <w:t xml:space="preserve"> </w:t>
      </w:r>
      <m:oMath>
        <m:r>
          <m:t>Y</m:t>
        </m:r>
        <m:d>
          <m:dPr>
            <m:begChr m:val="("/>
            <m:endChr m:val=")"/>
            <m:sepChr m:val=""/>
            <m:grow/>
          </m:dPr>
          <m:e>
            <m:r>
              <m:t>t</m:t>
            </m:r>
          </m:e>
        </m:d>
      </m:oMath>
      <w:r>
        <w:t xml:space="preserve">, plus whatever auxiliary data are available (flow, temperature, population markers, rainfall records), constrains</w:t>
      </w:r>
      <w:r>
        <w:t xml:space="preserve"> </w:t>
      </w:r>
      <m:oMath>
        <m:r>
          <m:t>X</m:t>
        </m:r>
        <m:d>
          <m:dPr>
            <m:begChr m:val="("/>
            <m:endChr m:val=")"/>
            <m:sepChr m:val=""/>
            <m:grow/>
          </m:dPr>
          <m:e>
            <m:r>
              <m:t>τ</m:t>
            </m:r>
          </m:e>
        </m:d>
      </m:oMath>
      <w:r>
        <w:t xml:space="preserve"> </w:t>
      </w:r>
      <w:r>
        <w:t xml:space="preserve">— or the population-level quantity of interest derived from it — to a useful degree, given that</w:t>
      </w:r>
      <w:r>
        <w:t xml:space="preserve"> </w:t>
      </w:r>
      <m:oMath>
        <m:r>
          <m:t>A</m:t>
        </m:r>
        <m:d>
          <m:dPr>
            <m:begChr m:val="("/>
            <m:endChr m:val=")"/>
            <m:sepChr m:val=""/>
            <m:grow/>
          </m:dPr>
          <m:e>
            <m:r>
              <m:t>t</m:t>
            </m:r>
          </m:e>
        </m:d>
      </m:oMath>
      <w:r>
        <w:t xml:space="preserve">,</w:t>
      </w:r>
      <w:r>
        <w:t xml:space="preserve"> </w:t>
      </w:r>
      <m:oMath>
        <m:r>
          <m:t>K</m:t>
        </m:r>
        <m:d>
          <m:dPr>
            <m:begChr m:val="("/>
            <m:endChr m:val=")"/>
            <m:sepChr m:val=""/>
            <m:grow/>
          </m:dPr>
          <m:e>
            <m:r>
              <m:t>t</m:t>
            </m:r>
            <m:r>
              <m:rPr>
                <m:sty m:val="p"/>
              </m:rPr>
              <m:t>,</m:t>
            </m:r>
            <m:r>
              <m:t>τ</m:t>
            </m:r>
          </m:e>
        </m:d>
      </m:oMath>
      <w:r>
        <w:t xml:space="preserve">, and the sub-catchment weighting are all simultaneously uncertain. When they are unconstrained, many different combinations of true source signal and distortion process are consistent with the same observed</w:t>
      </w:r>
      <w:r>
        <w:t xml:space="preserve"> </w:t>
      </w:r>
      <m:oMath>
        <m:r>
          <m:t>Y</m:t>
        </m:r>
        <m:d>
          <m:dPr>
            <m:begChr m:val="("/>
            <m:endChr m:val=")"/>
            <m:sepChr m:val=""/>
            <m:grow/>
          </m:dPr>
          <m:e>
            <m:r>
              <m:t>t</m:t>
            </m:r>
          </m:e>
        </m:d>
      </m:oMath>
      <w:r>
        <w:t xml:space="preserve">, and back-calculation is correspondingly non-unique — the review returns to this explicitly in §4.3.</w:t>
      </w:r>
      <w:r>
        <w:t xml:space="preserve"> </w:t>
      </w:r>
      <w:r>
        <w:rPr>
          <w:bCs/>
          <w:b/>
        </w:rPr>
        <w:t xml:space="preserve">Process-informed correction</w:t>
      </w:r>
      <w:r>
        <w:t xml:space="preserve"> </w:t>
      </w:r>
      <w:r>
        <w:t xml:space="preserve">is the practice of using independently measured or mechanistically modeled information about</w:t>
      </w:r>
      <w:r>
        <w:t xml:space="preserve"> </w:t>
      </w:r>
      <m:oMath>
        <m:r>
          <m:t>A</m:t>
        </m:r>
        <m:d>
          <m:dPr>
            <m:begChr m:val="("/>
            <m:endChr m:val=")"/>
            <m:sepChr m:val=""/>
            <m:grow/>
          </m:dPr>
          <m:e>
            <m:r>
              <m:t>t</m:t>
            </m:r>
          </m:e>
        </m:d>
      </m:oMath>
      <w:r>
        <w:t xml:space="preserve"> </w:t>
      </w:r>
      <w:r>
        <w:t xml:space="preserve">and</w:t>
      </w:r>
      <w:r>
        <w:t xml:space="preserve"> </w:t>
      </w:r>
      <m:oMath>
        <m:r>
          <m:t>K</m:t>
        </m:r>
        <m:d>
          <m:dPr>
            <m:begChr m:val="("/>
            <m:endChr m:val=")"/>
            <m:sepChr m:val=""/>
            <m:grow/>
          </m:dPr>
          <m:e>
            <m:r>
              <m:t>t</m:t>
            </m:r>
            <m:r>
              <m:rPr>
                <m:sty m:val="p"/>
              </m:rPr>
              <m:t>,</m:t>
            </m:r>
            <m:r>
              <m:t>τ</m:t>
            </m:r>
          </m:e>
        </m:d>
      </m:oMath>
      <w:r>
        <w:t xml:space="preserve"> </w:t>
      </w:r>
      <w:r>
        <w:t xml:space="preserve">(flow data, temperature-dependent decay kinetics, retention-time distributions from hydraulic models) to narrow that solution space, as opposed to correcting purely empirically (e.g., fitting a single population-marker ratio across an entire monitoring period regardless of conditions).</w:t>
      </w:r>
    </w:p>
    <w:p>
      <w:pPr>
        <w:pStyle w:val="BodyText"/>
      </w:pPr>
      <w:r>
        <w:t xml:space="preserve">This section (§3.1–§3.2) and Section 4 work through what actually drives</w:t>
      </w:r>
      <w:r>
        <w:t xml:space="preserve"> </w:t>
      </w:r>
      <m:oMath>
        <m:r>
          <m:t>X</m:t>
        </m:r>
        <m:d>
          <m:dPr>
            <m:begChr m:val="("/>
            <m:endChr m:val=")"/>
            <m:sepChr m:val=""/>
            <m:grow/>
          </m:dPr>
          <m:e>
            <m:r>
              <m:t>τ</m:t>
            </m:r>
          </m:e>
        </m:d>
      </m:oMath>
      <w:r>
        <w:t xml:space="preserve">’s deviation from a simple proportional signal, and what actually shapes</w:t>
      </w:r>
      <w:r>
        <w:t xml:space="preserve"> </w:t>
      </w:r>
      <m:oMath>
        <m:r>
          <m:t>A</m:t>
        </m:r>
        <m:d>
          <m:dPr>
            <m:begChr m:val="("/>
            <m:endChr m:val=")"/>
            <m:sepChr m:val=""/>
            <m:grow/>
          </m:dPr>
          <m:e>
            <m:r>
              <m:t>t</m:t>
            </m:r>
          </m:e>
        </m:d>
      </m:oMath>
      <w:r>
        <w:t xml:space="preserve"> </w:t>
      </w:r>
      <w:r>
        <w:t xml:space="preserve">and</w:t>
      </w:r>
      <w:r>
        <w:t xml:space="preserve"> </w:t>
      </w:r>
      <m:oMath>
        <m:r>
          <m:t>K</m:t>
        </m:r>
        <m:d>
          <m:dPr>
            <m:begChr m:val="("/>
            <m:endChr m:val=")"/>
            <m:sepChr m:val=""/>
            <m:grow/>
          </m:dPr>
          <m:e>
            <m:r>
              <m:t>t</m:t>
            </m:r>
            <m:r>
              <m:rPr>
                <m:sty m:val="p"/>
              </m:rPr>
              <m:t>,</m:t>
            </m:r>
            <m:r>
              <m:t>τ</m:t>
            </m:r>
          </m:e>
        </m:d>
      </m:oMath>
      <w:r>
        <w:t xml:space="preserve">, in roughly the order they occur along the chain above.</w:t>
      </w:r>
    </w:p>
    <w:bookmarkEnd w:id="28"/>
    <w:bookmarkStart w:id="29" w:name="Xdf200e0496d3059e97cfd09a34bda74797c4bee"/>
    <w:p>
      <w:pPr>
        <w:pStyle w:val="Heading3"/>
      </w:pPr>
      <w:r>
        <w:t xml:space="preserve">3.1 Source-End Biological and Behavioral Variation</w:t>
      </w:r>
    </w:p>
    <w:p>
      <w:pPr>
        <w:pStyle w:val="FirstParagraph"/>
      </w:pPr>
      <w:r>
        <w:t xml:space="preserve">The starting assumption that a given number of infected, medicated, or exposed individuals produces a proportional, predictable mass of target analyte — i.e., that</w:t>
      </w:r>
      <w:r>
        <w:t xml:space="preserve"> </w:t>
      </w:r>
      <m:oMath>
        <m:r>
          <m:t>X</m:t>
        </m:r>
        <m:d>
          <m:dPr>
            <m:begChr m:val="("/>
            <m:endChr m:val=")"/>
            <m:sepChr m:val=""/>
            <m:grow/>
          </m:dPr>
          <m:e>
            <m:r>
              <m:t>τ</m:t>
            </m:r>
          </m:e>
        </m:d>
      </m:oMath>
      <w:r>
        <w:t xml:space="preserve"> </w:t>
      </w:r>
      <w:r>
        <w:t xml:space="preserve">is a simple scaled copy of the epidemiological quantity of interest — is only approximately true, and breaks down differently for different target classes. This is a source of</w:t>
      </w:r>
      <w:r>
        <w:t xml:space="preserve"> </w:t>
      </w:r>
      <w:r>
        <w:rPr>
          <w:bCs/>
          <w:b/>
        </w:rPr>
        <w:t xml:space="preserve">temporal distortion</w:t>
      </w:r>
      <w:r>
        <w:t xml:space="preserve"> </w:t>
      </w:r>
      <w:r>
        <w:t xml:space="preserve">(through shedding-kinetics-driven broadening of the effective source pulse) and, secondarily,</w:t>
      </w:r>
      <w:r>
        <w:t xml:space="preserve"> </w:t>
      </w:r>
      <w:r>
        <w:rPr>
          <w:bCs/>
          <w:b/>
        </w:rPr>
        <w:t xml:space="preserve">amplitude distortion</w:t>
      </w:r>
      <w:r>
        <w:t xml:space="preserve"> </w:t>
      </w:r>
      <w:r>
        <w:t xml:space="preserve">(through population-average shedding-intensity uncertainty).</w:t>
      </w:r>
    </w:p>
    <w:p>
      <w:pPr>
        <w:pStyle w:val="BodyText"/>
      </w:pPr>
      <w:r>
        <w:rPr>
          <w:bCs/>
          <w:b/>
        </w:rPr>
        <w:t xml:space="preserve">Shedding heterogeneity (temporal distortion).</w:t>
      </w:r>
      <w:r>
        <w:t xml:space="preserve"> </w:t>
      </w:r>
      <w:r>
        <w:t xml:space="preserve">For SARS-CoV-2, fecal RNA shedding is neither universal nor uniform across infected individuals, and where it occurs, concentration and duration both vary substantially, with shedding continuing well beyond the period of respiratory symptoms in some individuals (Miura, Kitajima, &amp; Omori, 2021 — see §2.3 for a flagged inconsistency in this source’s precise point estimates). Because shedding intensity is not constant across the course of infection, the same number of currently-infected individuals in a catchment can correspond to different total fecal viral loads on different days depending on the mix of early-, peak-, and late-stage infections present — this broadens the effective source pulse</w:t>
      </w:r>
      <w:r>
        <w:t xml:space="preserve"> </w:t>
      </w:r>
      <m:oMath>
        <m:r>
          <m:t>X</m:t>
        </m:r>
        <m:d>
          <m:dPr>
            <m:begChr m:val="("/>
            <m:endChr m:val=")"/>
            <m:sepChr m:val=""/>
            <m:grow/>
          </m:dPr>
          <m:e>
            <m:r>
              <m:t>τ</m:t>
            </m:r>
          </m:e>
        </m:d>
      </m:oMath>
      <w:r>
        <w:t xml:space="preserve"> </w:t>
      </w:r>
      <w:r>
        <w:t xml:space="preserve">relative to the sharper underlying infection-incidence curve, which is precisely a temporal distortion in the formal sense defined in §3.0, and one that a single point-in-time correlational model cannot remove without an explicit epidemic-phase or shedding-kinetics term.</w:t>
      </w:r>
    </w:p>
    <w:p>
      <w:pPr>
        <w:pStyle w:val="BodyText"/>
      </w:pPr>
      <w:r>
        <w:rPr>
          <w:bCs/>
          <w:b/>
        </w:rPr>
        <w:t xml:space="preserve">Asymptomatic and undiagnosed shedding (identifiability, not distortion per se).</w:t>
      </w:r>
      <w:r>
        <w:t xml:space="preserve"> </w:t>
      </w:r>
      <w:r>
        <w:t xml:space="preserve">Because WBE captures shedding regardless of symptom status or care-seeking behavior, catchment-level signal includes a contribution from asymptomatic and subclinical infections that clinical surveillance systematically misses — WBE’s core comparative advantage (NASEM, 2023). This is not a distortion of</w:t>
      </w:r>
      <w:r>
        <w:t xml:space="preserve"> </w:t>
      </w:r>
      <m:oMath>
        <m:r>
          <m:t>X</m:t>
        </m:r>
        <m:d>
          <m:dPr>
            <m:begChr m:val="("/>
            <m:endChr m:val=")"/>
            <m:sepChr m:val=""/>
            <m:grow/>
          </m:dPr>
          <m:e>
            <m:r>
              <m:t>τ</m:t>
            </m:r>
          </m:e>
        </m:d>
      </m:oMath>
      <w:r>
        <w:t xml:space="preserve"> </w:t>
      </w:r>
      <w:r>
        <w:t xml:space="preserve">relative to true population infection burden so much as a difference in</w:t>
      </w:r>
      <w:r>
        <w:t xml:space="preserve"> </w:t>
      </w:r>
      <w:r>
        <w:rPr>
          <w:iCs/>
          <w:i/>
        </w:rPr>
        <w:t xml:space="preserve">what quantity</w:t>
      </w:r>
      <w:r>
        <w:t xml:space="preserve"> </w:t>
      </w:r>
      <m:oMath>
        <m:r>
          <m:t>X</m:t>
        </m:r>
        <m:d>
          <m:dPr>
            <m:begChr m:val="("/>
            <m:endChr m:val=")"/>
            <m:sepChr m:val=""/>
            <m:grow/>
          </m:dPr>
          <m:e>
            <m:r>
              <m:t>τ</m:t>
            </m:r>
          </m:e>
        </m:d>
      </m:oMath>
      <w:r>
        <w:t xml:space="preserve"> </w:t>
      </w:r>
      <w:r>
        <w:t xml:space="preserve">actually tracks relative to the clinical case count; treating wastewater and clinical signals as measuring the same denominator, when they structurally do not, is itself an identifiability problem.</w:t>
      </w:r>
    </w:p>
    <w:p>
      <w:pPr>
        <w:pStyle w:val="BodyText"/>
      </w:pPr>
      <w:r>
        <w:rPr>
          <w:bCs/>
          <w:b/>
        </w:rPr>
        <w:t xml:space="preserve">Dose, formulation, and route for chemical targets (amplitude distortion).</w:t>
      </w:r>
      <w:r>
        <w:t xml:space="preserve"> </w:t>
      </w:r>
      <w:r>
        <w:t xml:space="preserve">For pharmaceuticals and illicit drugs, excreted mass depends on administered dose, route of administration, individual metabolic rate, and the ratio of parent compound to metabolites excreted — a ratio that varies with liver and kidney function, age, and co-administered substances. Back-calculation models require a population-average pharmacokinetic correction factor, and because that factor is typically derived from clinical pharmacokinetic studies in smaller, more homogeneous populations than the sewershed being monitored, it is a source of systematic amplitude error in consumption estimates, not merely random noise (Boogaerts et al., 2024).</w:t>
      </w:r>
    </w:p>
    <w:p>
      <w:pPr>
        <w:pStyle w:val="BodyText"/>
      </w:pPr>
      <w:r>
        <w:rPr>
          <w:bCs/>
          <w:b/>
        </w:rPr>
        <w:t xml:space="preserve">Diurnal and weekly excretion cycles (temporal distortion).</w:t>
      </w:r>
      <w:r>
        <w:t xml:space="preserve"> </w:t>
      </w:r>
      <w:r>
        <w:t xml:space="preserve">Toilet-flushing behavior, meal timing, and occupational schedules produce pronounced diurnal and day-of-week cycles in both flow and analyte loading, so grab samples taken at different times of day, or composites started at different clock times, are not directly comparable even within the same catchment — a source of temporal distortion whose practical consequence is discussed further in the sampling design content planned for §5.</w:t>
      </w:r>
    </w:p>
    <w:bookmarkEnd w:id="29"/>
    <w:bookmarkStart w:id="30" w:name="building-and-local-drainage-processes"/>
    <w:p>
      <w:pPr>
        <w:pStyle w:val="Heading3"/>
      </w:pPr>
      <w:r>
        <w:t xml:space="preserve">3.2 Building and Local Drainage Processes</w:t>
      </w:r>
    </w:p>
    <w:p>
      <w:pPr>
        <w:pStyle w:val="FirstParagraph"/>
      </w:pPr>
      <w:r>
        <w:t xml:space="preserve">Between excretion and the public sewer lies building plumbing — a stage largely absent from the WBE uncertainty literature despite being the point closest to the source, and therefore, in principle, the stage where distortion is most tractable to characterize and correct.</w:t>
      </w:r>
    </w:p>
    <w:p>
      <w:pPr>
        <w:pStyle w:val="BodyText"/>
      </w:pPr>
      <w:r>
        <w:t xml:space="preserve">Relevant factors, mapped to the §3.0 taxonomy, include: per-fixture flush volumes and building water-use efficiency, which set an initial dilution ratio (</w:t>
      </w:r>
      <w:r>
        <w:rPr>
          <w:bCs/>
          <w:b/>
        </w:rPr>
        <w:t xml:space="preserve">amplitude</w:t>
      </w:r>
      <w:r>
        <w:t xml:space="preserve">) applied before excreta reaches any public sewer; mixing with greywater from bathing, laundry, and food preparation (</w:t>
      </w:r>
      <w:r>
        <w:rPr>
          <w:bCs/>
          <w:b/>
        </w:rPr>
        <w:t xml:space="preserve">amplitude</w:t>
      </w:r>
      <w:r>
        <w:t xml:space="preserve">); the disproportionate contribution of institutional sources — hospitals, schools, elder-care facilities, airports, and prisons — whose occupant excretion patterns, drug and disinfectant use, and occupancy dynamics differ systematically from residential norms and can locally dominate a sub-catchment’s signal (</w:t>
      </w:r>
      <w:r>
        <w:rPr>
          <w:bCs/>
          <w:b/>
        </w:rPr>
        <w:t xml:space="preserve">spatial</w:t>
      </w:r>
      <w:r>
        <w:t xml:space="preserve">, in the sense of §3.0’s sub-catchment-weighting formulation); the use of disinfectants and cleaning chemicals that may inhibit downstream molecular assays or alter chemical target stability (</w:t>
      </w:r>
      <w:r>
        <w:rPr>
          <w:bCs/>
          <w:b/>
        </w:rPr>
        <w:t xml:space="preserve">amplitude</w:t>
      </w:r>
      <w:r>
        <w:t xml:space="preserve">); and finite in-building retention time, during which limited but non-zero transformation can begin before wastewater reaches the public network (</w:t>
      </w:r>
      <w:r>
        <w:rPr>
          <w:bCs/>
          <w:b/>
        </w:rPr>
        <w:t xml:space="preserve">temporal</w:t>
      </w:r>
      <w:r>
        <w:t xml:space="preserve">, a small additional broadening of</w:t>
      </w:r>
      <w:r>
        <w:t xml:space="preserve"> </w:t>
      </w:r>
      <m:oMath>
        <m:r>
          <m:t>K</m:t>
        </m:r>
      </m:oMath>
      <w:r>
        <w:t xml:space="preserve">). Because building- and sub-catchment-scale monitoring is a rapidly growing application for outbreak localization in institutional settings, understanding building-level distortion is increasingly a monitoring-design question in its own right, not only a theoretical caveat.</w:t>
      </w:r>
    </w:p>
    <w:p>
      <w:r>
        <w:pict>
          <v:rect style="width:0;height:1.5pt" o:hralign="center" o:hrstd="t" o:hr="t"/>
        </w:pict>
      </w:r>
    </w:p>
    <w:bookmarkEnd w:id="30"/>
    <w:bookmarkEnd w:id="31"/>
    <w:bookmarkStart w:id="35" w:name="X51b84d0623ddb0dbbd327eccdfda679456f86d7"/>
    <w:p>
      <w:pPr>
        <w:pStyle w:val="Heading2"/>
      </w:pPr>
      <w:r>
        <w:t xml:space="preserve">4. Signal Distortion in Sewer Transport: From Transformation to Identifiability</w:t>
      </w:r>
    </w:p>
    <w:p>
      <w:pPr>
        <w:pStyle w:val="FirstParagraph"/>
      </w:pPr>
      <w:r>
        <w:t xml:space="preserve">Section 3 established that source-end signal is already heterogeneous — subject to temporal and amplitude distortion — before it enters the public network. This section argues that the sewer network itself is not a passive conduit but an active reactor, and that rainfall in particular is not simply a nuisance confound but a structural perturbation that acts on amplitude, temporal, and spatial distortion simultaneously. Section 4.3 then closes the loop back to the §3.0 framework by discussing what these combined distortions imply for identifiability and why process-informed correction, rather than purely empirical normalization, is the appropriate response.</w:t>
      </w:r>
    </w:p>
    <w:bookmarkStart w:id="32" w:name="X12bec211b1d3e38637891fe5fa3df75c53344df"/>
    <w:p>
      <w:pPr>
        <w:pStyle w:val="Heading3"/>
      </w:pPr>
      <w:r>
        <w:t xml:space="preserve">4.1 Physical, Chemical, and Biological Transformation in Transit — Amplitude and Temporal Effects</w:t>
      </w:r>
    </w:p>
    <w:p>
      <w:pPr>
        <w:pStyle w:val="FirstParagraph"/>
      </w:pPr>
      <w:r>
        <w:rPr>
          <w:bCs/>
          <w:b/>
        </w:rPr>
        <w:t xml:space="preserve">Physical processes (amplitude and temporal).</w:t>
      </w:r>
      <w:r>
        <w:t xml:space="preserve"> </w:t>
      </w:r>
      <w:r>
        <w:t xml:space="preserve">Sewage in transit is subject to dilution from base infiltration (amplitude), particle adsorption and desorption governing the liquid/solid partitioning of a target (amplitude, and indirectly temporal if particle-bound fractions settle and later resuspend), sedimentation and resuspension of settled solids, gas–liquid partitioning for volatile compounds, incomplete mixing across converging sub-catchment flows (spatial), and — critically — different hydraulic retention times along different tributary paths converging at one downstream sampling point (temporal, formally the kernel</w:t>
      </w:r>
      <w:r>
        <w:t xml:space="preserve"> </w:t>
      </w:r>
      <m:oMath>
        <m:sSub>
          <m:e>
            <m:r>
              <m:t>K</m:t>
            </m:r>
          </m:e>
          <m:sub>
            <m:r>
              <m:t>i</m:t>
            </m:r>
          </m:sub>
        </m:sSub>
      </m:oMath>
      <w:r>
        <w:t xml:space="preserve"> </w:t>
      </w:r>
      <w:r>
        <w:t xml:space="preserve">varying by sub-catchment</w:t>
      </w:r>
      <w:r>
        <w:t xml:space="preserve"> </w:t>
      </w:r>
      <m:oMath>
        <m:r>
          <m:t>i</m:t>
        </m:r>
      </m:oMath>
      <w:r>
        <w:t xml:space="preserve"> </w:t>
      </w:r>
      <w:r>
        <w:t xml:space="preserve">introduced in §3.0). A single treatment-plant sample is therefore a time- and path-weighted composite whose weighting is rarely known explicitly.</w:t>
      </w:r>
    </w:p>
    <w:p>
      <w:pPr>
        <w:pStyle w:val="BodyText"/>
      </w:pPr>
      <w:r>
        <w:rPr>
          <w:bCs/>
          <w:b/>
        </w:rPr>
        <w:t xml:space="preserve">Chemical processes (amplitude).</w:t>
      </w:r>
      <w:r>
        <w:t xml:space="preserve"> </w:t>
      </w:r>
      <w:r>
        <w:t xml:space="preserve">Hydrolysis, redox reactions, pH- and ionic-strength-dependent speciation, and binding to dissolved organic matter can alter a chemical target’s measurable concentration independent of any change in the mass originally excreted. Photolysis is generally negligible in closed sewers but can matter in open channels or exposed storage structures.</w:t>
      </w:r>
    </w:p>
    <w:p>
      <w:pPr>
        <w:pStyle w:val="BodyText"/>
      </w:pPr>
      <w:r>
        <w:rPr>
          <w:bCs/>
          <w:b/>
        </w:rPr>
        <w:t xml:space="preserve">Biological processes (amplitude, with temporal implications).</w:t>
      </w:r>
      <w:r>
        <w:t xml:space="preserve"> </w:t>
      </w:r>
      <w:r>
        <w:t xml:space="preserve">Sewer biofilms — microbial layers coating pipe walls — are an active sink for viral RNA rather than an inert surface: laboratory reactor studies reported roughly 90% reduction in SARS-CoV-2 RNA concentration within two hours of exposure to biofilm-colonized gravity and rising-main sewer reactors (Zhang et al., 2023; figure pending full-text confirmation, see §2.3). A 2026 study combining batch decay tests with a lab-scale sewer pipeline simulator found microbial activity, rather than chemical hydrolysis, to be the dominant driver of RNA loss, with decay increasing measurably as a function of transport distance and first-order decay constants reported several-fold higher in raw wastewater than under microbially suppressed conditions (Jung et al., 2026; specific rate constants pending full-text confirmation). Because decay is distance- (and therefore retention-time-) dependent, amplitude loss and temporal distortion are not independent here: sub-catchments with longer retention times lose proportionally more signal, which means amplitude loss is itself spatially heterogeneous across a network — a coupling that purely multiplicative</w:t>
      </w:r>
      <w:r>
        <w:t xml:space="preserve"> </w:t>
      </w:r>
      <w:r>
        <w:t xml:space="preserve">“</w:t>
      </w:r>
      <w:r>
        <w:t xml:space="preserve">flow normalization</w:t>
      </w:r>
      <w:r>
        <w:t xml:space="preserve">”</w:t>
      </w:r>
      <w:r>
        <w:t xml:space="preserve"> </w:t>
      </w:r>
      <w:r>
        <w:t xml:space="preserve">cannot, by construction, correct for.</w:t>
      </w:r>
    </w:p>
    <w:p>
      <w:pPr>
        <w:pStyle w:val="BodyText"/>
      </w:pPr>
      <w:r>
        <w:rPr>
          <w:bCs/>
          <w:b/>
        </w:rPr>
        <w:t xml:space="preserve">Network-level controls.</w:t>
      </w:r>
      <w:r>
        <w:t xml:space="preserve"> </w:t>
      </w:r>
      <w:r>
        <w:t xml:space="preserve">The rate and extent of transformation are jointly governed by wastewater temperature, dissolved oxygen and redox conditions, pH, hydraulic retention time, pipe diameter and slope (setting flow velocity and hence both retention time and shear-driven resuspension), sediment accumulation, combined-vs-separated network design, and pump-station/storage operation — meaning two sewersheds with identical source-end populations can produce measurably different treatment-plant signals purely from network geometry and operation.</w:t>
      </w:r>
    </w:p>
    <w:bookmarkEnd w:id="32"/>
    <w:bookmarkStart w:id="33" w:name="Xc30a247426d761fe9523f9601975a7dfc94df64"/>
    <w:p>
      <w:pPr>
        <w:pStyle w:val="Heading3"/>
      </w:pPr>
      <w:r>
        <w:t xml:space="preserve">4.2 Rainfall- and Warm-Season-Induced Distortion — A Compound Perturbation</w:t>
      </w:r>
    </w:p>
    <w:p>
      <w:pPr>
        <w:pStyle w:val="FirstParagraph"/>
      </w:pPr>
      <w:r>
        <w:rPr>
          <w:bCs/>
          <w:b/>
        </w:rPr>
        <w:t xml:space="preserve">Direct effects of rainfall (amplitude + temporal + spatial, simultaneously).</w:t>
      </w:r>
      <w:r>
        <w:t xml:space="preserve"> </w:t>
      </w:r>
      <w:r>
        <w:t xml:space="preserve">Rainfall enters sewer networks through two structurally different pathways with distinct signatures:</w:t>
      </w:r>
      <w:r>
        <w:t xml:space="preserve"> </w:t>
      </w:r>
      <w:r>
        <w:rPr>
          <w:iCs/>
          <w:i/>
        </w:rPr>
        <w:t xml:space="preserve">inflow</w:t>
      </w:r>
      <w:r>
        <w:t xml:space="preserve"> </w:t>
      </w:r>
      <w:r>
        <w:t xml:space="preserve">(fast, direct stormwater entry through manholes and connected drains) and</w:t>
      </w:r>
      <w:r>
        <w:t xml:space="preserve"> </w:t>
      </w:r>
      <w:r>
        <w:rPr>
          <w:iCs/>
          <w:i/>
        </w:rPr>
        <w:t xml:space="preserve">infiltration</w:t>
      </w:r>
      <w:r>
        <w:t xml:space="preserve"> </w:t>
      </w:r>
      <w:r>
        <w:t xml:space="preserve">(slower groundwater intrusion through pipe joints and cracks), together inflow and infiltration (I&amp;I). Both dilute measured concentrations (</w:t>
      </w:r>
      <w:r>
        <w:rPr>
          <w:bCs/>
          <w:b/>
        </w:rPr>
        <w:t xml:space="preserve">amplitude</w:t>
      </w:r>
      <w:r>
        <w:t xml:space="preserve">), but I&amp;I additionally increases total flow, can resuspend settled sediment — transiently spiking rather than only diluting particle-bound targets (</w:t>
      </w:r>
      <w:r>
        <w:rPr>
          <w:bCs/>
          <w:b/>
        </w:rPr>
        <w:t xml:space="preserve">amplitude</w:t>
      </w:r>
      <w:r>
        <w:t xml:space="preserve">, non-monotonic) — shortens effective hydraulic retention time by increasing flow velocity (</w:t>
      </w:r>
      <w:r>
        <w:rPr>
          <w:bCs/>
          <w:b/>
        </w:rPr>
        <w:t xml:space="preserve">temporal</w:t>
      </w:r>
      <w:r>
        <w:t xml:space="preserve">), and shifts the relative contribution of different sub-catchments to the composite signal as flow paths normally minor become proportionally larger during storms (</w:t>
      </w:r>
      <w:r>
        <w:rPr>
          <w:bCs/>
          <w:b/>
        </w:rPr>
        <w:t xml:space="preserve">spatial</w:t>
      </w:r>
      <w:r>
        <w:t xml:space="preserve">, i.e., the sub-catchment weights</w:t>
      </w:r>
      <w:r>
        <w:t xml:space="preserve"> </w:t>
      </w:r>
      <m:oMath>
        <m:sSub>
          <m:e>
            <m:r>
              <m:t>A</m:t>
            </m:r>
          </m:e>
          <m:sub>
            <m:r>
              <m:t>i</m:t>
            </m:r>
          </m:sub>
        </m:sSub>
        <m:r>
          <m:rPr>
            <m:sty m:val="p"/>
          </m:rPr>
          <m:t>,</m:t>
        </m:r>
        <m:sSub>
          <m:e>
            <m:r>
              <m:t>K</m:t>
            </m:r>
          </m:e>
          <m:sub>
            <m:r>
              <m:t>i</m:t>
            </m:r>
          </m:sub>
        </m:sSub>
      </m:oMath>
      <w:r>
        <w:t xml:space="preserve"> </w:t>
      </w:r>
      <w:r>
        <w:t xml:space="preserve">in §3.0’s summation shift together). In combined sewer systems, sustained rainfall can trigger combined sewer overflows (CSOs), which vent wastewater directly to the environment before it reaches the sampling point — a loss pathway that depresses measured downstream concentration and flow simultaneously, which can</w:t>
      </w:r>
      <w:r>
        <w:t xml:space="preserve"> </w:t>
      </w:r>
      <w:r>
        <w:rPr>
          <w:iCs/>
          <w:i/>
        </w:rPr>
        <w:t xml:space="preserve">cap</w:t>
      </w:r>
      <w:r>
        <w:t xml:space="preserve"> </w:t>
      </w:r>
      <w:r>
        <w:t xml:space="preserve">the flow signal in a way that masks, rather than merely dilutes, the true degree of disturbance. Comparative work in rural sewersheds found that under substantial I&amp;I, several standard normalization approaches — including simple flow normalization — become unreliable (Darling et al., 2025). Storm timing frequently does not align with routine sampling schedules, so scheduled composite or grab samples may miss the peak dilution/resuspension event, or capture only its tail. A large Belgian national wastewater surveillance program (5 million inhabitants, 42 treatment plants, 15 months across three epidemic waves) reported that explicitly correcting SARS-CoV-2 concentration data for rainfall impact substantially improved correlation with clinical case counts relative to uncorrected data, and that uncorrected rainy-period data systematically</w:t>
      </w:r>
      <w:r>
        <w:t xml:space="preserve"> </w:t>
      </w:r>
      <w:r>
        <w:rPr>
          <w:iCs/>
          <w:i/>
        </w:rPr>
        <w:t xml:space="preserve">underestimated</w:t>
      </w:r>
      <w:r>
        <w:t xml:space="preserve"> </w:t>
      </w:r>
      <w:r>
        <w:t xml:space="preserve">the indicator (Janssens et al., 2022) — direct evidence that rainfall behaves as a correctable, structured bias rather than unstructured noise, which is exactly the process-informed-correction argument developed in §4.3.</w:t>
      </w:r>
    </w:p>
    <w:p>
      <w:pPr>
        <w:pStyle w:val="BodyText"/>
      </w:pPr>
      <w:r>
        <w:rPr>
          <w:bCs/>
          <w:b/>
        </w:rPr>
        <w:t xml:space="preserve">Warm-season effects (amplitude, and indirectly temporal via biofilm activity).</w:t>
      </w:r>
      <w:r>
        <w:t xml:space="preserve"> </w:t>
      </w:r>
      <w:r>
        <w:t xml:space="preserve">Elevated temperature independently accelerates degradation of most biological targets — coronavirus RNA decay accelerates markedly above roughly 26 °C in wastewater matrices (Guo et al., 2023; threshold pending full-text confirmation) — while also increasing sewer biofilm metabolic activity and hence biofilm-mediated RNA loss (Jung et al., 2026; Zhang et al., 2023), shifting adsorption–desorption equilibria for particle-associated targets, and changing baseline human behavior in ways that affect both water use (dilution) and the underlying epidemiology or consumption patterns being monitored. Because rainfall in many climates is seasonally correlated with temperature (e.g., warm-season convective storms in monsoon-influenced or subtropical regions), the two distortion mechanisms frequently co-occur and can be difficult to separate empirically without a mechanistic transport-and-decay model — itself an argument for process-informed rather than purely statistical correction.</w:t>
      </w:r>
    </w:p>
    <w:bookmarkEnd w:id="33"/>
    <w:bookmarkStart w:id="34" w:name="Xcffa6d73f11c84425ac9b9105bc597609d3180e"/>
    <w:p>
      <w:pPr>
        <w:pStyle w:val="Heading3"/>
      </w:pPr>
      <w:r>
        <w:t xml:space="preserve">4.3 Identifiability and the Case for Process-Informed Correction</w:t>
      </w:r>
    </w:p>
    <w:p>
      <w:pPr>
        <w:pStyle w:val="FirstParagraph"/>
      </w:pPr>
      <w:r>
        <w:t xml:space="preserve">Sections 4.1–4.2 establish that amplitude, temporal, and spatial distortion are not independent nuisance factors that can be corrected one at a time with a single ratio (a population marker, a flow term). They are coupled — retention time affects decay, decay is spatially heterogeneous, rainfall shifts retention time and sub-catchment weighting simultaneously — which is precisely the condition under which an inverse problem becomes</w:t>
      </w:r>
      <w:r>
        <w:t xml:space="preserve"> </w:t>
      </w:r>
      <w:r>
        <w:rPr>
          <w:bCs/>
          <w:b/>
        </w:rPr>
        <w:t xml:space="preserve">poorly identified</w:t>
      </w:r>
      <w:r>
        <w:t xml:space="preserve">: many different combinations of true source signal</w:t>
      </w:r>
      <w:r>
        <w:t xml:space="preserve"> </w:t>
      </w:r>
      <m:oMath>
        <m:r>
          <m:t>X</m:t>
        </m:r>
        <m:d>
          <m:dPr>
            <m:begChr m:val="("/>
            <m:endChr m:val=")"/>
            <m:sepChr m:val=""/>
            <m:grow/>
          </m:dPr>
          <m:e>
            <m:r>
              <m:t>τ</m:t>
            </m:r>
          </m:e>
        </m:d>
      </m:oMath>
      <w:r>
        <w:t xml:space="preserve">, decay/dilution history</w:t>
      </w:r>
      <w:r>
        <w:t xml:space="preserve"> </w:t>
      </w:r>
      <m:oMath>
        <m:r>
          <m:t>A</m:t>
        </m:r>
        <m:d>
          <m:dPr>
            <m:begChr m:val="("/>
            <m:endChr m:val=")"/>
            <m:sepChr m:val=""/>
            <m:grow/>
          </m:dPr>
          <m:e>
            <m:r>
              <m:t>t</m:t>
            </m:r>
          </m:e>
        </m:d>
      </m:oMath>
      <w:r>
        <w:t xml:space="preserve">, and sub-catchment weighting are consistent with the same single observed time series</w:t>
      </w:r>
      <w:r>
        <w:t xml:space="preserve"> </w:t>
      </w:r>
      <m:oMath>
        <m:r>
          <m:t>Y</m:t>
        </m:r>
        <m:d>
          <m:dPr>
            <m:begChr m:val="("/>
            <m:endChr m:val=")"/>
            <m:sepChr m:val=""/>
            <m:grow/>
          </m:dPr>
          <m:e>
            <m:r>
              <m:t>t</m:t>
            </m:r>
          </m:e>
        </m:d>
      </m:oMath>
      <w:r>
        <w:t xml:space="preserve">, especially when</w:t>
      </w:r>
      <w:r>
        <w:t xml:space="preserve"> </w:t>
      </w:r>
      <m:oMath>
        <m:r>
          <m:t>Y</m:t>
        </m:r>
        <m:d>
          <m:dPr>
            <m:begChr m:val="("/>
            <m:endChr m:val=")"/>
            <m:sepChr m:val=""/>
            <m:grow/>
          </m:dPr>
          <m:e>
            <m:r>
              <m:t>t</m:t>
            </m:r>
          </m:e>
        </m:d>
      </m:oMath>
      <w:r>
        <w:t xml:space="preserve"> </w:t>
      </w:r>
      <w:r>
        <w:t xml:space="preserve">is sampled at low frequency (e.g., weekly grab samples) relative to how quickly these processes change (hours to days for a storm event).</w:t>
      </w:r>
    </w:p>
    <w:p>
      <w:pPr>
        <w:pStyle w:val="BodyText"/>
      </w:pPr>
      <w:r>
        <w:t xml:space="preserve">Two practical implications follow directly, and both point toward the same conclusion:</w:t>
      </w:r>
    </w:p>
    <w:p>
      <w:pPr>
        <w:numPr>
          <w:ilvl w:val="0"/>
          <w:numId w:val="1005"/>
        </w:numPr>
        <w:pStyle w:val="Compact"/>
      </w:pPr>
      <w:r>
        <w:rPr>
          <w:bCs/>
          <w:b/>
        </w:rPr>
        <w:t xml:space="preserve">Empirical normalization using a single fixed ratio (a constant population marker or a static per-capita flow assumption) cannot restore identifiability under these conditions</w:t>
      </w:r>
      <w:r>
        <w:t xml:space="preserve">, because it implicitly assumes</w:t>
      </w:r>
      <w:r>
        <w:t xml:space="preserve"> </w:t>
      </w:r>
      <m:oMath>
        <m:r>
          <m:t>A</m:t>
        </m:r>
        <m:d>
          <m:dPr>
            <m:begChr m:val="("/>
            <m:endChr m:val=")"/>
            <m:sepChr m:val=""/>
            <m:grow/>
          </m:dPr>
          <m:e>
            <m:r>
              <m:t>t</m:t>
            </m:r>
          </m:e>
        </m:d>
      </m:oMath>
      <w:r>
        <w:t xml:space="preserve"> </w:t>
      </w:r>
      <w:r>
        <w:t xml:space="preserve">and</w:t>
      </w:r>
      <w:r>
        <w:t xml:space="preserve"> </w:t>
      </w:r>
      <m:oMath>
        <m:r>
          <m:t>K</m:t>
        </m:r>
        <m:d>
          <m:dPr>
            <m:begChr m:val="("/>
            <m:endChr m:val=")"/>
            <m:sepChr m:val=""/>
            <m:grow/>
          </m:dPr>
          <m:e>
            <m:r>
              <m:t>t</m:t>
            </m:r>
            <m:r>
              <m:rPr>
                <m:sty m:val="p"/>
              </m:rPr>
              <m:t>,</m:t>
            </m:r>
            <m:r>
              <m:t>τ</m:t>
            </m:r>
          </m:e>
        </m:d>
      </m:oMath>
      <w:r>
        <w:t xml:space="preserve"> </w:t>
      </w:r>
      <w:r>
        <w:t xml:space="preserve">are constant, or vary only with flow, when the evidence in §4.1–4.2 shows they vary with temperature, retention time, and storm state as well. This is consistent with the empirical finding that flow normalization alone outperforms fecal-biomarker normalization in some settings (Rainey et al., 2023) but becomes unreliable under high I&amp;I in others (Darling et al., 2025) — the two findings are not in tension once read as evidence that</w:t>
      </w:r>
      <w:r>
        <w:t xml:space="preserve"> </w:t>
      </w:r>
      <w:r>
        <w:rPr>
          <w:iCs/>
          <w:i/>
        </w:rPr>
        <w:t xml:space="preserve">no single fixed correction factor is identifiable across all hydraulic conditions</w:t>
      </w:r>
      <w:r>
        <w:t xml:space="preserve">.</w:t>
      </w:r>
    </w:p>
    <w:p>
      <w:pPr>
        <w:numPr>
          <w:ilvl w:val="0"/>
          <w:numId w:val="1005"/>
        </w:numPr>
        <w:pStyle w:val="Compact"/>
      </w:pPr>
      <w:r>
        <w:rPr>
          <w:bCs/>
          <w:b/>
        </w:rPr>
        <w:t xml:space="preserve">Process-informed correction — explicitly modeling</w:t>
      </w:r>
      <w:r>
        <w:rPr>
          <w:bCs/>
          <w:b/>
        </w:rPr>
        <w:t xml:space="preserve"> </w:t>
      </w:r>
      <m:oMath>
        <m:r>
          <m:t>A</m:t>
        </m:r>
        <m:d>
          <m:dPr>
            <m:begChr m:val="("/>
            <m:endChr m:val=")"/>
            <m:sepChr m:val=""/>
            <m:grow/>
          </m:dPr>
          <m:e>
            <m:r>
              <m:t>t</m:t>
            </m:r>
          </m:e>
        </m:d>
      </m:oMath>
      <w:r>
        <w:rPr>
          <w:bCs/>
          <w:b/>
        </w:rPr>
        <w:t xml:space="preserve"> </w:t>
      </w:r>
      <w:r>
        <w:rPr>
          <w:bCs/>
          <w:b/>
        </w:rPr>
        <w:t xml:space="preserve">as a function of measured temperature, flow, and rainfall, and</w:t>
      </w:r>
      <w:r>
        <w:rPr>
          <w:bCs/>
          <w:b/>
        </w:rPr>
        <w:t xml:space="preserve"> </w:t>
      </w:r>
      <m:oMath>
        <m:r>
          <m:t>K</m:t>
        </m:r>
        <m:d>
          <m:dPr>
            <m:begChr m:val="("/>
            <m:endChr m:val=")"/>
            <m:sepChr m:val=""/>
            <m:grow/>
          </m:dPr>
          <m:e>
            <m:r>
              <m:t>t</m:t>
            </m:r>
            <m:r>
              <m:rPr>
                <m:sty m:val="p"/>
              </m:rPr>
              <m:t>,</m:t>
            </m:r>
            <m:r>
              <m:t>τ</m:t>
            </m:r>
          </m:e>
        </m:d>
      </m:oMath>
      <w:r>
        <w:rPr>
          <w:bCs/>
          <w:b/>
        </w:rPr>
        <w:t xml:space="preserve"> </w:t>
      </w:r>
      <w:r>
        <w:rPr>
          <w:bCs/>
          <w:b/>
        </w:rPr>
        <w:t xml:space="preserve">as a function of measured or estimated retention-time distribution — is what narrows the solution space back down to something usable</w:t>
      </w:r>
      <w:r>
        <w:t xml:space="preserve">, as demonstrated in the one case in this evidence base where a mechanistic rainfall correction was directly tested against an alternative (Janssens et al., 2022, improved correlation after explicit rain correction relative to uncorrected data).</w:t>
      </w:r>
    </w:p>
    <w:p>
      <w:pPr>
        <w:pStyle w:val="FirstParagraph"/>
      </w:pPr>
      <w:r>
        <w:t xml:space="preserve">This is the throughline the remainder of this review develops in quantitative terms: normalization (§6) and back-calculation (§7) methods should be evaluated not just on correlation with clinical outcomes, but on whether they use enough process information to make the underlying inverse problem identifiable under the range of hydraulic and seasonal conditions a given monitoring program will actually encounter — and §8’s uncertainty-propagation framework (not yet drafted) is, in effect, a way of quantifying how much identifiability is lost or preserved at each stage of the chain in §3.0. §6.6 develops this argument concretely for ratio normalization; §7.3 develops the same argument again, in its strongest form, for back-calculation specifically, distinguishing association/correlation from predictive performance from parameter identifiability (structural and practical) from state observability from model structural adequacy.</w:t>
      </w:r>
    </w:p>
    <w:p>
      <w:r>
        <w:pict>
          <v:rect style="width:0;height:1.5pt" o:hralign="center" o:hrstd="t" o:hr="t"/>
        </w:pict>
      </w:r>
    </w:p>
    <w:bookmarkEnd w:id="34"/>
    <w:bookmarkEnd w:id="35"/>
    <w:bookmarkStart w:id="44" w:name="X94d17d7d3522de6fad0325c890d4f3267ab02ff"/>
    <w:p>
      <w:pPr>
        <w:pStyle w:val="Heading2"/>
      </w:pPr>
      <w:r>
        <w:t xml:space="preserve">5. Sampling, Analytical Methods, and Quality Assurance: A Second Round of Distortion</w:t>
      </w:r>
    </w:p>
    <w:bookmarkStart w:id="36" w:name="X914784175c88f5d92b248d0e42197c479d490b2"/>
    <w:p>
      <w:pPr>
        <w:pStyle w:val="Heading3"/>
      </w:pPr>
      <w:r>
        <w:t xml:space="preserve">5.0 Bridge from Chapters 1–4, Notation, and Two Observation Models</w:t>
      </w:r>
    </w:p>
    <w:p>
      <w:pPr>
        <w:pStyle w:val="FirstParagraph"/>
      </w:pPr>
      <w:r>
        <w:t xml:space="preserve">Chapters 3–4 treated the sewer network as the source of distortion between excretion and the treatment-plant inlet, described formally in §3.0 as amplitude distortion</w:t>
      </w:r>
      <w:r>
        <w:t xml:space="preserve"> </w:t>
      </w:r>
      <m:oMath>
        <m:r>
          <m:t>A</m:t>
        </m:r>
        <m:d>
          <m:dPr>
            <m:begChr m:val="("/>
            <m:endChr m:val=")"/>
            <m:sepChr m:val=""/>
            <m:grow/>
          </m:dPr>
          <m:e>
            <m:r>
              <m:t>t</m:t>
            </m:r>
          </m:e>
        </m:d>
      </m:oMath>
      <w:r>
        <w:t xml:space="preserve"> </w:t>
      </w:r>
      <w:r>
        <w:t xml:space="preserve">and a retention-time kernel</w:t>
      </w:r>
      <w:r>
        <w:t xml:space="preserve"> </w:t>
      </w:r>
      <m:oMath>
        <m:r>
          <m:t>K</m:t>
        </m:r>
        <m:d>
          <m:dPr>
            <m:begChr m:val="("/>
            <m:endChr m:val=")"/>
            <m:sepChr m:val=""/>
            <m:grow/>
          </m:dPr>
          <m:e>
            <m:r>
              <m:t>t</m:t>
            </m:r>
            <m:r>
              <m:rPr>
                <m:sty m:val="p"/>
              </m:rPr>
              <m:t>,</m:t>
            </m:r>
            <m:r>
              <m:t>τ</m:t>
            </m:r>
          </m:e>
        </m:d>
      </m:oMath>
      <w:r>
        <w:t xml:space="preserve"> </w:t>
      </w:r>
      <w:r>
        <w:t xml:space="preserve">acting on a source signal</w:t>
      </w:r>
      <w:r>
        <w:t xml:space="preserve"> </w:t>
      </w:r>
      <m:oMath>
        <m:r>
          <m:t>X</m:t>
        </m:r>
        <m:d>
          <m:dPr>
            <m:begChr m:val="("/>
            <m:endChr m:val=")"/>
            <m:sepChr m:val=""/>
            <m:grow/>
          </m:dPr>
          <m:e>
            <m:r>
              <m:t>τ</m:t>
            </m:r>
          </m:e>
        </m:d>
      </m:oMath>
      <w:r>
        <w:t xml:space="preserve">. This chapter argues that</w:t>
      </w:r>
      <w:r>
        <w:t xml:space="preserve"> </w:t>
      </w:r>
      <w:r>
        <w:rPr>
          <w:bCs/>
          <w:b/>
        </w:rPr>
        <w:t xml:space="preserve">the sampling and analytical process is a second, independent stage of distortion acting on top of, not instead of, the first</w:t>
      </w:r>
      <w:r>
        <w:t xml:space="preserve"> </w:t>
      </w:r>
      <w:r>
        <w:t xml:space="preserve">— everything in §3–4 already happened to the sewage by the time a sample bottle is filled; §5 is about what happens to the signal</w:t>
      </w:r>
      <w:r>
        <w:t xml:space="preserve"> </w:t>
      </w:r>
      <w:r>
        <w:rPr>
          <w:iCs/>
          <w:i/>
        </w:rPr>
        <w:t xml:space="preserve">after</w:t>
      </w:r>
      <w:r>
        <w:t xml:space="preserve"> </w:t>
      </w:r>
      <w:r>
        <w:t xml:space="preserve">that point, on the way to becoming a number in a spreadsheet.</w:t>
      </w:r>
    </w:p>
    <w:p>
      <w:pPr>
        <w:pStyle w:val="BodyText"/>
      </w:pPr>
      <w:r>
        <w:rPr>
          <w:bCs/>
          <w:b/>
        </w:rPr>
        <w:t xml:space="preserve">Notation note.</w:t>
      </w:r>
      <w:r>
        <w:t xml:space="preserve"> </w:t>
      </w:r>
      <w:r>
        <w:t xml:space="preserve">An earlier draft of this section used</w:t>
      </w:r>
      <w:r>
        <w:t xml:space="preserve"> </w:t>
      </w:r>
      <m:oMath>
        <m:r>
          <m:t>R</m:t>
        </m:r>
      </m:oMath>
      <w:r>
        <w:t xml:space="preserve"> </w:t>
      </w:r>
      <w:r>
        <w:t xml:space="preserve">for analytical recovery. That symbol is reserved in this review for rainfall disturbance — introduced narratively in §4.2 and intended to receive a formal symbol,</w:t>
      </w:r>
      <w:r>
        <w:t xml:space="preserve"> </w:t>
      </w:r>
      <m:oMath>
        <m:r>
          <m:t>R</m:t>
        </m:r>
        <m:d>
          <m:dPr>
            <m:begChr m:val="("/>
            <m:endChr m:val=")"/>
            <m:sepChr m:val=""/>
            <m:grow/>
          </m:dPr>
          <m:e>
            <m:r>
              <m:t>t</m:t>
            </m:r>
          </m:e>
        </m:d>
      </m:oMath>
      <w:r>
        <w:t xml:space="preserve">, once normalization and back-calculation are formalized in §6–§7 — so reusing it here for recovery would create a direct conflict once §6 is drafted. This section uses</w:t>
      </w:r>
      <w:r>
        <w:t xml:space="preserve"> </w:t>
      </w:r>
      <m:oMath>
        <m:sSub>
          <m:e>
            <m:r>
              <m:t>η</m:t>
            </m:r>
          </m:e>
          <m:sub>
            <m:r>
              <m:t>r</m:t>
            </m:r>
            <m:r>
              <m:t>e</m:t>
            </m:r>
            <m:r>
              <m:t>c</m:t>
            </m:r>
          </m:sub>
        </m:sSub>
      </m:oMath>
      <w:r>
        <w:t xml:space="preserve"> </w:t>
      </w:r>
      <w:r>
        <w:t xml:space="preserve">(recovery),</w:t>
      </w:r>
      <w:r>
        <w:t xml:space="preserve"> </w:t>
      </w:r>
      <m:oMath>
        <m:sSub>
          <m:e>
            <m:r>
              <m:t>η</m:t>
            </m:r>
          </m:e>
          <m:sub>
            <m:r>
              <m:t>i</m:t>
            </m:r>
            <m:r>
              <m:t>n</m:t>
            </m:r>
            <m:r>
              <m:t>h</m:t>
            </m:r>
          </m:sub>
        </m:sSub>
      </m:oMath>
      <w:r>
        <w:t xml:space="preserve"> </w:t>
      </w:r>
      <w:r>
        <w:t xml:space="preserve">(inhibition), and</w:t>
      </w:r>
      <w:r>
        <w:t xml:space="preserve"> </w:t>
      </w:r>
      <m:oMath>
        <m:r>
          <m:t>B</m:t>
        </m:r>
        <m:d>
          <m:dPr>
            <m:begChr m:val="("/>
            <m:endChr m:val=")"/>
            <m:sepChr m:val=""/>
            <m:grow/>
          </m:dPr>
          <m:e>
            <m:r>
              <m:t>t</m:t>
            </m:r>
          </m:e>
        </m:d>
      </m:oMath>
      <w:r>
        <w:t xml:space="preserve"> </w:t>
      </w:r>
      <w:r>
        <w:t xml:space="preserve">(batch effect) instead;</w:t>
      </w:r>
      <w:r>
        <w:t xml:space="preserve"> </w:t>
      </w:r>
      <m:oMath>
        <m:r>
          <m:t>R</m:t>
        </m:r>
        <m:d>
          <m:dPr>
            <m:begChr m:val="("/>
            <m:endChr m:val=")"/>
            <m:sepChr m:val=""/>
            <m:grow/>
          </m:dPr>
          <m:e>
            <m:r>
              <m:t>t</m:t>
            </m:r>
          </m:e>
        </m:d>
      </m:oMath>
      <w:r>
        <w:t xml:space="preserve"> </w:t>
      </w:r>
      <w:r>
        <w:t xml:space="preserve">is not used anywhere in this chapter and remains available for rainfall in later chapters.</w:t>
      </w:r>
    </w:p>
    <w:p>
      <w:pPr>
        <w:pStyle w:val="BodyText"/>
      </w:pPr>
      <w:r>
        <w:rPr>
          <w:bCs/>
          <w:b/>
        </w:rPr>
        <w:t xml:space="preserve">Two observation models, not one.</w:t>
      </w:r>
      <w:r>
        <w:t xml:space="preserve"> </w:t>
      </w:r>
      <w:r>
        <w:t xml:space="preserve">An earlier draft of this section used a single equation to describe how recovery, inhibition, and batch effects distort the reported value</w:t>
      </w:r>
      <w:r>
        <w:t xml:space="preserve"> </w:t>
      </w:r>
      <m:oMath>
        <m:acc>
          <m:accPr>
            <m:chr m:val="̂"/>
          </m:accPr>
          <m:e>
            <m:r>
              <m:t>Y</m:t>
            </m:r>
          </m:e>
        </m:acc>
        <m:d>
          <m:dPr>
            <m:begChr m:val="("/>
            <m:endChr m:val=")"/>
            <m:sepChr m:val=""/>
            <m:grow/>
          </m:dPr>
          <m:e>
            <m:r>
              <m:t>t</m:t>
            </m:r>
          </m:e>
        </m:d>
      </m:oMath>
      <w:r>
        <w:t xml:space="preserve"> </w:t>
      </w:r>
      <w:r>
        <w:t xml:space="preserve">relative to the true in-network concentration</w:t>
      </w:r>
      <w:r>
        <w:t xml:space="preserve"> </w:t>
      </w:r>
      <m:oMath>
        <m:r>
          <m:t>Y</m:t>
        </m:r>
        <m:d>
          <m:dPr>
            <m:begChr m:val="("/>
            <m:endChr m:val=")"/>
            <m:sepChr m:val=""/>
            <m:grow/>
          </m:dPr>
          <m:e>
            <m:r>
              <m:t>t</m:t>
            </m:r>
          </m:e>
        </m:d>
      </m:oMath>
      <w:r>
        <w:t xml:space="preserve">, applying it uniformly to pathogens, ARGs, and chemical markers alike. That was a mistake worth naming explicitly:</w:t>
      </w:r>
      <w:r>
        <w:t xml:space="preserve"> </w:t>
      </w:r>
      <w:r>
        <w:rPr>
          <w:bCs/>
          <w:b/>
        </w:rPr>
        <w:t xml:space="preserve">PCR (or equivalent amplification-chain) inhibition is a phenomenon specific to nucleic-acid detection and has no analog in mass-spectrometry-based chemical analysis, while ion suppression/enhancement and isotope-dilution recovery correction are specific to chemical analysis and have no analog in a PCR-based assay.</w:t>
      </w:r>
      <w:r>
        <w:t xml:space="preserve"> </w:t>
      </w:r>
      <w:r>
        <w:t xml:space="preserve">Collapsing both into one term hides exactly the kind of target-class-specific distortion that §5.6 goes on to argue matters. Two separate observation models are used instead:</w:t>
      </w:r>
    </w:p>
    <w:p>
      <w:pPr>
        <w:pStyle w:val="BodyText"/>
      </w:pPr>
      <w:r>
        <w:rPr>
          <w:bCs/>
          <w:b/>
        </w:rPr>
        <w:t xml:space="preserve">Molecular-target observation model</w:t>
      </w:r>
      <w:r>
        <w:t xml:space="preserve"> </w:t>
      </w:r>
      <w:r>
        <w:t xml:space="preserve">(pathogens and ARGs — both detected via nucleic-acid amplification or sequencing, per §5.6):</w:t>
      </w:r>
    </w:p>
    <w:p>
      <w:pPr>
        <w:pStyle w:val="BodyText"/>
      </w:pPr>
      <m:oMathPara>
        <m:oMathParaPr>
          <m:jc m:val="center"/>
        </m:oMathParaPr>
        <m:oMath>
          <m:sSub>
            <m:e>
              <m:acc>
                <m:accPr>
                  <m:chr m:val="̂"/>
                </m:accPr>
                <m:e>
                  <m:r>
                    <m:t>Y</m:t>
                  </m:r>
                </m:e>
              </m:acc>
            </m:e>
            <m:sub>
              <m:r>
                <m:t>m</m:t>
              </m:r>
              <m:r>
                <m:t>o</m:t>
              </m:r>
              <m:r>
                <m:t>l</m:t>
              </m:r>
            </m:sub>
          </m:sSub>
          <m:d>
            <m:dPr>
              <m:begChr m:val="("/>
              <m:endChr m:val=")"/>
              <m:sepChr m:val=""/>
              <m:grow/>
            </m:dPr>
            <m:e>
              <m:r>
                <m:t>t</m:t>
              </m:r>
            </m:e>
          </m:d>
          <m:r>
            <m:t> </m:t>
          </m:r>
          <m:r>
            <m:rPr>
              <m:sty m:val="p"/>
            </m:rPr>
            <m:t>=</m:t>
          </m:r>
          <m:r>
            <m:t> </m:t>
          </m:r>
          <m:f>
            <m:fPr>
              <m:type m:val="bar"/>
            </m:fPr>
            <m:num>
              <m:sSub>
                <m:e>
                  <m:r>
                    <m:t>η</m:t>
                  </m:r>
                </m:e>
                <m:sub>
                  <m:r>
                    <m:t>r</m:t>
                  </m:r>
                  <m:r>
                    <m:t>e</m:t>
                  </m:r>
                  <m:r>
                    <m:t>c</m:t>
                  </m:r>
                </m:sub>
              </m:sSub>
              <m:d>
                <m:dPr>
                  <m:begChr m:val="("/>
                  <m:endChr m:val=")"/>
                  <m:sepChr m:val=""/>
                  <m:grow/>
                </m:dPr>
                <m:e>
                  <m:r>
                    <m:t>t</m:t>
                  </m:r>
                </m:e>
              </m:d>
              <m:r>
                <m:rPr>
                  <m:sty m:val="p"/>
                </m:rPr>
                <m:t>⋅</m:t>
              </m:r>
              <m:r>
                <m:t>Y</m:t>
              </m:r>
              <m:d>
                <m:dPr>
                  <m:begChr m:val="("/>
                  <m:endChr m:val=")"/>
                  <m:sepChr m:val=""/>
                  <m:grow/>
                </m:dPr>
                <m:e>
                  <m:r>
                    <m:t>t</m:t>
                  </m:r>
                </m:e>
              </m:d>
            </m:num>
            <m:den>
              <m:r>
                <m:t>1</m:t>
              </m:r>
              <m:r>
                <m:rPr>
                  <m:sty m:val="p"/>
                </m:rPr>
                <m:t>+</m:t>
              </m:r>
              <m:sSub>
                <m:e>
                  <m:r>
                    <m:t>η</m:t>
                  </m:r>
                </m:e>
                <m:sub>
                  <m:r>
                    <m:t>i</m:t>
                  </m:r>
                  <m:r>
                    <m:t>n</m:t>
                  </m:r>
                  <m:r>
                    <m:t>h</m:t>
                  </m:r>
                </m:sub>
              </m:sSub>
              <m:d>
                <m:dPr>
                  <m:begChr m:val="("/>
                  <m:endChr m:val=")"/>
                  <m:sepChr m:val=""/>
                  <m:grow/>
                </m:dPr>
                <m:e>
                  <m:r>
                    <m:t>t</m:t>
                  </m:r>
                </m:e>
              </m:d>
            </m:den>
          </m:f>
          <m:r>
            <m:rPr>
              <m:sty m:val="p"/>
            </m:rPr>
            <m:t>⋅</m:t>
          </m:r>
          <m:sSub>
            <m:e>
              <m:r>
                <m:t>B</m:t>
              </m:r>
            </m:e>
            <m:sub>
              <m:r>
                <m:t>m</m:t>
              </m:r>
              <m:r>
                <m:t>o</m:t>
              </m:r>
              <m:r>
                <m:t>l</m:t>
              </m:r>
            </m:sub>
          </m:sSub>
          <m:d>
            <m:dPr>
              <m:begChr m:val="("/>
              <m:endChr m:val=")"/>
              <m:sepChr m:val=""/>
              <m:grow/>
            </m:dPr>
            <m:e>
              <m:r>
                <m:t>t</m:t>
              </m:r>
            </m:e>
          </m:d>
          <m:r>
            <m:t> </m:t>
          </m:r>
          <m:r>
            <m:rPr>
              <m:sty m:val="p"/>
            </m:rPr>
            <m:t>+</m:t>
          </m:r>
          <m:r>
            <m:t> </m:t>
          </m:r>
          <m:sSub>
            <m:e>
              <m:r>
                <m:t>ν</m:t>
              </m:r>
            </m:e>
            <m:sub>
              <m:r>
                <m:t>m</m:t>
              </m:r>
              <m:r>
                <m:t>o</m:t>
              </m:r>
              <m:r>
                <m:t>l</m:t>
              </m:r>
            </m:sub>
          </m:sSub>
          <m:d>
            <m:dPr>
              <m:begChr m:val="("/>
              <m:endChr m:val=")"/>
              <m:sepChr m:val=""/>
              <m:grow/>
            </m:dPr>
            <m:e>
              <m:r>
                <m:t>t</m:t>
              </m:r>
            </m:e>
          </m:d>
        </m:oMath>
      </m:oMathPara>
    </w:p>
    <w:p>
      <w:pPr>
        <w:pStyle w:val="FirstParagraph"/>
      </w:pPr>
      <w:r>
        <w:t xml:space="preserve">where</w:t>
      </w:r>
      <w:r>
        <w:t xml:space="preserve"> </w:t>
      </w:r>
      <m:oMath>
        <m:sSub>
          <m:e>
            <m:r>
              <m:t>η</m:t>
            </m:r>
          </m:e>
          <m:sub>
            <m:r>
              <m:t>r</m:t>
            </m:r>
            <m:r>
              <m:t>e</m:t>
            </m:r>
            <m:r>
              <m:t>c</m:t>
            </m:r>
          </m:sub>
        </m:sSub>
        <m:d>
          <m:dPr>
            <m:begChr m:val="("/>
            <m:endChr m:val=")"/>
            <m:sepChr m:val=""/>
            <m:grow/>
          </m:dPr>
          <m:e>
            <m:r>
              <m:t>t</m:t>
            </m:r>
          </m:e>
        </m:d>
      </m:oMath>
      <w:r>
        <w:t xml:space="preserve"> </w:t>
      </w:r>
      <w:r>
        <w:t xml:space="preserve">is nucleic-acid extraction/concentration recovery efficiency (fraction of true target mass surviving concentration and extraction — an</w:t>
      </w:r>
      <w:r>
        <w:t xml:space="preserve"> </w:t>
      </w:r>
      <w:r>
        <w:rPr>
          <w:bCs/>
          <w:b/>
        </w:rPr>
        <w:t xml:space="preserve">amplitude</w:t>
      </w:r>
      <w:r>
        <w:t xml:space="preserve"> </w:t>
      </w:r>
      <w:r>
        <w:t xml:space="preserve">term, §5.4–5.5),</w:t>
      </w:r>
      <w:r>
        <w:t xml:space="preserve"> </w:t>
      </w:r>
      <m:oMath>
        <m:sSub>
          <m:e>
            <m:r>
              <m:t>η</m:t>
            </m:r>
          </m:e>
          <m:sub>
            <m:r>
              <m:t>i</m:t>
            </m:r>
            <m:r>
              <m:t>n</m:t>
            </m:r>
            <m:r>
              <m:t>h</m:t>
            </m:r>
          </m:sub>
        </m:sSub>
        <m:d>
          <m:dPr>
            <m:begChr m:val="("/>
            <m:endChr m:val=")"/>
            <m:sepChr m:val=""/>
            <m:grow/>
          </m:dPr>
          <m:e>
            <m:r>
              <m:t>t</m:t>
            </m:r>
          </m:e>
        </m:d>
      </m:oMath>
      <w:r>
        <w:t xml:space="preserve"> </w:t>
      </w:r>
      <w:r>
        <w:t xml:space="preserve">is the degree of PCR/amplification inhibition from co-extracted matrix compounds (a second, independent</w:t>
      </w:r>
      <w:r>
        <w:t xml:space="preserve"> </w:t>
      </w:r>
      <w:r>
        <w:rPr>
          <w:bCs/>
          <w:b/>
        </w:rPr>
        <w:t xml:space="preserve">amplitude</w:t>
      </w:r>
      <w:r>
        <w:t xml:space="preserve"> </w:t>
      </w:r>
      <w:r>
        <w:t xml:space="preserve">term, §5.5),</w:t>
      </w:r>
      <w:r>
        <w:t xml:space="preserve"> </w:t>
      </w:r>
      <m:oMath>
        <m:sSub>
          <m:e>
            <m:r>
              <m:t>B</m:t>
            </m:r>
          </m:e>
          <m:sub>
            <m:r>
              <m:t>m</m:t>
            </m:r>
            <m:r>
              <m:t>o</m:t>
            </m:r>
            <m:r>
              <m:t>l</m:t>
            </m:r>
          </m:sub>
        </m:sSub>
        <m:d>
          <m:dPr>
            <m:begChr m:val="("/>
            <m:endChr m:val=")"/>
            <m:sepChr m:val=""/>
            <m:grow/>
          </m:dPr>
          <m:e>
            <m:r>
              <m:t>t</m:t>
            </m:r>
          </m:e>
        </m:d>
      </m:oMath>
      <w:r>
        <w:t xml:space="preserve"> </w:t>
      </w:r>
      <w:r>
        <w:t xml:space="preserve">is the molecular-assay batch/method effect (primer-probe set, qPCR-vs-dPCR-vs-sequencing platform choice, processing date/laboratory — a</w:t>
      </w:r>
      <w:r>
        <w:t xml:space="preserve"> </w:t>
      </w:r>
      <w:r>
        <w:rPr>
          <w:bCs/>
          <w:b/>
        </w:rPr>
        <w:t xml:space="preserve">temporal</w:t>
      </w:r>
      <w:r>
        <w:t xml:space="preserve"> </w:t>
      </w:r>
      <w:r>
        <w:t xml:space="preserve">distortion when it varies by batch rather than by true signal, §5.5), and</w:t>
      </w:r>
      <w:r>
        <w:t xml:space="preserve"> </w:t>
      </w:r>
      <m:oMath>
        <m:sSub>
          <m:e>
            <m:r>
              <m:t>ν</m:t>
            </m:r>
          </m:e>
          <m:sub>
            <m:r>
              <m:t>m</m:t>
            </m:r>
            <m:r>
              <m:t>o</m:t>
            </m:r>
            <m:r>
              <m:t>l</m:t>
            </m:r>
          </m:sub>
        </m:sSub>
        <m:d>
          <m:dPr>
            <m:begChr m:val="("/>
            <m:endChr m:val=")"/>
            <m:sepChr m:val=""/>
            <m:grow/>
          </m:dPr>
          <m:e>
            <m:r>
              <m:t>t</m:t>
            </m:r>
          </m:e>
        </m:d>
      </m:oMath>
      <w:r>
        <w:t xml:space="preserve"> </w:t>
      </w:r>
      <w:r>
        <w:t xml:space="preserve">is molecular measurement noise, which is not a simple additive constant but is itself concentration-dependent (Poisson counting noise near the detection limit for digital PCR, Ct-value noise for real-time PCR) — see §5.5’s discussion of precision vs. sensitivity for why this matters.</w:t>
      </w:r>
    </w:p>
    <w:p>
      <w:pPr>
        <w:pStyle w:val="BodyText"/>
      </w:pPr>
      <w:r>
        <w:rPr>
          <w:bCs/>
          <w:b/>
        </w:rPr>
        <w:t xml:space="preserve">Chemical-biomarker observation model</w:t>
      </w:r>
      <w:r>
        <w:t xml:space="preserve"> </w:t>
      </w:r>
      <w:r>
        <w:t xml:space="preserve">(pharmaceuticals, illicit drugs, and metabolites — detected via liquid chromatography–mass spectrometry, per §5.6):</w:t>
      </w:r>
    </w:p>
    <w:p>
      <w:pPr>
        <w:pStyle w:val="BodyText"/>
      </w:pPr>
      <m:oMathPara>
        <m:oMathParaPr>
          <m:jc m:val="center"/>
        </m:oMathParaPr>
        <m:oMath>
          <m:sSub>
            <m:e>
              <m:acc>
                <m:accPr>
                  <m:chr m:val="̂"/>
                </m:accPr>
                <m:e>
                  <m:r>
                    <m:t>Y</m:t>
                  </m:r>
                </m:e>
              </m:acc>
            </m:e>
            <m:sub>
              <m:r>
                <m:t>c</m:t>
              </m:r>
              <m:r>
                <m:t>h</m:t>
              </m:r>
              <m:r>
                <m:t>e</m:t>
              </m:r>
              <m:r>
                <m:t>m</m:t>
              </m:r>
            </m:sub>
          </m:sSub>
          <m:d>
            <m:dPr>
              <m:begChr m:val="("/>
              <m:endChr m:val=")"/>
              <m:sepChr m:val=""/>
              <m:grow/>
            </m:dPr>
            <m:e>
              <m:r>
                <m:t>t</m:t>
              </m:r>
            </m:e>
          </m:d>
          <m:r>
            <m:t> </m:t>
          </m:r>
          <m:r>
            <m:rPr>
              <m:sty m:val="p"/>
            </m:rPr>
            <m:t>=</m:t>
          </m:r>
          <m:r>
            <m:t> </m:t>
          </m:r>
          <m:sSub>
            <m:e>
              <m:r>
                <m:t>η</m:t>
              </m:r>
            </m:e>
            <m:sub>
              <m:r>
                <m:t>e</m:t>
              </m:r>
              <m:r>
                <m:t>x</m:t>
              </m:r>
              <m:r>
                <m:t>t</m:t>
              </m:r>
            </m:sub>
          </m:sSub>
          <m:d>
            <m:dPr>
              <m:begChr m:val="("/>
              <m:endChr m:val=")"/>
              <m:sepChr m:val=""/>
              <m:grow/>
            </m:dPr>
            <m:e>
              <m:r>
                <m:t>t</m:t>
              </m:r>
            </m:e>
          </m:d>
          <m:r>
            <m:rPr>
              <m:sty m:val="p"/>
            </m:rPr>
            <m:t>⋅</m:t>
          </m:r>
          <m:sSub>
            <m:e>
              <m:r>
                <m:t>η</m:t>
              </m:r>
            </m:e>
            <m:sub>
              <m:r>
                <m:t>i</m:t>
              </m:r>
              <m:r>
                <m:t>o</m:t>
              </m:r>
              <m:r>
                <m:t>n</m:t>
              </m:r>
            </m:sub>
          </m:sSub>
          <m:d>
            <m:dPr>
              <m:begChr m:val="("/>
              <m:endChr m:val=")"/>
              <m:sepChr m:val=""/>
              <m:grow/>
            </m:dPr>
            <m:e>
              <m:r>
                <m:t>t</m:t>
              </m:r>
            </m:e>
          </m:d>
          <m:r>
            <m:rPr>
              <m:sty m:val="p"/>
            </m:rPr>
            <m:t>⋅</m:t>
          </m:r>
          <m:r>
            <m:t>Y</m:t>
          </m:r>
          <m:d>
            <m:dPr>
              <m:begChr m:val="("/>
              <m:endChr m:val=")"/>
              <m:sepChr m:val=""/>
              <m:grow/>
            </m:dPr>
            <m:e>
              <m:r>
                <m:t>t</m:t>
              </m:r>
            </m:e>
          </m:d>
          <m:r>
            <m:rPr>
              <m:sty m:val="p"/>
            </m:rPr>
            <m:t>⋅</m:t>
          </m:r>
          <m:sSub>
            <m:e>
              <m:r>
                <m:t>B</m:t>
              </m:r>
            </m:e>
            <m:sub>
              <m:r>
                <m:t>c</m:t>
              </m:r>
              <m:r>
                <m:t>h</m:t>
              </m:r>
              <m:r>
                <m:t>e</m:t>
              </m:r>
              <m:r>
                <m:t>m</m:t>
              </m:r>
            </m:sub>
          </m:sSub>
          <m:d>
            <m:dPr>
              <m:begChr m:val="("/>
              <m:endChr m:val=")"/>
              <m:sepChr m:val=""/>
              <m:grow/>
            </m:dPr>
            <m:e>
              <m:r>
                <m:t>t</m:t>
              </m:r>
            </m:e>
          </m:d>
          <m:r>
            <m:t> </m:t>
          </m:r>
          <m:r>
            <m:rPr>
              <m:sty m:val="p"/>
            </m:rPr>
            <m:t>+</m:t>
          </m:r>
          <m:r>
            <m:t> </m:t>
          </m:r>
          <m:sSub>
            <m:e>
              <m:r>
                <m:t>ν</m:t>
              </m:r>
            </m:e>
            <m:sub>
              <m:r>
                <m:t>c</m:t>
              </m:r>
              <m:r>
                <m:t>h</m:t>
              </m:r>
              <m:r>
                <m:t>e</m:t>
              </m:r>
              <m:r>
                <m:t>m</m:t>
              </m:r>
            </m:sub>
          </m:sSub>
          <m:d>
            <m:dPr>
              <m:begChr m:val="("/>
              <m:endChr m:val=")"/>
              <m:sepChr m:val=""/>
              <m:grow/>
            </m:dPr>
            <m:e>
              <m:r>
                <m:t>t</m:t>
              </m:r>
            </m:e>
          </m:d>
        </m:oMath>
      </m:oMathPara>
    </w:p>
    <w:p>
      <w:pPr>
        <w:pStyle w:val="FirstParagraph"/>
      </w:pPr>
      <w:r>
        <w:t xml:space="preserve">where</w:t>
      </w:r>
      <w:r>
        <w:t xml:space="preserve"> </w:t>
      </w:r>
      <m:oMath>
        <m:sSub>
          <m:e>
            <m:r>
              <m:t>η</m:t>
            </m:r>
          </m:e>
          <m:sub>
            <m:r>
              <m:t>e</m:t>
            </m:r>
            <m:r>
              <m:t>x</m:t>
            </m:r>
            <m:r>
              <m:t>t</m:t>
            </m:r>
          </m:sub>
        </m:sSub>
        <m:d>
          <m:dPr>
            <m:begChr m:val="("/>
            <m:endChr m:val=")"/>
            <m:sepChr m:val=""/>
            <m:grow/>
          </m:dPr>
          <m:e>
            <m:r>
              <m:t>t</m:t>
            </m:r>
          </m:e>
        </m:d>
      </m:oMath>
      <w:r>
        <w:t xml:space="preserve"> </w:t>
      </w:r>
      <w:r>
        <w:t xml:space="preserve">is extraction/solid-phase-extraction recovery efficiency (an</w:t>
      </w:r>
      <w:r>
        <w:t xml:space="preserve"> </w:t>
      </w:r>
      <w:r>
        <w:rPr>
          <w:bCs/>
          <w:b/>
        </w:rPr>
        <w:t xml:space="preserve">amplitude</w:t>
      </w:r>
      <w:r>
        <w:t xml:space="preserve"> </w:t>
      </w:r>
      <w:r>
        <w:t xml:space="preserve">term, typically corrected using an isotope-labeled internal standard rather than a biological process-control spike),</w:t>
      </w:r>
      <w:r>
        <w:t xml:space="preserve"> </w:t>
      </w:r>
      <m:oMath>
        <m:sSub>
          <m:e>
            <m:r>
              <m:t>η</m:t>
            </m:r>
          </m:e>
          <m:sub>
            <m:r>
              <m:t>i</m:t>
            </m:r>
            <m:r>
              <m:t>o</m:t>
            </m:r>
            <m:r>
              <m:t>n</m:t>
            </m:r>
          </m:sub>
        </m:sSub>
        <m:d>
          <m:dPr>
            <m:begChr m:val="("/>
            <m:endChr m:val=")"/>
            <m:sepChr m:val=""/>
            <m:grow/>
          </m:dPr>
          <m:e>
            <m:r>
              <m:t>t</m:t>
            </m:r>
          </m:e>
        </m:d>
      </m:oMath>
      <w:r>
        <w:t xml:space="preserve"> </w:t>
      </w:r>
      <w:r>
        <w:t xml:space="preserve">is the ionization-efficiency term capturing matrix-dependent ion suppression or enhancement during mass-spectrometric detection — the chemical-analysis analog of, but mechanistically unrelated to, PCR inhibition (a separate</w:t>
      </w:r>
      <w:r>
        <w:t xml:space="preserve"> </w:t>
      </w:r>
      <w:r>
        <w:rPr>
          <w:bCs/>
          <w:b/>
        </w:rPr>
        <w:t xml:space="preserve">amplitude</w:t>
      </w:r>
      <w:r>
        <w:t xml:space="preserve"> </w:t>
      </w:r>
      <w:r>
        <w:t xml:space="preserve">term, §5.5),</w:t>
      </w:r>
      <w:r>
        <w:t xml:space="preserve"> </w:t>
      </w:r>
      <m:oMath>
        <m:sSub>
          <m:e>
            <m:r>
              <m:t>B</m:t>
            </m:r>
          </m:e>
          <m:sub>
            <m:r>
              <m:t>c</m:t>
            </m:r>
            <m:r>
              <m:t>h</m:t>
            </m:r>
            <m:r>
              <m:t>e</m:t>
            </m:r>
            <m:r>
              <m:t>m</m:t>
            </m:r>
          </m:sub>
        </m:sSub>
        <m:d>
          <m:dPr>
            <m:begChr m:val="("/>
            <m:endChr m:val=")"/>
            <m:sepChr m:val=""/>
            <m:grow/>
          </m:dPr>
          <m:e>
            <m:r>
              <m:t>t</m:t>
            </m:r>
          </m:e>
        </m:d>
      </m:oMath>
      <w:r>
        <w:t xml:space="preserve"> </w:t>
      </w:r>
      <w:r>
        <w:t xml:space="preserve">is instrument/batch effect (LC column performance drift, calibration-curve batch — a</w:t>
      </w:r>
      <w:r>
        <w:t xml:space="preserve"> </w:t>
      </w:r>
      <w:r>
        <w:rPr>
          <w:bCs/>
          <w:b/>
        </w:rPr>
        <w:t xml:space="preserve">temporal</w:t>
      </w:r>
      <w:r>
        <w:t xml:space="preserve"> </w:t>
      </w:r>
      <w:r>
        <w:t xml:space="preserve">distortion, §5.5), and</w:t>
      </w:r>
      <w:r>
        <w:t xml:space="preserve"> </w:t>
      </w:r>
      <m:oMath>
        <m:sSub>
          <m:e>
            <m:r>
              <m:t>ν</m:t>
            </m:r>
          </m:e>
          <m:sub>
            <m:r>
              <m:t>c</m:t>
            </m:r>
            <m:r>
              <m:t>h</m:t>
            </m:r>
            <m:r>
              <m:t>e</m:t>
            </m:r>
            <m:r>
              <m:t>m</m:t>
            </m:r>
          </m:sub>
        </m:sSub>
        <m:d>
          <m:dPr>
            <m:begChr m:val="("/>
            <m:endChr m:val=")"/>
            <m:sepChr m:val=""/>
            <m:grow/>
          </m:dPr>
          <m:e>
            <m:r>
              <m:t>t</m:t>
            </m:r>
          </m:e>
        </m:d>
      </m:oMath>
      <w:r>
        <w:t xml:space="preserve"> </w:t>
      </w:r>
      <w:r>
        <w:t xml:space="preserve">is chemical measurement noise, generally closer to constant-variance behavior than</w:t>
      </w:r>
      <w:r>
        <w:t xml:space="preserve"> </w:t>
      </w:r>
      <m:oMath>
        <m:sSub>
          <m:e>
            <m:r>
              <m:t>ν</m:t>
            </m:r>
          </m:e>
          <m:sub>
            <m:r>
              <m:t>m</m:t>
            </m:r>
            <m:r>
              <m:t>o</m:t>
            </m:r>
            <m:r>
              <m:t>l</m:t>
            </m:r>
          </m:sub>
        </m:sSub>
        <m:d>
          <m:dPr>
            <m:begChr m:val="("/>
            <m:endChr m:val=")"/>
            <m:sepChr m:val=""/>
            <m:grow/>
          </m:dPr>
          <m:e>
            <m:r>
              <m:t>t</m:t>
            </m:r>
          </m:e>
        </m:d>
      </m:oMath>
      <w:r>
        <w:t xml:space="preserve"> </w:t>
      </w:r>
      <w:r>
        <w:t xml:space="preserve">across the quantifiable range, though it too degrades near the assay’s limit of quantification.</w:t>
      </w:r>
    </w:p>
    <w:p>
      <w:pPr>
        <w:pStyle w:val="BodyText"/>
      </w:pPr>
      <w:r>
        <w:rPr>
          <w:bCs/>
          <w:b/>
        </w:rPr>
        <w:t xml:space="preserve">These are conceptual observation models, not parameter-validated quantitative models.</w:t>
      </w:r>
      <w:r>
        <w:t xml:space="preserve"> </w:t>
      </w:r>
      <w:r>
        <w:t xml:space="preserve">Like the schematic equation in §3.0, they are organizing devices for reasoning about</w:t>
      </w:r>
      <w:r>
        <w:t xml:space="preserve"> </w:t>
      </w:r>
      <w:r>
        <w:rPr>
          <w:iCs/>
          <w:i/>
        </w:rPr>
        <w:t xml:space="preserve">which</w:t>
      </w:r>
      <w:r>
        <w:t xml:space="preserve"> </w:t>
      </w:r>
      <w:r>
        <w:t xml:space="preserve">distortion terms apply to</w:t>
      </w:r>
      <w:r>
        <w:t xml:space="preserve"> </w:t>
      </w:r>
      <w:r>
        <w:rPr>
          <w:iCs/>
          <w:i/>
        </w:rPr>
        <w:t xml:space="preserve">which</w:t>
      </w:r>
      <w:r>
        <w:t xml:space="preserve"> </w:t>
      </w:r>
      <w:r>
        <w:t xml:space="preserve">target class and</w:t>
      </w:r>
      <w:r>
        <w:t xml:space="preserve"> </w:t>
      </w:r>
      <w:r>
        <w:rPr>
          <w:iCs/>
          <w:i/>
        </w:rPr>
        <w:t xml:space="preserve">why</w:t>
      </w:r>
      <w:r>
        <w:t xml:space="preserve"> </w:t>
      </w:r>
      <w:r>
        <w:t xml:space="preserve">— none of the</w:t>
      </w:r>
      <w:r>
        <w:t xml:space="preserve"> </w:t>
      </w:r>
      <m:oMath>
        <m:r>
          <m:t>η</m:t>
        </m:r>
      </m:oMath>
      <w:r>
        <w:t xml:space="preserve">,</w:t>
      </w:r>
      <w:r>
        <w:t xml:space="preserve"> </w:t>
      </w:r>
      <m:oMath>
        <m:r>
          <m:t>B</m:t>
        </m:r>
      </m:oMath>
      <w:r>
        <w:t xml:space="preserve">, or</w:t>
      </w:r>
      <w:r>
        <w:t xml:space="preserve"> </w:t>
      </w:r>
      <m:oMath>
        <m:r>
          <m:t>ν</m:t>
        </m:r>
      </m:oMath>
      <w:r>
        <w:t xml:space="preserve"> </w:t>
      </w:r>
      <w:r>
        <w:t xml:space="preserve">terms above has been fit to data or validated against an independent dataset in this review; no functional form (linear, multiplicative, or otherwise) should be assumed correct without independent verification. Their purpose is to make explicit, by construction, that a molecular-target inhibition correction and a chemical ion-suppression correction are not interchangeable and should not be reported under a single generic</w:t>
      </w:r>
      <w:r>
        <w:t xml:space="preserve"> </w:t>
      </w:r>
      <w:r>
        <w:t xml:space="preserve">“</w:t>
      </w:r>
      <w:r>
        <w:t xml:space="preserve">recovery-corrected</w:t>
      </w:r>
      <w:r>
        <w:t xml:space="preserve">”</w:t>
      </w:r>
      <w:r>
        <w:t xml:space="preserve"> </w:t>
      </w:r>
      <w:r>
        <w:t xml:space="preserve">or</w:t>
      </w:r>
      <w:r>
        <w:t xml:space="preserve"> </w:t>
      </w:r>
      <w:r>
        <w:t xml:space="preserve">“</w:t>
      </w:r>
      <w:r>
        <w:t xml:space="preserve">matrix-corrected</w:t>
      </w:r>
      <w:r>
        <w:t xml:space="preserve">”</w:t>
      </w:r>
      <w:r>
        <w:t xml:space="preserve"> </w:t>
      </w:r>
      <w:r>
        <w:t xml:space="preserve">label without specifying which model and which terms were actually applied.</w:t>
      </w:r>
    </w:p>
    <w:p>
      <w:pPr>
        <w:pStyle w:val="BodyText"/>
      </w:pPr>
      <w:r>
        <w:t xml:space="preserve">Sampling location and sampling mode (§5.1–5.2) sit upstream of both models and determine</w:t>
      </w:r>
      <w:r>
        <w:t xml:space="preserve"> </w:t>
      </w:r>
      <w:r>
        <w:rPr>
          <w:iCs/>
          <w:i/>
        </w:rPr>
        <w:t xml:space="preserve">which</w:t>
      </w:r>
      <w:r>
        <w:t xml:space="preserve"> </w:t>
      </w:r>
      <m:oMath>
        <m:r>
          <m:t>Y</m:t>
        </m:r>
        <m:d>
          <m:dPr>
            <m:begChr m:val="("/>
            <m:endChr m:val=")"/>
            <m:sepChr m:val=""/>
            <m:grow/>
          </m:dPr>
          <m:e>
            <m:r>
              <m:t>t</m:t>
            </m:r>
          </m:e>
        </m:d>
      </m:oMath>
      <w:r>
        <w:t xml:space="preserve"> </w:t>
      </w:r>
      <w:r>
        <w:t xml:space="preserve">is even being estimated, regardless of target class — a grab sample estimates</w:t>
      </w:r>
      <w:r>
        <w:t xml:space="preserve"> </w:t>
      </w:r>
      <m:oMath>
        <m:r>
          <m:t>Y</m:t>
        </m:r>
      </m:oMath>
      <w:r>
        <w:t xml:space="preserve"> </w:t>
      </w:r>
      <w:r>
        <w:t xml:space="preserve">at a single instant, a composite estimates a time-weighted or flow-weighted average of</w:t>
      </w:r>
      <w:r>
        <w:t xml:space="preserve"> </w:t>
      </w:r>
      <m:oMath>
        <m:r>
          <m:t>Y</m:t>
        </m:r>
      </m:oMath>
      <w:r>
        <w:t xml:space="preserve"> </w:t>
      </w:r>
      <w:r>
        <w:t xml:space="preserve">over the collection interval, and different sub-network sampling points estimate different sub-catchment-weighted sums, reintroducing the</w:t>
      </w:r>
      <w:r>
        <w:t xml:space="preserve"> </w:t>
      </w:r>
      <w:r>
        <w:rPr>
          <w:bCs/>
          <w:b/>
        </w:rPr>
        <w:t xml:space="preserve">spatial distortion</w:t>
      </w:r>
      <w:r>
        <w:t xml:space="preserve"> </w:t>
      </w:r>
      <w:r>
        <w:t xml:space="preserve">term from §3.0 at the sampling-design level rather than the network-transport level. Sections 5.1–5.6 work through each of these terms in turn; §5.7 closes the loop by classifying them into systematic bias, random error, and information loss, and connecting each explicitly to normalization (§6), back-calculation (§7), and uncertainty propagation (§8).</w:t>
      </w:r>
    </w:p>
    <w:bookmarkEnd w:id="36"/>
    <w:bookmarkStart w:id="37" w:name="Xc0549073750be2a6e409a1de6fbdf578d8ee0fe"/>
    <w:p>
      <w:pPr>
        <w:pStyle w:val="Heading3"/>
      </w:pPr>
      <w:r>
        <w:t xml:space="preserve">5.1 Sampling Location — A Further Spatial-Distortion and Identifiability Choice</w:t>
      </w:r>
    </w:p>
    <w:p>
      <w:pPr>
        <w:pStyle w:val="FirstParagraph"/>
      </w:pPr>
      <w:r>
        <w:t xml:space="preserve">Location and mode (§5.1–5.2) together determine what this review calls</w:t>
      </w:r>
      <w:r>
        <w:t xml:space="preserve"> </w:t>
      </w:r>
      <w:r>
        <w:rPr>
          <w:bCs/>
          <w:b/>
        </w:rPr>
        <w:t xml:space="preserve">sampling representativeness</w:t>
      </w:r>
      <w:r>
        <w:t xml:space="preserve">: how well the specific instant(s), volume(s), and network point(s) actually sampled represent the quantity a study intends to estimate (a daily mass load, an instantaneous concentration, a weekly trend). Representativeness is a property of the sampling design itself, evaluated before any recovery correction, PCR/ionization step, or statistical analysis is applied — a perfectly recovered, perfectly precise measurement of an unrepresentative sample is still a biased estimate of the target quantity, which is why representativeness is kept conceptually distinct from analytical recovery and measurement precision throughout §5.4–5.5 rather than folded into a single</w:t>
      </w:r>
      <w:r>
        <w:t xml:space="preserve"> </w:t>
      </w:r>
      <w:r>
        <w:t xml:space="preserve">“</w:t>
      </w:r>
      <w:r>
        <w:t xml:space="preserve">uncertainty</w:t>
      </w:r>
      <w:r>
        <w:t xml:space="preserve">”</w:t>
      </w:r>
      <w:r>
        <w:t xml:space="preserve"> </w:t>
      </w:r>
      <w:r>
        <w:t xml:space="preserve">label.</w:t>
      </w:r>
    </w:p>
    <w:p>
      <w:pPr>
        <w:pStyle w:val="BodyText"/>
      </w:pPr>
      <w:r>
        <w:t xml:space="preserve">Where a sample is taken determines which sub-catchment-weighted sum (§3.0) is actually being observed, trading spatial resolution against population coverage and signal stability:</w:t>
      </w:r>
    </w:p>
    <w:p>
      <w:pPr>
        <w:numPr>
          <w:ilvl w:val="0"/>
          <w:numId w:val="1006"/>
        </w:numPr>
        <w:pStyle w:val="Compact"/>
      </w:pPr>
      <w:r>
        <w:rPr>
          <w:bCs/>
          <w:b/>
        </w:rPr>
        <w:t xml:space="preserve">Treatment-plant inlet.</w:t>
      </w:r>
      <w:r>
        <w:t xml:space="preserve"> </w:t>
      </w:r>
      <w:r>
        <w:t xml:space="preserve">Captures the full catchment population, giving the most stable, lowest-variance signal, but aggregates all upstream sub-catchments into one composite — the point of maximum spatial distortion in the sense that individual sub-population or outbreak-location information is irretrievably mixed, though the point of minimum sampling-logistics burden.</w:t>
      </w:r>
    </w:p>
    <w:p>
      <w:pPr>
        <w:numPr>
          <w:ilvl w:val="0"/>
          <w:numId w:val="1006"/>
        </w:numPr>
        <w:pStyle w:val="Compact"/>
      </w:pPr>
      <w:r>
        <w:rPr>
          <w:bCs/>
          <w:b/>
        </w:rPr>
        <w:t xml:space="preserve">Mid-network nodes / manholes.</w:t>
      </w:r>
      <w:r>
        <w:t xml:space="preserve"> </w:t>
      </w:r>
      <w:r>
        <w:t xml:space="preserve">Trade population coverage for spatial resolution — useful for localizing an outbreak to a neighborhood or facility, but each node covers a smaller, more volatile population, so grab-sample and short-term-composite noise (§5.2) becomes proportionally larger relative to true signal.</w:t>
      </w:r>
    </w:p>
    <w:p>
      <w:pPr>
        <w:numPr>
          <w:ilvl w:val="0"/>
          <w:numId w:val="1006"/>
        </w:numPr>
        <w:pStyle w:val="Compact"/>
      </w:pPr>
      <w:r>
        <w:rPr>
          <w:bCs/>
          <w:b/>
        </w:rPr>
        <w:t xml:space="preserve">Pump stations.</w:t>
      </w:r>
      <w:r>
        <w:t xml:space="preserve"> </w:t>
      </w:r>
      <w:r>
        <w:t xml:space="preserve">Convenient access points that also aggregate multiple sub-catchments, similar in spatial-averaging character to treatment-plant inlets but at an intermediate scale, and subject to additional turbulent mixing and, in wet-weather conditions, wet-well storage effects not present at a simple gravity-flow node.</w:t>
      </w:r>
    </w:p>
    <w:p>
      <w:pPr>
        <w:numPr>
          <w:ilvl w:val="0"/>
          <w:numId w:val="1006"/>
        </w:numPr>
        <w:pStyle w:val="Compact"/>
      </w:pPr>
      <w:r>
        <w:rPr>
          <w:bCs/>
          <w:b/>
        </w:rPr>
        <w:t xml:space="preserve">Building-scale sampling.</w:t>
      </w:r>
      <w:r>
        <w:t xml:space="preserve"> </w:t>
      </w:r>
      <w:r>
        <w:t xml:space="preserve">Maximizes spatial resolution (down to a single facility) and is increasingly used for institutional outbreak surveillance, but signal is dominated by the occupancy-specific source-end variation discussed in §3.2, and population size can be small enough that individual-level shedding heterogeneity (§3.1) — rather than network transport — becomes the dominant source of sample-to-sample variability.</w:t>
      </w:r>
    </w:p>
    <w:p>
      <w:pPr>
        <w:pStyle w:val="FirstParagraph"/>
      </w:pPr>
      <w:r>
        <w:t xml:space="preserve">The choice of sampling location is therefore not merely logistical; it is a decision about which point in the §3.0 spatial-aggregation hierarchy the resulting data can speak to, and downstream normalization/back-calculation choices (§6–7) need to match that scale rather than treat all sampling locations as interchangeable inputs to the same model.</w:t>
      </w:r>
    </w:p>
    <w:bookmarkEnd w:id="37"/>
    <w:bookmarkStart w:id="38" w:name="Xa81b94805d236f49346ae1c96559e89498e3e47"/>
    <w:p>
      <w:pPr>
        <w:pStyle w:val="Heading3"/>
      </w:pPr>
      <w:r>
        <w:t xml:space="preserve">5.2 Sampling Mode — Amplitude and Temporal Distortion at the Point of Collection</w:t>
      </w:r>
    </w:p>
    <w:p>
      <w:pPr>
        <w:pStyle w:val="FirstParagraph"/>
      </w:pPr>
      <w:r>
        <w:t xml:space="preserve">Four sampling modes recur in the literature, and they differ in how they distort</w:t>
      </w:r>
      <w:r>
        <w:t xml:space="preserve"> </w:t>
      </w:r>
      <m:oMath>
        <m:r>
          <m:t>Y</m:t>
        </m:r>
        <m:d>
          <m:dPr>
            <m:begChr m:val="("/>
            <m:endChr m:val=")"/>
            <m:sepChr m:val=""/>
            <m:grow/>
          </m:dPr>
          <m:e>
            <m:r>
              <m:t>t</m:t>
            </m:r>
          </m:e>
        </m:d>
      </m:oMath>
      <w:r>
        <w:t xml:space="preserve"> </w:t>
      </w:r>
      <w:r>
        <w:t xml:space="preserve">even before recovery or analytical effects (§5.4–5.5) are considered:</w:t>
      </w:r>
    </w:p>
    <w:p>
      <w:pPr>
        <w:numPr>
          <w:ilvl w:val="0"/>
          <w:numId w:val="1007"/>
        </w:numPr>
        <w:pStyle w:val="Compact"/>
      </w:pPr>
      <w:r>
        <w:rPr>
          <w:bCs/>
          <w:b/>
        </w:rPr>
        <w:t xml:space="preserve">Grab sampling</w:t>
      </w:r>
      <w:r>
        <w:t xml:space="preserve"> </w:t>
      </w:r>
      <w:r>
        <w:t xml:space="preserve">captures</w:t>
      </w:r>
      <w:r>
        <w:t xml:space="preserve"> </w:t>
      </w:r>
      <m:oMath>
        <m:r>
          <m:t>Y</m:t>
        </m:r>
      </m:oMath>
      <w:r>
        <w:t xml:space="preserve"> </w:t>
      </w:r>
      <w:r>
        <w:t xml:space="preserve">at a single instant and is therefore maximally exposed to the diurnal/weekly temporal distortion described in §3.1 — a grab sample taken during a low-flow, low-excretion period of the day can differ from one taken during a peak period by more than any true day-to-day epidemiological change, i.e., it is the sampling mode with the weakest representativeness in the §5.1 sense. A preprint survey aggregating prior sampling-uncertainty studies reports grab sampling as contributing materially higher representativeness-related uncertainty than continuous flow-proportional sampling (Chen et al., 2024, arXiv preprint).</w:t>
      </w:r>
      <w:r>
        <w:t xml:space="preserve"> </w:t>
      </w:r>
      <w:r>
        <w:rPr>
          <w:bCs/>
          <w:b/>
        </w:rPr>
        <w:t xml:space="preserve">This review does not repeat the survey’s specific percentage figures in the main text</w:t>
      </w:r>
      <w:r>
        <w:t xml:space="preserve">, because the survey itself does not fully attribute them to an identifiable primary study — they are two levels removed from the original data. The specific numbers are retained in the companion Citation Verification Table under</w:t>
      </w:r>
      <w:r>
        <w:t xml:space="preserve"> </w:t>
      </w:r>
      <w:r>
        <w:t xml:space="preserve">“</w:t>
      </w:r>
      <w:r>
        <w:t xml:space="preserve">pending full-text verification</w:t>
      </w:r>
      <w:r>
        <w:t xml:space="preserve">”</w:t>
      </w:r>
      <w:r>
        <w:t xml:space="preserve"> </w:t>
      </w:r>
      <w:r>
        <w:t xml:space="preserve">rather than presented here as an established field-wide constant; the qualitative ranking (grab worse than flow-proportional composite for representativeness) is the claim this review actually relies on.</w:t>
      </w:r>
    </w:p>
    <w:p>
      <w:pPr>
        <w:numPr>
          <w:ilvl w:val="0"/>
          <w:numId w:val="1007"/>
        </w:numPr>
        <w:pStyle w:val="Compact"/>
      </w:pPr>
      <w:r>
        <w:rPr>
          <w:bCs/>
          <w:b/>
        </w:rPr>
        <w:t xml:space="preserve">Time-proportional composite sampling</w:t>
      </w:r>
      <w:r>
        <w:t xml:space="preserve"> </w:t>
      </w:r>
      <w:r>
        <w:t xml:space="preserve">collects fixed-volume aliquots at fixed time intervals over a collection period (commonly 24 hours), reducing single-instant temporal distortion relative to grab sampling but still weighting low-flow and high-flow periods equally, which biases the composite relative to a true flow-weighted daily mass load.</w:t>
      </w:r>
    </w:p>
    <w:p>
      <w:pPr>
        <w:numPr>
          <w:ilvl w:val="0"/>
          <w:numId w:val="1007"/>
        </w:numPr>
        <w:pStyle w:val="Compact"/>
      </w:pPr>
      <w:r>
        <w:rPr>
          <w:bCs/>
          <w:b/>
        </w:rPr>
        <w:t xml:space="preserve">Flow-proportional composite sampling</w:t>
      </w:r>
      <w:r>
        <w:t xml:space="preserve"> </w:t>
      </w:r>
      <w:r>
        <w:t xml:space="preserve">collects aliquots proportional to instantaneous flow, more directly approximating the mass-weighted daily average and generally regarded as the reference-standard approach for load estimation; it requires continuous flow monitoring, which is itself a data stream subject to error (see §4.2’s discussion of flow-measurement problems during storm-driven combined sewer overflow).</w:t>
      </w:r>
    </w:p>
    <w:p>
      <w:pPr>
        <w:numPr>
          <w:ilvl w:val="0"/>
          <w:numId w:val="1007"/>
        </w:numPr>
        <w:pStyle w:val="Compact"/>
      </w:pPr>
      <w:r>
        <w:rPr>
          <w:bCs/>
          <w:b/>
        </w:rPr>
        <w:t xml:space="preserve">Passive sampling</w:t>
      </w:r>
      <w:r>
        <w:t xml:space="preserve"> </w:t>
      </w:r>
      <w:r>
        <w:t xml:space="preserve">(e.g., Moore swabs or other sorptive media left in the flow for a fixed deployment period) integrates signal continuously without requiring powered auto-sampling equipment, and comparative work has found passive samplers performing similarly to automatic composite sampling — and outperforming grab sampling — for SARS-CoV-2 detection in small-community manhole settings, with high (though not perfect) agreement against composite sampling in a parallel-deployment university-campus comparison (Cha et al., 2023). Because passive samplers integrate mass adsorbed over the deployment window rather than measuring a concentration directly, converting their signal to a comparable concentration or load estimate requires an additional, separately uncertain adsorption-kinetics correction step — an additional term effectively folded into</w:t>
      </w:r>
      <w:r>
        <w:t xml:space="preserve"> </w:t>
      </w:r>
      <m:oMath>
        <m:sSub>
          <m:e>
            <m:r>
              <m:t>η</m:t>
            </m:r>
          </m:e>
          <m:sub>
            <m:r>
              <m:t>r</m:t>
            </m:r>
            <m:r>
              <m:t>e</m:t>
            </m:r>
            <m:r>
              <m:t>c</m:t>
            </m:r>
          </m:sub>
        </m:sSub>
      </m:oMath>
      <w:r>
        <w:t xml:space="preserve"> </w:t>
      </w:r>
      <w:r>
        <w:t xml:space="preserve">or</w:t>
      </w:r>
      <w:r>
        <w:t xml:space="preserve"> </w:t>
      </w:r>
      <m:oMath>
        <m:sSub>
          <m:e>
            <m:r>
              <m:t>η</m:t>
            </m:r>
          </m:e>
          <m:sub>
            <m:r>
              <m:t>e</m:t>
            </m:r>
            <m:r>
              <m:t>x</m:t>
            </m:r>
            <m:r>
              <m:t>t</m:t>
            </m:r>
          </m:sub>
        </m:sSub>
      </m:oMath>
      <w:r>
        <w:t xml:space="preserve"> </w:t>
      </w:r>
      <w:r>
        <w:t xml:space="preserve">in the §5.0 observation models depending on target class, and one that is less standardized across studies than composite-sampler recovery.</w:t>
      </w:r>
    </w:p>
    <w:p>
      <w:pPr>
        <w:pStyle w:val="FirstParagraph"/>
      </w:pPr>
      <w:r>
        <w:t xml:space="preserve">No single mode dominates on every criterion: flow-proportional composite sampling is generally best for quantitative load/back-calculation applications precisely because it most directly targets the mass-weighted average the inverse problem in §3.0 is trying to recover, while passive and grab sampling trade quantitative comparability for deployment simplicity and are more defensible for qualitative trend/detection applications (in the §2.5 taxonomy’s terms) than for consumption or exposure back-calculation.</w:t>
      </w:r>
    </w:p>
    <w:bookmarkEnd w:id="38"/>
    <w:bookmarkStart w:id="39" w:name="X11b25ff6c7f8409913ecc848e2bfb8908d19216"/>
    <w:p>
      <w:pPr>
        <w:pStyle w:val="Heading3"/>
      </w:pPr>
      <w:r>
        <w:t xml:space="preserve">5.3 Sample Matrix — Liquid, Particulate, Settled Solids, and Sludge</w:t>
      </w:r>
    </w:p>
    <w:p>
      <w:pPr>
        <w:pStyle w:val="FirstParagraph"/>
      </w:pPr>
      <w:r>
        <w:t xml:space="preserve">A target analyte’s partitioning between the liquid and solid phases of wastewater is not a fixed property of the analyte alone; it is context-dependent, and — importantly for cross-study comparability —</w:t>
      </w:r>
      <w:r>
        <w:t xml:space="preserve"> </w:t>
      </w:r>
      <w:r>
        <w:rPr>
          <w:bCs/>
          <w:b/>
        </w:rPr>
        <w:t xml:space="preserve">studies disagree substantially even for the same analyte class</w:t>
      </w:r>
      <w:r>
        <w:t xml:space="preserve">. Multiple studies report SARS-CoV-2 RNA strongly enriched in the solids fraction: settled-solids concentrations reported on the order of 10³–10⁴ times higher per unit mass than liquid influent, with primary settled solids enriched by roughly three orders of magnitude relative to liquid wastewater at some treatment works (Kim et al., 2022; figures pending full-text confirmation). Other studies, by contrast, have reported near-even partitioning between liquid and solid fractions after centrifugation, or even a majority of RNA in the liquid phase, depending on centrifugation speed/duration, solids content, and other matrix-specific conditions. This is not merely conflicting data to be averaged away — it is direct evidence that liquid-vs-solid partitioning is itself an additional, poorly standardized amplitude-distortion term (in the §5.0 sense) that differs across treatment works, sampling protocols, and even processing steps applied to the same physical sample, and that comparing a concentration measured in liquid influent at one site against a concentration measured in settled solids at another, without an explicit partitioning correction, is not a valid like-for-like comparison.</w:t>
      </w:r>
    </w:p>
    <w:p>
      <w:pPr>
        <w:pStyle w:val="BodyText"/>
      </w:pPr>
      <w:r>
        <w:t xml:space="preserve">Sludge (further downstream, post-primary-treatment) shows still higher enrichment — primary settled sludge concentrations reported roughly 100- to 1,000-fold higher than influent (pending full-text confirmation) — which makes sludge-based monitoring attractive for sensitivity in low-prevalence settings but compounds the cross-matrix comparability problem further, since sludge composition is also shaped by treatment-plant-specific processes (primary clarification efficiency, retention time in the clarifier) that add yet another site-specific, generally uncharacterized correction term.</w:t>
      </w:r>
    </w:p>
    <w:bookmarkEnd w:id="39"/>
    <w:bookmarkStart w:id="40" w:name="X36e5b73bb81e3aa3c6d5ba573ce41fc5cd1fe24"/>
    <w:p>
      <w:pPr>
        <w:pStyle w:val="Heading3"/>
      </w:pPr>
      <w:r>
        <w:t xml:space="preserve">5.4 Preservation, Pre-Treatment, Concentration, and Extraction</w:t>
      </w:r>
    </w:p>
    <w:p>
      <w:pPr>
        <w:pStyle w:val="FirstParagraph"/>
      </w:pPr>
      <w:r>
        <w:t xml:space="preserve">Once collected, a sample continues to change before it is ever measured. Storage temperature and freeze-thaw handling are now reasonably well characterized as a major, controllable source of amplitude distortion for RNA targets specifically: comparative work found SARS-CoV-2 RNA recovery significantly greater when raw samples were stored at 4 °C rather than frozen, with freeze-thaw cycling degrading both raw-sample recovery and downstream sequencing quality, and gene-target-specific sensitivity to freezing (the SARS-CoV-2 S gene reported more freeze-thaw-sensitive than the E or N gene targets in the same sample) — meaning that which specific gene target an assay reports can itself partly determine how much cold-chain-handling distortion is present (Williams et al., 2024; specific recovery differentials pending full-text confirmation). The same body of work reports short-term stability sufficient for practical transport (on the order of days at 4 °C or ambient temperature) but degradation beyond that window, and — separately — good long-term stability of already-extracted nucleic acid stored at −80 °C over many months, which has direct implications for retrospective/biobanked-sample studies (including any attempt to re-analyze archived samples for a target not originally assayed).</w:t>
      </w:r>
    </w:p>
    <w:p>
      <w:pPr>
        <w:pStyle w:val="BodyText"/>
      </w:pPr>
      <w:r>
        <w:t xml:space="preserve">Concentration and extraction method choices (PEG precipitation, ultrafiltration, aluminum-salt precipitation, direct-capture/affinity methods, and others) each have method-specific recovery efficiencies — the</w:t>
      </w:r>
      <w:r>
        <w:t xml:space="preserve"> </w:t>
      </w:r>
      <m:oMath>
        <m:sSub>
          <m:e>
            <m:r>
              <m:t>η</m:t>
            </m:r>
          </m:e>
          <m:sub>
            <m:r>
              <m:t>r</m:t>
            </m:r>
            <m:r>
              <m:t>e</m:t>
            </m:r>
            <m:r>
              <m:t>c</m:t>
            </m:r>
          </m:sub>
        </m:sSub>
        <m:d>
          <m:dPr>
            <m:begChr m:val="("/>
            <m:endChr m:val=")"/>
            <m:sepChr m:val=""/>
            <m:grow/>
          </m:dPr>
          <m:e>
            <m:r>
              <m:t>t</m:t>
            </m:r>
          </m:e>
        </m:d>
      </m:oMath>
      <w:r>
        <w:t xml:space="preserve"> </w:t>
      </w:r>
      <w:r>
        <w:t xml:space="preserve">term in §5.0’s molecular-target model, or</w:t>
      </w:r>
      <w:r>
        <w:t xml:space="preserve"> </w:t>
      </w:r>
      <m:oMath>
        <m:sSub>
          <m:e>
            <m:r>
              <m:t>η</m:t>
            </m:r>
          </m:e>
          <m:sub>
            <m:r>
              <m:t>e</m:t>
            </m:r>
            <m:r>
              <m:t>x</m:t>
            </m:r>
            <m:r>
              <m:t>t</m:t>
            </m:r>
          </m:sub>
        </m:sSub>
        <m:d>
          <m:dPr>
            <m:begChr m:val="("/>
            <m:endChr m:val=")"/>
            <m:sepChr m:val=""/>
            <m:grow/>
          </m:dPr>
          <m:e>
            <m:r>
              <m:t>t</m:t>
            </m:r>
          </m:e>
        </m:d>
      </m:oMath>
      <w:r>
        <w:t xml:space="preserve"> </w:t>
      </w:r>
      <w:r>
        <w:t xml:space="preserve">in the chemical-biomarker model — that are neither uniform across target classes nor stable across matrices, which is precisely why recovery correction (spiking a known quantity of a surrogate/process-control organism for molecular targets, or an isotope-labeled internal standard for chemical targets, and back-calculating true recovery) has become standard practice rather than an optional refinement; without it, method choice alone can account for a large share of between-study variability, as discussed further in §5.5.</w:t>
      </w:r>
    </w:p>
    <w:bookmarkEnd w:id="40"/>
    <w:bookmarkStart w:id="41" w:name="X37c88f2eafbd7ab77e6470ebcaaa9c1e3a26c08"/>
    <w:p>
      <w:pPr>
        <w:pStyle w:val="Heading3"/>
      </w:pPr>
      <w:r>
        <w:t xml:space="preserve">5.5 Six Concepts That Should Not Be Collapsed Into One</w:t>
      </w:r>
      <w:r>
        <w:t xml:space="preserve"> </w:t>
      </w:r>
      <w:r>
        <w:t xml:space="preserve">“</w:t>
      </w:r>
      <w:r>
        <w:t xml:space="preserve">Uncertainty</w:t>
      </w:r>
      <w:r>
        <w:t xml:space="preserve">”</w:t>
      </w:r>
    </w:p>
    <w:p>
      <w:pPr>
        <w:pStyle w:val="FirstParagraph"/>
      </w:pPr>
      <w:r>
        <w:t xml:space="preserve">An earlier draft of this section discussed recovery, inhibition, detection limits, and between-laboratory variability as though they were facets of one undifferentiated</w:t>
      </w:r>
      <w:r>
        <w:t xml:space="preserve"> </w:t>
      </w:r>
      <w:r>
        <w:t xml:space="preserve">“</w:t>
      </w:r>
      <w:r>
        <w:t xml:space="preserve">uncertainty.</w:t>
      </w:r>
      <w:r>
        <w:t xml:space="preserve">”</w:t>
      </w:r>
      <w:r>
        <w:t xml:space="preserve"> </w:t>
      </w:r>
      <w:r>
        <w:t xml:space="preserve">They are not, and treating them as interchangeable is itself a source of error — a low-recovery/high-precision method and a high-recovery/low-precision method fail in different ways and need different fixes. Six concepts are distinguished here and used consistently for the remainder of this review:</w:t>
      </w:r>
    </w:p>
    <w:p>
      <w:pPr>
        <w:numPr>
          <w:ilvl w:val="0"/>
          <w:numId w:val="1008"/>
        </w:numPr>
        <w:pStyle w:val="Compact"/>
      </w:pPr>
      <w:r>
        <w:rPr>
          <w:bCs/>
          <w:b/>
        </w:rPr>
        <w:t xml:space="preserve">Sampling representativeness</w:t>
      </w:r>
      <w:r>
        <w:t xml:space="preserve"> </w:t>
      </w:r>
      <w:r>
        <w:t xml:space="preserve">(defined in §5.1) — whether the sample collected actually represents the intended target quantity. A property of sampling design, prior to and independent of anything discussed below.</w:t>
      </w:r>
    </w:p>
    <w:p>
      <w:pPr>
        <w:numPr>
          <w:ilvl w:val="0"/>
          <w:numId w:val="1008"/>
        </w:numPr>
        <w:pStyle w:val="Compact"/>
      </w:pPr>
      <w:r>
        <w:rPr>
          <w:bCs/>
          <w:b/>
        </w:rPr>
        <w:t xml:space="preserve">Analytical recovery</w:t>
      </w:r>
      <w:r>
        <w:t xml:space="preserve"> </w:t>
      </w:r>
      <w:r>
        <w:t xml:space="preserve">(</w:t>
      </w:r>
      <m:oMath>
        <m:sSub>
          <m:e>
            <m:r>
              <m:t>η</m:t>
            </m:r>
          </m:e>
          <m:sub>
            <m:r>
              <m:t>r</m:t>
            </m:r>
            <m:r>
              <m:t>e</m:t>
            </m:r>
            <m:r>
              <m:t>c</m:t>
            </m:r>
          </m:sub>
        </m:sSub>
      </m:oMath>
      <w:r>
        <w:t xml:space="preserve"> </w:t>
      </w:r>
      <w:r>
        <w:t xml:space="preserve">/</w:t>
      </w:r>
      <w:r>
        <w:t xml:space="preserve"> </w:t>
      </w:r>
      <m:oMath>
        <m:sSub>
          <m:e>
            <m:r>
              <m:t>η</m:t>
            </m:r>
          </m:e>
          <m:sub>
            <m:r>
              <m:t>e</m:t>
            </m:r>
            <m:r>
              <m:t>x</m:t>
            </m:r>
            <m:r>
              <m:t>t</m:t>
            </m:r>
          </m:sub>
        </m:sSub>
      </m:oMath>
      <w:r>
        <w:t xml:space="preserve"> </w:t>
      </w:r>
      <w:r>
        <w:t xml:space="preserve">in §5.0) — the fraction of true target mass that survives concentration and extraction to reach the detection step. A recovery problem is fundamentally an</w:t>
      </w:r>
      <w:r>
        <w:t xml:space="preserve"> </w:t>
      </w:r>
      <w:r>
        <w:rPr>
          <w:iCs/>
          <w:i/>
        </w:rPr>
        <w:t xml:space="preserve">amplitude-loss</w:t>
      </w:r>
      <w:r>
        <w:t xml:space="preserve"> </w:t>
      </w:r>
      <w:r>
        <w:t xml:space="preserve">problem: it scales the signal down (or, rarely, up via concentration artifacts) but does not necessarily make repeated measurements of the same extract inconsistent with each other.</w:t>
      </w:r>
    </w:p>
    <w:p>
      <w:pPr>
        <w:numPr>
          <w:ilvl w:val="0"/>
          <w:numId w:val="1008"/>
        </w:numPr>
        <w:pStyle w:val="Compact"/>
      </w:pPr>
      <w:r>
        <w:rPr>
          <w:bCs/>
          <w:b/>
        </w:rPr>
        <w:t xml:space="preserve">Measurement precision</w:t>
      </w:r>
      <w:r>
        <w:t xml:space="preserve"> </w:t>
      </w:r>
      <w:r>
        <w:t xml:space="preserve">— the repeatability of the analytical result across replicate measurements of the</w:t>
      </w:r>
      <w:r>
        <w:t xml:space="preserve"> </w:t>
      </w:r>
      <w:r>
        <w:rPr>
          <w:iCs/>
          <w:i/>
        </w:rPr>
        <w:t xml:space="preserve">same</w:t>
      </w:r>
      <w:r>
        <w:t xml:space="preserve"> </w:t>
      </w:r>
      <w:r>
        <w:t xml:space="preserve">processed sample/extract. A method can have poor recovery but excellent precision (consistently measuring 40% of true mass every time), or good recovery but poor precision (averaging close to true mass but varying widely run to run) — these require different corrections (a fixed recovery-correction factor vs. averaging more replicates or improving assay chemistry) and should not be reported as a single combined</w:t>
      </w:r>
      <w:r>
        <w:t xml:space="preserve"> </w:t>
      </w:r>
      <w:r>
        <w:t xml:space="preserve">“</w:t>
      </w:r>
      <w:r>
        <w:t xml:space="preserve">error bar</w:t>
      </w:r>
      <w:r>
        <w:t xml:space="preserve">”</w:t>
      </w:r>
      <w:r>
        <w:t xml:space="preserve"> </w:t>
      </w:r>
      <w:r>
        <w:t xml:space="preserve">without specifying which one dominates.</w:t>
      </w:r>
    </w:p>
    <w:p>
      <w:pPr>
        <w:numPr>
          <w:ilvl w:val="0"/>
          <w:numId w:val="1008"/>
        </w:numPr>
        <w:pStyle w:val="Compact"/>
      </w:pPr>
      <w:r>
        <w:rPr>
          <w:bCs/>
          <w:b/>
        </w:rPr>
        <w:t xml:space="preserve">Analytical sensitivity</w:t>
      </w:r>
      <w:r>
        <w:t xml:space="preserve"> </w:t>
      </w:r>
      <w:r>
        <w:t xml:space="preserve">— the assay’s inherent ability to distinguish a true positive signal from background at low concentrations, governed by detection chemistry (primer/probe design, ionization efficiency, instrument noise floor) rather than by what happened to the sample upstream. Two assays with identical recovery can have very different sensitivity.</w:t>
      </w:r>
    </w:p>
    <w:p>
      <w:pPr>
        <w:numPr>
          <w:ilvl w:val="0"/>
          <w:numId w:val="1008"/>
        </w:numPr>
        <w:pStyle w:val="Compact"/>
      </w:pPr>
      <w:r>
        <w:rPr>
          <w:bCs/>
          <w:b/>
        </w:rPr>
        <w:t xml:space="preserve">Censoring below LOD/LOQ</w:t>
      </w:r>
      <w:r>
        <w:t xml:space="preserve"> </w:t>
      </w:r>
      <w:r>
        <w:t xml:space="preserve">— the statistical-reporting consequence of low sensitivity and/or low true concentration: values below the limit of detection/quantification are not</w:t>
      </w:r>
      <w:r>
        <w:t xml:space="preserve"> </w:t>
      </w:r>
      <w:r>
        <w:t xml:space="preserve">“</w:t>
      </w:r>
      <w:r>
        <w:t xml:space="preserve">zero,</w:t>
      </w:r>
      <w:r>
        <w:t xml:space="preserve">”</w:t>
      </w:r>
      <w:r>
        <w:t xml:space="preserve"> </w:t>
      </w:r>
      <w:r>
        <w:t xml:space="preserve">they are censored observations, and how they are handled (dropped, substituted with a fixed fraction of the LOD, or modeled explicitly with censored-data methods such as Tobit or maximum-likelihood approaches) materially changes any downstream trend estimate — this is a data-analysis decision layered on top of, not identical to, sensitivity itself.</w:t>
      </w:r>
    </w:p>
    <w:p>
      <w:pPr>
        <w:numPr>
          <w:ilvl w:val="0"/>
          <w:numId w:val="1008"/>
        </w:numPr>
        <w:pStyle w:val="Compact"/>
      </w:pPr>
      <w:r>
        <w:rPr>
          <w:bCs/>
          <w:b/>
        </w:rPr>
        <w:t xml:space="preserve">Biological and technical replicates</w:t>
      </w:r>
      <w:r>
        <w:t xml:space="preserve"> </w:t>
      </w:r>
      <w:r>
        <w:t xml:space="preserve">— technical replicates (repeated analysis of the</w:t>
      </w:r>
      <w:r>
        <w:t xml:space="preserve"> </w:t>
      </w:r>
      <w:r>
        <w:rPr>
          <w:iCs/>
          <w:i/>
        </w:rPr>
        <w:t xml:space="preserve">same</w:t>
      </w:r>
      <w:r>
        <w:t xml:space="preserve"> </w:t>
      </w:r>
      <w:r>
        <w:t xml:space="preserve">extract) isolate analytical-stage variance (precision, in the sense above); biological replicates (independent samples collected from the same nominal population/time window) additionally capture true sampling representativeness variance (§5.1) plus any real biological heterogeneity in the source signal (§3.1). A study that reports only technical replicate variance is silently assuming sampling representativeness is perfect — an assumption §5.1–5.2 gives no grounds for making.</w:t>
      </w:r>
    </w:p>
    <w:p>
      <w:pPr>
        <w:pStyle w:val="FirstParagraph"/>
      </w:pPr>
      <w:r>
        <w:rPr>
          <w:bCs/>
          <w:b/>
        </w:rPr>
        <w:t xml:space="preserve">Recovery and inhibition, specifically, for molecular targets.</w:t>
      </w:r>
      <w:r>
        <w:t xml:space="preserve"> </w:t>
      </w:r>
      <w:r>
        <w:t xml:space="preserve">Even after concentration and extraction, two largely independent amplitude-distortion mechanisms remain before a molecular-target number is produced: incomplete recovery of the true target mass (</w:t>
      </w:r>
      <m:oMath>
        <m:sSub>
          <m:e>
            <m:r>
              <m:t>η</m:t>
            </m:r>
          </m:e>
          <m:sub>
            <m:r>
              <m:t>r</m:t>
            </m:r>
            <m:r>
              <m:t>e</m:t>
            </m:r>
            <m:r>
              <m:t>c</m:t>
            </m:r>
          </m:sub>
        </m:sSub>
      </m:oMath>
      <w:r>
        <w:t xml:space="preserve">), and inhibition of the PCR (or equivalent) detection chemistry itself by co-extracted wastewater matrix compounds (</w:t>
      </w:r>
      <m:oMath>
        <m:sSub>
          <m:e>
            <m:r>
              <m:t>η</m:t>
            </m:r>
          </m:e>
          <m:sub>
            <m:r>
              <m:t>i</m:t>
            </m:r>
            <m:r>
              <m:t>n</m:t>
            </m:r>
            <m:r>
              <m:t>h</m:t>
            </m:r>
          </m:sub>
        </m:sSub>
      </m:oMath>
      <w:r>
        <w:t xml:space="preserve">). These are mechanistically distinct — a sample can have excellent recovery and still be strongly inhibited, or vice versa — which is why recovery-control spikes and inhibition controls (e.g., diluting the extract, or amending with an inhibitor-tolerant enzyme/protein such as gp32) are run as separate quality-control checks in a well-designed protocol. Wastewater is understood to contain a variable, matrix- and catchment-specific cocktail of PCR inhibitors whose concentration is influenced by industrial and agricultural inputs as well as by sewershed climate and season (Zafeiriadou, Nano, Thomaidis, &amp; Markou, 2024 — author order for this citation is now resolved; see the companion verification table for the resolution method; specific mitigation-strategy performance figures remain pending full-text confirmation).</w:t>
      </w:r>
    </w:p>
    <w:p>
      <w:pPr>
        <w:pStyle w:val="BodyText"/>
      </w:pPr>
      <w:r>
        <w:rPr>
          <w:bCs/>
          <w:b/>
        </w:rPr>
        <w:t xml:space="preserve">Recovery and ionization efficiency, specifically, for chemical biomarkers.</w:t>
      </w:r>
      <w:r>
        <w:t xml:space="preserve"> </w:t>
      </w:r>
      <w:r>
        <w:t xml:space="preserve">The equivalent pairing in the chemical-biomarker model (§5.0) is extraction recovery (</w:t>
      </w:r>
      <m:oMath>
        <m:sSub>
          <m:e>
            <m:r>
              <m:t>η</m:t>
            </m:r>
          </m:e>
          <m:sub>
            <m:r>
              <m:t>e</m:t>
            </m:r>
            <m:r>
              <m:t>x</m:t>
            </m:r>
            <m:r>
              <m:t>t</m:t>
            </m:r>
          </m:sub>
        </m:sSub>
      </m:oMath>
      <w:r>
        <w:t xml:space="preserve">) and ionization suppression/enhancement (</w:t>
      </w:r>
      <m:oMath>
        <m:sSub>
          <m:e>
            <m:r>
              <m:t>η</m:t>
            </m:r>
          </m:e>
          <m:sub>
            <m:r>
              <m:t>i</m:t>
            </m:r>
            <m:r>
              <m:t>o</m:t>
            </m:r>
            <m:r>
              <m:t>n</m:t>
            </m:r>
          </m:sub>
        </m:sSub>
      </m:oMath>
      <w:r>
        <w:t xml:space="preserve">) during LC-MS/MS detection — mechanistically unrelated to PCR inhibition (there is no amplification step to inhibit), corrected instead with isotope-labeled internal standards that co-elute and co-ionize with the native analyte, which is why chemical-biomarker QA/QC protocols look structurally different from molecular-target protocols even though both are, in the §5.0 sense,</w:t>
      </w:r>
      <w:r>
        <w:t xml:space="preserve"> </w:t>
      </w:r>
      <w:r>
        <w:t xml:space="preserve">“</w:t>
      </w:r>
      <w:r>
        <w:t xml:space="preserve">amplitude corrections.</w:t>
      </w:r>
      <w:r>
        <w:t xml:space="preserve">”</w:t>
      </w:r>
    </w:p>
    <w:p>
      <w:pPr>
        <w:pStyle w:val="BodyText"/>
      </w:pPr>
      <w:r>
        <w:rPr>
          <w:bCs/>
          <w:b/>
        </w:rPr>
        <w:t xml:space="preserve">Precision, sensitivity, and censoring, with evidence.</w:t>
      </w:r>
      <w:r>
        <w:t xml:space="preserve"> </w:t>
      </w:r>
      <w:r>
        <w:t xml:space="preserve">A large U.S. interlaboratory comparison across 36 standard operating procedures for SARS-CoV-2 wastewater quantification found a wide range in recovery efficiency and detection limit across the tested methods, and — even after recovery correction — a substantial spread across methods for a shared spiked sample, with reproducibility markedly better</w:t>
      </w:r>
      <w:r>
        <w:t xml:space="preserve"> </w:t>
      </w:r>
      <w:r>
        <w:rPr>
          <w:iCs/>
          <w:i/>
        </w:rPr>
        <w:t xml:space="preserve">within</w:t>
      </w:r>
      <w:r>
        <w:t xml:space="preserve"> </w:t>
      </w:r>
      <w:r>
        <w:t xml:space="preserve">a single SOP/laboratory (a precision statement) than</w:t>
      </w:r>
      <w:r>
        <w:t xml:space="preserve"> </w:t>
      </w:r>
      <w:r>
        <w:rPr>
          <w:iCs/>
          <w:i/>
        </w:rPr>
        <w:t xml:space="preserve">across</w:t>
      </w:r>
      <w:r>
        <w:t xml:space="preserve"> </w:t>
      </w:r>
      <w:r>
        <w:t xml:space="preserve">different ones (a between-method systematic-difference statement, not a precision statement) (Pecson et al., 2021; specific log-unit figures pending full-text confirmation — see verification table). Separately, evaluation of the</w:t>
      </w:r>
      <w:r>
        <w:t xml:space="preserve"> </w:t>
      </w:r>
      <w:r>
        <w:t xml:space="preserve">“</w:t>
      </w:r>
      <w:r>
        <w:t xml:space="preserve">process limit of detection</w:t>
      </w:r>
      <w:r>
        <w:t xml:space="preserve">”</w:t>
      </w:r>
      <w:r>
        <w:t xml:space="preserve"> </w:t>
      </w:r>
      <w:r>
        <w:t xml:space="preserve">— the detection limit as actually realized through the full sampling-to-quantification workflow, rather than the assay’s theoretical chemical detection limit alone — found this whole-process sensitivity differing substantially by assay and by concentration/quantification platform (RT-qPCR vs. RT-dPCR), with reported precision (coefficient of variation) also varying by platform and seeding level in one such comparison (Ahmed, Bivins, Metcalfe, Smith, Verbyla, Symonds, &amp; Simpson, 2022 — author order now resolved via PubMed’s indexed citation record; specific CV figures pending full-text confirmation — see verification table). Two practical consequences follow directly: first, values reported below a stated LOD/LOQ are censored observations, not zeros, and their treatment materially affects any downstream trend or back-calculation analysis; second, because method/laboratory identity itself contributes a systematic, non-random share of between-sample variance, comparing absolute concentrations across studies or sites that used different SOPs — without a shared reference standard or explicit method-effect correction — risks mistaking a</w:t>
      </w:r>
      <w:r>
        <w:t xml:space="preserve"> </w:t>
      </w:r>
      <w:r>
        <w:rPr>
          <w:bCs/>
          <w:b/>
        </w:rPr>
        <w:t xml:space="preserve">method effect</w:t>
      </w:r>
      <w:r>
        <w:t xml:space="preserve"> </w:t>
      </w:r>
      <w:r>
        <w:t xml:space="preserve">(a form of systematic bias, §5.7) for a true</w:t>
      </w:r>
      <w:r>
        <w:t xml:space="preserve"> </w:t>
      </w:r>
      <w:r>
        <w:rPr>
          <w:bCs/>
          <w:b/>
        </w:rPr>
        <w:t xml:space="preserve">temporal or spatial</w:t>
      </w:r>
      <w:r>
        <w:t xml:space="preserve"> </w:t>
      </w:r>
      <w:r>
        <w:t xml:space="preserve">signal difference in the §3.0 sense.</w:t>
      </w:r>
    </w:p>
    <w:bookmarkEnd w:id="41"/>
    <w:bookmarkStart w:id="42" w:name="Xb439b32265075be3a08d5f08c089cf1e9630b2a"/>
    <w:p>
      <w:pPr>
        <w:pStyle w:val="Heading3"/>
      </w:pPr>
      <w:r>
        <w:t xml:space="preserve">5.6 Differential Behavior Across Target Classes: Applying the Two Observation Models</w:t>
      </w:r>
    </w:p>
    <w:p>
      <w:pPr>
        <w:pStyle w:val="FirstParagraph"/>
      </w:pPr>
      <w:r>
        <w:t xml:space="preserve">§5.0 established two separate observation models specifically because pathogens, ARGs, and chemical markers do not distort the same way. This section applies them:</w:t>
      </w:r>
    </w:p>
    <w:p>
      <w:pPr>
        <w:numPr>
          <w:ilvl w:val="0"/>
          <w:numId w:val="1009"/>
        </w:numPr>
        <w:pStyle w:val="Compact"/>
      </w:pPr>
      <w:r>
        <w:rPr>
          <w:bCs/>
          <w:b/>
        </w:rPr>
        <w:t xml:space="preserve">RNA viral pathogens</w:t>
      </w:r>
      <w:r>
        <w:t xml:space="preserve"> </w:t>
      </w:r>
      <w:r>
        <w:t xml:space="preserve">(SARS-CoV-2 and most respiratory viruses monitored to date) use the</w:t>
      </w:r>
      <w:r>
        <w:t xml:space="preserve"> </w:t>
      </w:r>
      <w:r>
        <w:rPr>
          <w:bCs/>
          <w:b/>
        </w:rPr>
        <w:t xml:space="preserve">molecular-target model</w:t>
      </w:r>
      <w:r>
        <w:t xml:space="preserve">. They are the most storage- and freeze-thaw-sensitive class discussed in this chapter (§5.4, affecting</w:t>
      </w:r>
      <w:r>
        <w:t xml:space="preserve"> </w:t>
      </w:r>
      <m:oMath>
        <m:sSub>
          <m:e>
            <m:r>
              <m:t>η</m:t>
            </m:r>
          </m:e>
          <m:sub>
            <m:r>
              <m:t>r</m:t>
            </m:r>
            <m:r>
              <m:t>e</m:t>
            </m:r>
            <m:r>
              <m:t>c</m:t>
            </m:r>
          </m:sub>
        </m:sSub>
      </m:oMath>
      <w:r>
        <w:t xml:space="preserve"> </w:t>
      </w:r>
      <w:r>
        <w:t xml:space="preserve">specifically) and are also the class for which</w:t>
      </w:r>
      <w:r>
        <w:t xml:space="preserve"> </w:t>
      </w:r>
      <m:oMath>
        <m:sSub>
          <m:e>
            <m:r>
              <m:t>η</m:t>
            </m:r>
          </m:e>
          <m:sub>
            <m:r>
              <m:t>r</m:t>
            </m:r>
            <m:r>
              <m:t>e</m:t>
            </m:r>
            <m:r>
              <m:t>c</m:t>
            </m:r>
          </m:sub>
        </m:sSub>
      </m:oMath>
      <w:r>
        <w:t xml:space="preserve">/</w:t>
      </w:r>
      <m:oMath>
        <m:sSub>
          <m:e>
            <m:r>
              <m:t>η</m:t>
            </m:r>
          </m:e>
          <m:sub>
            <m:r>
              <m:t>i</m:t>
            </m:r>
            <m:r>
              <m:t>n</m:t>
            </m:r>
            <m:r>
              <m:t>h</m:t>
            </m:r>
          </m:sub>
        </m:sSub>
      </m:oMath>
      <w:r>
        <w:t xml:space="preserve"> </w:t>
      </w:r>
      <w:r>
        <w:t xml:space="preserve">interlaboratory variability has been most extensively characterized (§5.5), simply because this is where the largest, best-funded methods-comparison studies to date have concentrated (COVID-19-era investment, per the §2.4 developmental-phase account).</w:t>
      </w:r>
    </w:p>
    <w:p>
      <w:pPr>
        <w:numPr>
          <w:ilvl w:val="0"/>
          <w:numId w:val="1009"/>
        </w:numPr>
        <w:pStyle w:val="Compact"/>
      </w:pPr>
      <w:r>
        <w:rPr>
          <w:bCs/>
          <w:b/>
        </w:rPr>
        <w:t xml:space="preserve">Antimicrobial resistance genes (ARGs)</w:t>
      </w:r>
      <w:r>
        <w:t xml:space="preserve"> </w:t>
      </w:r>
      <w:r>
        <w:t xml:space="preserve">also use the</w:t>
      </w:r>
      <w:r>
        <w:t xml:space="preserve"> </w:t>
      </w:r>
      <w:r>
        <w:rPr>
          <w:bCs/>
          <w:b/>
        </w:rPr>
        <w:t xml:space="preserve">molecular-target model</w:t>
      </w:r>
      <w:r>
        <w:t xml:space="preserve"> </w:t>
      </w:r>
      <w:r>
        <w:t xml:space="preserve">(they are nucleic-acid targets subject to the same</w:t>
      </w:r>
      <w:r>
        <w:t xml:space="preserve"> </w:t>
      </w:r>
      <m:oMath>
        <m:sSub>
          <m:e>
            <m:r>
              <m:t>η</m:t>
            </m:r>
          </m:e>
          <m:sub>
            <m:r>
              <m:t>r</m:t>
            </m:r>
            <m:r>
              <m:t>e</m:t>
            </m:r>
            <m:r>
              <m:t>c</m:t>
            </m:r>
          </m:sub>
        </m:sSub>
      </m:oMath>
      <w:r>
        <w:t xml:space="preserve">/</w:t>
      </w:r>
      <m:oMath>
        <m:sSub>
          <m:e>
            <m:r>
              <m:t>η</m:t>
            </m:r>
          </m:e>
          <m:sub>
            <m:r>
              <m:t>i</m:t>
            </m:r>
            <m:r>
              <m:t>n</m:t>
            </m:r>
            <m:r>
              <m:t>h</m:t>
            </m:r>
          </m:sub>
        </m:sSub>
      </m:oMath>
      <w:r>
        <w:t xml:space="preserve">/</w:t>
      </w:r>
      <m:oMath>
        <m:sSub>
          <m:e>
            <m:r>
              <m:t>B</m:t>
            </m:r>
          </m:e>
          <m:sub>
            <m:r>
              <m:t>m</m:t>
            </m:r>
            <m:r>
              <m:t>o</m:t>
            </m:r>
            <m:r>
              <m:t>l</m:t>
            </m:r>
          </m:sub>
        </m:sSub>
        <m:d>
          <m:dPr>
            <m:begChr m:val="("/>
            <m:endChr m:val=")"/>
            <m:sepChr m:val=""/>
            <m:grow/>
          </m:dPr>
          <m:e>
            <m:r>
              <m:t>t</m:t>
            </m:r>
          </m:e>
        </m:d>
      </m:oMath>
      <w:r>
        <w:t xml:space="preserve"> </w:t>
      </w:r>
      <w:r>
        <w:t xml:space="preserve">structure), but, being DNA-based, are generally more stable through storage and freeze-thaw than RNA targets. ARGs additionally introduce a distinct choice absent for single-target pathogen assays and best understood as a component of</w:t>
      </w:r>
      <w:r>
        <w:t xml:space="preserve"> </w:t>
      </w:r>
      <m:oMath>
        <m:sSub>
          <m:e>
            <m:r>
              <m:t>B</m:t>
            </m:r>
          </m:e>
          <m:sub>
            <m:r>
              <m:t>m</m:t>
            </m:r>
            <m:r>
              <m:t>o</m:t>
            </m:r>
            <m:r>
              <m:t>l</m:t>
            </m:r>
          </m:sub>
        </m:sSub>
        <m:d>
          <m:dPr>
            <m:begChr m:val="("/>
            <m:endChr m:val=")"/>
            <m:sepChr m:val=""/>
            <m:grow/>
          </m:dPr>
          <m:e>
            <m:r>
              <m:t>t</m:t>
            </m:r>
          </m:e>
        </m:d>
      </m:oMath>
      <w:r>
        <w:t xml:space="preserve"> </w:t>
      </w:r>
      <w:r>
        <w:t xml:space="preserve">(batch/method effect) rather than of</w:t>
      </w:r>
      <w:r>
        <w:t xml:space="preserve"> </w:t>
      </w:r>
      <m:oMath>
        <m:sSub>
          <m:e>
            <m:r>
              <m:t>η</m:t>
            </m:r>
          </m:e>
          <m:sub>
            <m:r>
              <m:t>r</m:t>
            </m:r>
            <m:r>
              <m:t>e</m:t>
            </m:r>
            <m:r>
              <m:t>c</m:t>
            </m:r>
          </m:sub>
        </m:sSub>
      </m:oMath>
      <w:r>
        <w:t xml:space="preserve"> </w:t>
      </w:r>
      <w:r>
        <w:t xml:space="preserve">or</w:t>
      </w:r>
      <w:r>
        <w:t xml:space="preserve"> </w:t>
      </w:r>
      <m:oMath>
        <m:sSub>
          <m:e>
            <m:r>
              <m:t>η</m:t>
            </m:r>
          </m:e>
          <m:sub>
            <m:r>
              <m:t>i</m:t>
            </m:r>
            <m:r>
              <m:t>n</m:t>
            </m:r>
            <m:r>
              <m:t>h</m:t>
            </m:r>
          </m:sub>
        </m:sSub>
      </m:oMath>
      <w:r>
        <w:t xml:space="preserve"> </w:t>
      </w:r>
      <w:r>
        <w:t xml:space="preserve">specifically: qPCR (targeted, sensitive, cannot detect novel or unanticipated resistance genes) versus metagenomic sequencing (untargeted, can detect novel genes and provide broader resistome context, but generally less sensitive for low-abundance targets and more expensive per sample). Head-to-head comparison work found meaningfully different quantitative pictures of the same wastewater samples depending on which method is used (Elbait et al., 2024; specific concordance figures pending full-text confirmation) — direct evidence that the choice of analytical technology itself belongs inside</w:t>
      </w:r>
      <w:r>
        <w:t xml:space="preserve"> </w:t>
      </w:r>
      <m:oMath>
        <m:sSub>
          <m:e>
            <m:r>
              <m:t>B</m:t>
            </m:r>
          </m:e>
          <m:sub>
            <m:r>
              <m:t>m</m:t>
            </m:r>
            <m:r>
              <m:t>o</m:t>
            </m:r>
            <m:r>
              <m:t>l</m:t>
            </m:r>
          </m:sub>
        </m:sSub>
        <m:d>
          <m:dPr>
            <m:begChr m:val="("/>
            <m:endChr m:val=")"/>
            <m:sepChr m:val=""/>
            <m:grow/>
          </m:dPr>
          <m:e>
            <m:r>
              <m:t>t</m:t>
            </m:r>
          </m:e>
        </m:d>
      </m:oMath>
      <w:r>
        <w:t xml:space="preserve">, not outside the model as an unmodeled assumption.</w:t>
      </w:r>
    </w:p>
    <w:p>
      <w:pPr>
        <w:numPr>
          <w:ilvl w:val="0"/>
          <w:numId w:val="1009"/>
        </w:numPr>
        <w:pStyle w:val="Compact"/>
      </w:pPr>
      <w:r>
        <w:rPr>
          <w:bCs/>
          <w:b/>
        </w:rPr>
        <w:t xml:space="preserve">Chemical markers</w:t>
      </w:r>
      <w:r>
        <w:t xml:space="preserve"> </w:t>
      </w:r>
      <w:r>
        <w:t xml:space="preserve">(pharmaceuticals, illicit drugs, and their metabolites) use the</w:t>
      </w:r>
      <w:r>
        <w:t xml:space="preserve"> </w:t>
      </w:r>
      <w:r>
        <w:rPr>
          <w:bCs/>
          <w:b/>
        </w:rPr>
        <w:t xml:space="preserve">chemical-biomarker model</w:t>
      </w:r>
      <w:r>
        <w:t xml:space="preserve"> </w:t>
      </w:r>
      <w:r>
        <w:t xml:space="preserve">(§5.0), not the molecular-target model: they are analyzed by liquid chromatography–mass spectrometry rather than PCR-based methods, so</w:t>
      </w:r>
      <w:r>
        <w:t xml:space="preserve"> </w:t>
      </w:r>
      <m:oMath>
        <m:sSub>
          <m:e>
            <m:r>
              <m:t>η</m:t>
            </m:r>
          </m:e>
          <m:sub>
            <m:r>
              <m:t>i</m:t>
            </m:r>
            <m:r>
              <m:t>n</m:t>
            </m:r>
            <m:r>
              <m:t>h</m:t>
            </m:r>
          </m:sub>
        </m:sSub>
      </m:oMath>
      <w:r>
        <w:t xml:space="preserve"> </w:t>
      </w:r>
      <w:r>
        <w:t xml:space="preserve">(PCR inhibition) simply does not apply to them — there is no amplification step to inhibit. They are instead subject to</w:t>
      </w:r>
      <w:r>
        <w:t xml:space="preserve"> </w:t>
      </w:r>
      <m:oMath>
        <m:sSub>
          <m:e>
            <m:r>
              <m:t>η</m:t>
            </m:r>
          </m:e>
          <m:sub>
            <m:r>
              <m:t>i</m:t>
            </m:r>
            <m:r>
              <m:t>o</m:t>
            </m:r>
            <m:r>
              <m:t>n</m:t>
            </m:r>
          </m:sub>
        </m:sSub>
        <m:d>
          <m:dPr>
            <m:begChr m:val="("/>
            <m:endChr m:val=")"/>
            <m:sepChr m:val=""/>
            <m:grow/>
          </m:dPr>
          <m:e>
            <m:r>
              <m:t>t</m:t>
            </m:r>
          </m:e>
        </m:d>
      </m:oMath>
      <w:r>
        <w:t xml:space="preserve">, ion suppression/enhancement, corrected via isotope-labeled internal standards (</w:t>
      </w:r>
      <m:oMath>
        <m:sSub>
          <m:e>
            <m:r>
              <m:t>η</m:t>
            </m:r>
          </m:e>
          <m:sub>
            <m:r>
              <m:t>e</m:t>
            </m:r>
            <m:r>
              <m:t>x</m:t>
            </m:r>
            <m:r>
              <m:t>t</m:t>
            </m:r>
          </m:sub>
        </m:sSub>
      </m:oMath>
      <w:r>
        <w:t xml:space="preserve">-type correction) rather than the biological recovery-control spikes used for pathogen/ARG targets.</w:t>
      </w:r>
    </w:p>
    <w:p>
      <w:pPr>
        <w:pStyle w:val="FirstParagraph"/>
      </w:pPr>
      <w:r>
        <w:t xml:space="preserve">The practical implication is that a single monitoring program covering multiple target classes (increasingly common as programs add AMR and chemical-exposure targets to existing pathogen infrastructure, per §2.4’s Phase 4) cannot apply one observation model, and therefore cannot use one shared QA/QC framework, across all targets; the correction appropriate for an RNA pathogen (recovery spike + inhibition control, molecular-target model) is not the correction needed for a chemical marker (isotope-dilution internal standard, chemical-biomarker model), and reporting both under a single generic</w:t>
      </w:r>
      <w:r>
        <w:t xml:space="preserve"> </w:t>
      </w:r>
      <w:r>
        <w:t xml:space="preserve">“</w:t>
      </w:r>
      <w:r>
        <w:t xml:space="preserve">recovery-corrected concentration</w:t>
      </w:r>
      <w:r>
        <w:t xml:space="preserve">”</w:t>
      </w:r>
      <w:r>
        <w:t xml:space="preserve"> </w:t>
      </w:r>
      <w:r>
        <w:t xml:space="preserve">label — without specifying which model and which terms were actually corrected — risks under- or over-correcting one class relative to another when results are later compared or combined.</w:t>
      </w:r>
    </w:p>
    <w:bookmarkEnd w:id="42"/>
    <w:bookmarkStart w:id="43" w:name="X8666d8827ce6cf798cb2ca0b98cc473b17cc7b9"/>
    <w:p>
      <w:pPr>
        <w:pStyle w:val="Heading3"/>
      </w:pPr>
      <w:r>
        <w:t xml:space="preserve">5.7 Carrying Sampling and Analytical Uncertainty Forward: Bias, Random Error, and Information Loss</w:t>
      </w:r>
    </w:p>
    <w:p>
      <w:pPr>
        <w:pStyle w:val="FirstParagraph"/>
      </w:pPr>
      <w:r>
        <w:t xml:space="preserve">Not every distortion source in this chapter threatens the inverse problem (§3.0) in the same way, and conflating them — as a single</w:t>
      </w:r>
      <w:r>
        <w:t xml:space="preserve"> </w:t>
      </w:r>
      <w:r>
        <w:t xml:space="preserve">“</w:t>
      </w:r>
      <w:r>
        <w:t xml:space="preserve">uncertainty</w:t>
      </w:r>
      <w:r>
        <w:t xml:space="preserve">”</w:t>
      </w:r>
      <w:r>
        <w:t xml:space="preserve"> </w:t>
      </w:r>
      <w:r>
        <w:t xml:space="preserve">label invites — leads to the wrong fix being applied. This section sorts §5.1–5.6’s distortion sources into three categories with different downstream consequences and different remedies:</w:t>
      </w:r>
    </w:p>
    <w:p>
      <w:pPr>
        <w:pStyle w:val="BodyText"/>
      </w:pPr>
      <w:r>
        <w:rPr>
          <w:bCs/>
          <w:b/>
        </w:rPr>
        <w:t xml:space="preserve">Systematic bias</w:t>
      </w:r>
      <w:r>
        <w:t xml:space="preserve"> </w:t>
      </w:r>
      <w:r>
        <w:t xml:space="preserve">— a persistent, directional offset between the reported value and the true value, which does</w:t>
      </w:r>
      <w:r>
        <w:t xml:space="preserve"> </w:t>
      </w:r>
      <w:r>
        <w:rPr>
          <w:iCs/>
          <w:i/>
        </w:rPr>
        <w:t xml:space="preserve">not</w:t>
      </w:r>
      <w:r>
        <w:t xml:space="preserve"> </w:t>
      </w:r>
      <w:r>
        <w:t xml:space="preserve">shrink by averaging more replicates. Sources identified in this chapter: uncorrected or under-corrected analytical recovery (</w:t>
      </w:r>
      <m:oMath>
        <m:sSub>
          <m:e>
            <m:r>
              <m:t>η</m:t>
            </m:r>
          </m:e>
          <m:sub>
            <m:r>
              <m:t>r</m:t>
            </m:r>
            <m:r>
              <m:t>e</m:t>
            </m:r>
            <m:r>
              <m:t>c</m:t>
            </m:r>
          </m:sub>
        </m:sSub>
      </m:oMath>
      <w:r>
        <w:t xml:space="preserve">,</w:t>
      </w:r>
      <w:r>
        <w:t xml:space="preserve"> </w:t>
      </w:r>
      <m:oMath>
        <m:sSub>
          <m:e>
            <m:r>
              <m:t>η</m:t>
            </m:r>
          </m:e>
          <m:sub>
            <m:r>
              <m:t>e</m:t>
            </m:r>
            <m:r>
              <m:t>x</m:t>
            </m:r>
            <m:r>
              <m:t>t</m:t>
            </m:r>
          </m:sub>
        </m:sSub>
      </m:oMath>
      <w:r>
        <w:t xml:space="preserve"> </w:t>
      </w:r>
      <w:r>
        <w:t xml:space="preserve">— always biases low, never high, since recovery cannot exceed 100%); uncorrected PCR inhibition (</w:t>
      </w:r>
      <m:oMath>
        <m:sSub>
          <m:e>
            <m:r>
              <m:t>η</m:t>
            </m:r>
          </m:e>
          <m:sub>
            <m:r>
              <m:t>i</m:t>
            </m:r>
            <m:r>
              <m:t>n</m:t>
            </m:r>
            <m:r>
              <m:t>h</m:t>
            </m:r>
          </m:sub>
        </m:sSub>
      </m:oMath>
      <w:r>
        <w:t xml:space="preserve"> </w:t>
      </w:r>
      <w:r>
        <w:t xml:space="preserve">— biases low); uncorrected ion suppression (</w:t>
      </w:r>
      <m:oMath>
        <m:sSub>
          <m:e>
            <m:r>
              <m:t>η</m:t>
            </m:r>
          </m:e>
          <m:sub>
            <m:r>
              <m:t>i</m:t>
            </m:r>
            <m:r>
              <m:t>o</m:t>
            </m:r>
            <m:r>
              <m:t>n</m:t>
            </m:r>
          </m:sub>
        </m:sSub>
      </m:oMath>
      <w:r>
        <w:t xml:space="preserve"> </w:t>
      </w:r>
      <w:r>
        <w:t xml:space="preserve">— can bias either direction depending on the compound); consistent use of a sampling mode with poor representativeness (§5.1–5.2, e.g., grab sampling systematically over- or under-weighting a particular time-of-day); and matrix-partitioning mismatches when comparing across sites that use different sample fractions (§5.3) without a conversion factor.</w:t>
      </w:r>
      <w:r>
        <w:t xml:space="preserve"> </w:t>
      </w:r>
      <w:r>
        <w:rPr>
          <w:bCs/>
          <w:b/>
        </w:rPr>
        <w:t xml:space="preserve">Systematic bias is what process-informed correction (§4.3) and recovery/inhibition/ion-suppression correction factors are built to remove</w:t>
      </w:r>
      <w:r>
        <w:t xml:space="preserve">, and it is the category that most directly threatens §6’s normalization methods, since a normalization ratio computed from biased inputs simply inherits and can even amplify that bias.</w:t>
      </w:r>
    </w:p>
    <w:p>
      <w:pPr>
        <w:pStyle w:val="BodyText"/>
      </w:pPr>
      <w:r>
        <w:rPr>
          <w:bCs/>
          <w:b/>
        </w:rPr>
        <w:t xml:space="preserve">Random error</w:t>
      </w:r>
      <w:r>
        <w:t xml:space="preserve"> </w:t>
      </w:r>
      <w:r>
        <w:t xml:space="preserve">— sample-to-sample or run-to-run variability that widens confidence intervals around an estimate without necessarily shifting its central tendency. Sources identified in this chapter: measurement precision/replicate variance (§5.5); counting noise in</w:t>
      </w:r>
      <w:r>
        <w:t xml:space="preserve"> </w:t>
      </w:r>
      <m:oMath>
        <m:sSub>
          <m:e>
            <m:r>
              <m:t>ν</m:t>
            </m:r>
          </m:e>
          <m:sub>
            <m:r>
              <m:t>m</m:t>
            </m:r>
            <m:r>
              <m:t>o</m:t>
            </m:r>
            <m:r>
              <m:t>l</m:t>
            </m:r>
          </m:sub>
        </m:sSub>
        <m:d>
          <m:dPr>
            <m:begChr m:val="("/>
            <m:endChr m:val=")"/>
            <m:sepChr m:val=""/>
            <m:grow/>
          </m:dPr>
          <m:e>
            <m:r>
              <m:t>t</m:t>
            </m:r>
          </m:e>
        </m:d>
      </m:oMath>
      <w:r>
        <w:t xml:space="preserve"> </w:t>
      </w:r>
      <w:r>
        <w:t xml:space="preserve">near the detection limit, and instrument noise in</w:t>
      </w:r>
      <w:r>
        <w:t xml:space="preserve"> </w:t>
      </w:r>
      <m:oMath>
        <m:sSub>
          <m:e>
            <m:r>
              <m:t>ν</m:t>
            </m:r>
          </m:e>
          <m:sub>
            <m:r>
              <m:t>c</m:t>
            </m:r>
            <m:r>
              <m:t>h</m:t>
            </m:r>
            <m:r>
              <m:t>e</m:t>
            </m:r>
            <m:r>
              <m:t>m</m:t>
            </m:r>
          </m:sub>
        </m:sSub>
        <m:d>
          <m:dPr>
            <m:begChr m:val="("/>
            <m:endChr m:val=")"/>
            <m:sepChr m:val=""/>
            <m:grow/>
          </m:dPr>
          <m:e>
            <m:r>
              <m:t>t</m:t>
            </m:r>
          </m:e>
        </m:d>
      </m:oMath>
      <w:r>
        <w:t xml:space="preserve">; and true biological variability captured by biological (but not technical) replicates (§5.5).</w:t>
      </w:r>
      <w:r>
        <w:t xml:space="preserve"> </w:t>
      </w:r>
      <w:r>
        <w:rPr>
          <w:bCs/>
          <w:b/>
        </w:rPr>
        <w:t xml:space="preserve">Random error is what the uncertainty-propagation framework in §8 is built to quantify and carry through to a final confidence interval</w:t>
      </w:r>
      <w:r>
        <w:t xml:space="preserve"> </w:t>
      </w:r>
      <w:r>
        <w:t xml:space="preserve">— it is a precision problem, not an accuracy problem, and does not require the same kind of correction-factor approach as systematic bias; more replication and better assay chemistry reduce it, a correction factor does not.</w:t>
      </w:r>
    </w:p>
    <w:p>
      <w:pPr>
        <w:pStyle w:val="BodyText"/>
      </w:pPr>
      <w:r>
        <w:rPr>
          <w:bCs/>
          <w:b/>
        </w:rPr>
        <w:t xml:space="preserve">Information loss</w:t>
      </w:r>
      <w:r>
        <w:t xml:space="preserve"> </w:t>
      </w:r>
      <w:r>
        <w:t xml:space="preserve">— a distortion severe or structural enough that no amount of averaging or correction can recover the information that was actually lost, because it was never encoded in what got measured in the first place. Sources identified in this chapter: values censored below LOD/LOQ (§5.5 — the true value’s</w:t>
      </w:r>
      <w:r>
        <w:t xml:space="preserve"> </w:t>
      </w:r>
      <w:r>
        <w:rPr>
          <w:iCs/>
          <w:i/>
        </w:rPr>
        <w:t xml:space="preserve">relationship</w:t>
      </w:r>
      <w:r>
        <w:t xml:space="preserve"> </w:t>
      </w:r>
      <w:r>
        <w:t xml:space="preserve">to the threshold is known, but its exact value is not, and no correction factor restores that); spatial aggregation at a treatment-plant-inlet or pump-station sampling location that irreversibly mixes sub-catchment contributions (§5.1, extending §3.0’s spatial distortion); and passive-sampler signals that integrate over a deployment window in a way that cannot be deconvolved back into a time-resolved concentration profile without additional untested assumptions (§5.2).</w:t>
      </w:r>
      <w:r>
        <w:t xml:space="preserve"> </w:t>
      </w:r>
      <w:r>
        <w:rPr>
          <w:bCs/>
          <w:b/>
        </w:rPr>
        <w:t xml:space="preserve">Information loss is not a §6 normalization problem or an §8 confidence-interval problem — it is an identifiability problem in the §3.0 sense</w:t>
      </w:r>
      <w:r>
        <w:t xml:space="preserve">: no statistical technique in §7’s back-calculation methods can recover source-signal detail that the sampling and analytical design never captured, and the honest response to information loss is acknowledging an irreducible bound on what a given monitoring design can support, not applying a more sophisticated model to data that cannot support one.</w:t>
      </w:r>
    </w:p>
    <w:p>
      <w:pPr>
        <w:pStyle w:val="BodyText"/>
      </w:pPr>
      <w:r>
        <w:t xml:space="preserve">Three implications for the chapters still to come follow from this three-way split, replacing the single undifferentiated list in the previous draft of this section:</w:t>
      </w:r>
    </w:p>
    <w:p>
      <w:pPr>
        <w:numPr>
          <w:ilvl w:val="0"/>
          <w:numId w:val="1010"/>
        </w:numPr>
        <w:pStyle w:val="Compact"/>
      </w:pPr>
      <w:r>
        <w:rPr>
          <w:bCs/>
          <w:b/>
        </w:rPr>
        <w:t xml:space="preserve">§6 (normalization) inherits systematic bias, not random error, as its primary concern.</w:t>
      </w:r>
      <w:r>
        <w:t xml:space="preserve"> </w:t>
      </w:r>
      <w:r>
        <w:t xml:space="preserve">Recovery, inhibition, and ion-suppression correction are prerequisites for, not alternatives to, the transport-process correction developed in §4.3 — a recovery-corrected, inhibition-controlled concentration is an estimate of</w:t>
      </w:r>
      <w:r>
        <w:t xml:space="preserve"> </w:t>
      </w:r>
      <m:oMath>
        <m:r>
          <m:t>Y</m:t>
        </m:r>
        <m:d>
          <m:dPr>
            <m:begChr m:val="("/>
            <m:endChr m:val=")"/>
            <m:sepChr m:val=""/>
            <m:grow/>
          </m:dPr>
          <m:e>
            <m:r>
              <m:t>t</m:t>
            </m:r>
          </m:e>
        </m:d>
      </m:oMath>
      <w:r>
        <w:t xml:space="preserve"> </w:t>
      </w:r>
      <w:r>
        <w:t xml:space="preserve">(the in-network signal); it still requires §4’s process-informed correction to recover</w:t>
      </w:r>
      <w:r>
        <w:t xml:space="preserve"> </w:t>
      </w:r>
      <m:oMath>
        <m:r>
          <m:t>X</m:t>
        </m:r>
        <m:d>
          <m:dPr>
            <m:begChr m:val="("/>
            <m:endChr m:val=")"/>
            <m:sepChr m:val=""/>
            <m:grow/>
          </m:dPr>
          <m:e>
            <m:r>
              <m:t>τ</m:t>
            </m:r>
          </m:e>
        </m:d>
      </m:oMath>
      <w:r>
        <w:t xml:space="preserve"> </w:t>
      </w:r>
      <w:r>
        <w:t xml:space="preserve">(the source signal). Skipping recovery/inhibition correction and going straight to a normalization ratio conflates two distortion stages that §3.0’s formalism keeps deliberately separate.</w:t>
      </w:r>
    </w:p>
    <w:p>
      <w:pPr>
        <w:numPr>
          <w:ilvl w:val="0"/>
          <w:numId w:val="1010"/>
        </w:numPr>
        <w:pStyle w:val="Compact"/>
      </w:pPr>
      <w:r>
        <w:rPr>
          <w:bCs/>
          <w:b/>
        </w:rPr>
        <w:t xml:space="preserve">§8 (uncertainty propagation) inherits random error as its primary concern</w:t>
      </w:r>
      <w:r>
        <w:t xml:space="preserve">, and needs sampling-and-analytical-stage variance (§5.5’s precision/replicate discussion) as an explicit input tier, distinct from the source-end and transport-stage variance already introduced qualitatively in §3–4 — omitting it would understate total uncertainty by exactly the amount this chapter has characterized.</w:t>
      </w:r>
    </w:p>
    <w:p>
      <w:pPr>
        <w:numPr>
          <w:ilvl w:val="0"/>
          <w:numId w:val="1010"/>
        </w:numPr>
        <w:pStyle w:val="Compact"/>
      </w:pPr>
      <w:r>
        <w:rPr>
          <w:bCs/>
          <w:b/>
        </w:rPr>
        <w:t xml:space="preserve">§7 (back-calculation) inherits information loss as a hard constraint, not a tunable parameter.</w:t>
      </w:r>
      <w:r>
        <w:t xml:space="preserve"> </w:t>
      </w:r>
      <w:r>
        <w:t xml:space="preserve">Cross-site and cross-target comparisons require an explicit statement of sampling location, sampling mode, and matrix (§5.1’s spatial-distortion argument and §5.3’s matrix-partitioning inconsistency) before they can be treated as comparable, and any back-calculation method applied to LOD-censored or spatially pre-aggregated data needs to report the resulting bound on identifiability explicitly rather than presenting a point estimate with false precision.</w:t>
      </w:r>
    </w:p>
    <w:p>
      <w:r>
        <w:pict>
          <v:rect style="width:0;height:1.5pt" o:hralign="center" o:hrstd="t" o:hr="t"/>
        </w:pict>
      </w:r>
    </w:p>
    <w:bookmarkEnd w:id="43"/>
    <w:bookmarkEnd w:id="44"/>
    <w:bookmarkStart w:id="59" w:name="Xecf481a80a468df9a480b8fbc5f677df7534a70"/>
    <w:p>
      <w:pPr>
        <w:pStyle w:val="Heading2"/>
      </w:pPr>
      <w:r>
        <w:t xml:space="preserve">6. Normalization in Wastewater-Based Epidemiology: Causal Correction or Additional Uncertainty?</w:t>
      </w:r>
    </w:p>
    <w:bookmarkStart w:id="45" w:name="X167000163ca0cd5d6b65cc0cc9e182e14cbba6d"/>
    <w:p>
      <w:pPr>
        <w:pStyle w:val="Heading3"/>
      </w:pPr>
      <w:r>
        <w:t xml:space="preserve">6.0 Normalization Within the Inverse-Problem Framework</w:t>
      </w:r>
    </w:p>
    <w:p>
      <w:pPr>
        <w:pStyle w:val="FirstParagraph"/>
      </w:pPr>
      <w:r>
        <w:t xml:space="preserve">Chapter 5 established that what reaches an analyst’s spreadsheet is not the true in-network signal</w:t>
      </w:r>
      <w:r>
        <w:t xml:space="preserve"> </w:t>
      </w:r>
      <m:oMath>
        <m:r>
          <m:t>Y</m:t>
        </m:r>
        <m:d>
          <m:dPr>
            <m:begChr m:val="("/>
            <m:endChr m:val=")"/>
            <m:sepChr m:val=""/>
            <m:grow/>
          </m:dPr>
          <m:e>
            <m:r>
              <m:t>t</m:t>
            </m:r>
          </m:e>
        </m:d>
      </m:oMath>
      <w:r>
        <w:t xml:space="preserve"> </w:t>
      </w:r>
      <w:r>
        <w:t xml:space="preserve">but a doubly-distorted report —</w:t>
      </w:r>
      <w:r>
        <w:t xml:space="preserve"> </w:t>
      </w:r>
      <m:oMath>
        <m:sSub>
          <m:e>
            <m:acc>
              <m:accPr>
                <m:chr m:val="̂"/>
              </m:accPr>
              <m:e>
                <m:r>
                  <m:t>Y</m:t>
                </m:r>
              </m:e>
            </m:acc>
          </m:e>
          <m:sub>
            <m:r>
              <m:t>m</m:t>
            </m:r>
            <m:r>
              <m:t>o</m:t>
            </m:r>
            <m:r>
              <m:t>l</m:t>
            </m:r>
          </m:sub>
        </m:sSub>
        <m:d>
          <m:dPr>
            <m:begChr m:val="("/>
            <m:endChr m:val=")"/>
            <m:sepChr m:val=""/>
            <m:grow/>
          </m:dPr>
          <m:e>
            <m:r>
              <m:t>t</m:t>
            </m:r>
          </m:e>
        </m:d>
      </m:oMath>
      <w:r>
        <w:t xml:space="preserve"> </w:t>
      </w:r>
      <w:r>
        <w:t xml:space="preserve">or</w:t>
      </w:r>
      <w:r>
        <w:t xml:space="preserve"> </w:t>
      </w:r>
      <m:oMath>
        <m:sSub>
          <m:e>
            <m:acc>
              <m:accPr>
                <m:chr m:val="̂"/>
              </m:accPr>
              <m:e>
                <m:r>
                  <m:t>Y</m:t>
                </m:r>
              </m:e>
            </m:acc>
          </m:e>
          <m:sub>
            <m:r>
              <m:t>c</m:t>
            </m:r>
            <m:r>
              <m:t>h</m:t>
            </m:r>
            <m:r>
              <m:t>e</m:t>
            </m:r>
            <m:r>
              <m:t>m</m:t>
            </m:r>
          </m:sub>
        </m:sSub>
        <m:d>
          <m:dPr>
            <m:begChr m:val="("/>
            <m:endChr m:val=")"/>
            <m:sepChr m:val=""/>
            <m:grow/>
          </m:dPr>
          <m:e>
            <m:r>
              <m:t>t</m:t>
            </m:r>
          </m:e>
        </m:d>
      </m:oMath>
      <w:r>
        <w:t xml:space="preserve">, depending on target class — already shaped by recovery, inhibition/ion-suppression, batch effects, and the representativeness of the sampling location and mode chosen. Normalization is the next operation applied to that reported value, and it is worth being precise about what kind of operation it is:</w:t>
      </w:r>
      <w:r>
        <w:t xml:space="preserve"> </w:t>
      </w:r>
      <w:r>
        <w:rPr>
          <w:bCs/>
          <w:b/>
        </w:rPr>
        <w:t xml:space="preserve">normalization acts on</w:t>
      </w:r>
      <w:r>
        <w:rPr>
          <w:bCs/>
          <w:b/>
        </w:rPr>
        <w:t xml:space="preserve"> </w:t>
      </w:r>
      <m:oMath>
        <m:acc>
          <m:accPr>
            <m:chr m:val="̂"/>
          </m:accPr>
          <m:e>
            <m:r>
              <m:t>Y</m:t>
            </m:r>
          </m:e>
        </m:acc>
        <m:d>
          <m:dPr>
            <m:begChr m:val="("/>
            <m:endChr m:val=")"/>
            <m:sepChr m:val=""/>
            <m:grow/>
          </m:dPr>
          <m:e>
            <m:r>
              <m:t>t</m:t>
            </m:r>
          </m:e>
        </m:d>
      </m:oMath>
      <w:r>
        <w:rPr>
          <w:bCs/>
          <w:b/>
        </w:rPr>
        <w:t xml:space="preserve">, after observation, using auxiliary variables that are themselves imperfectly measured.</w:t>
      </w:r>
      <w:r>
        <w:t xml:space="preserve"> </w:t>
      </w:r>
      <w:r>
        <w:t xml:space="preserve">It is not a way of reaching back through §3–5’s distortion chain to observe</w:t>
      </w:r>
      <w:r>
        <w:t xml:space="preserve"> </w:t>
      </w:r>
      <m:oMath>
        <m:r>
          <m:t>X</m:t>
        </m:r>
        <m:d>
          <m:dPr>
            <m:begChr m:val="("/>
            <m:endChr m:val=")"/>
            <m:sepChr m:val=""/>
            <m:grow/>
          </m:dPr>
          <m:e>
            <m:r>
              <m:t>τ</m:t>
            </m:r>
          </m:e>
        </m:d>
      </m:oMath>
      <w:r>
        <w:t xml:space="preserve"> </w:t>
      </w:r>
      <w:r>
        <w:t xml:space="preserve">directly; it is a</w:t>
      </w:r>
      <w:r>
        <w:t xml:space="preserve"> </w:t>
      </w:r>
      <w:r>
        <w:rPr>
          <w:iCs/>
          <w:i/>
        </w:rPr>
        <w:t xml:space="preserve">statistical or empirical adjustment</w:t>
      </w:r>
      <w:r>
        <w:t xml:space="preserve"> </w:t>
      </w:r>
      <w:r>
        <w:t xml:space="preserve">applied at the reporting stage, and its validity depends entirely on whether the auxiliary variables it uses actually capture the distortion mechanisms it is trying to correct.</w:t>
      </w:r>
    </w:p>
    <w:p>
      <w:pPr>
        <w:pStyle w:val="BodyText"/>
      </w:pPr>
      <w:r>
        <w:t xml:space="preserve">Schematically:</w:t>
      </w:r>
    </w:p>
    <w:p>
      <w:pPr>
        <w:pStyle w:val="BodyText"/>
      </w:pPr>
      <m:oMathPara>
        <m:oMathParaPr>
          <m:jc m:val="center"/>
        </m:oMathParaPr>
        <m:oMath>
          <m:r>
            <m:t>Z</m:t>
          </m:r>
          <m:d>
            <m:dPr>
              <m:begChr m:val="("/>
              <m:endChr m:val=")"/>
              <m:sepChr m:val=""/>
              <m:grow/>
            </m:dPr>
            <m:e>
              <m:r>
                <m:t>t</m:t>
              </m:r>
            </m:e>
          </m:d>
          <m:r>
            <m:t> </m:t>
          </m:r>
          <m:r>
            <m:rPr>
              <m:sty m:val="p"/>
            </m:rPr>
            <m:t>=</m:t>
          </m:r>
          <m:r>
            <m:t> </m:t>
          </m:r>
          <m:r>
            <m:rPr>
              <m:sty m:val="p"/>
              <m:scr m:val="script"/>
            </m:rPr>
            <m:t>N</m:t>
          </m:r>
          <m:d>
            <m:dPr>
              <m:begChr m:val="["/>
              <m:endChr m:val="]"/>
              <m:sepChr m:val=""/>
              <m:grow/>
            </m:dPr>
            <m:e>
              <m:acc>
                <m:accPr>
                  <m:chr m:val="̂"/>
                </m:accPr>
                <m:e>
                  <m:r>
                    <m:t>Y</m:t>
                  </m:r>
                </m:e>
              </m:acc>
              <m:d>
                <m:dPr>
                  <m:begChr m:val="("/>
                  <m:endChr m:val=")"/>
                  <m:sepChr m:val=""/>
                  <m:grow/>
                </m:dPr>
                <m:e>
                  <m:r>
                    <m:t>t</m:t>
                  </m:r>
                </m:e>
              </m:d>
              <m:r>
                <m:rPr>
                  <m:sty m:val="p"/>
                </m:rPr>
                <m:t>,</m:t>
              </m:r>
              <m:r>
                <m:t> </m:t>
              </m:r>
              <m:r>
                <m:t>Q</m:t>
              </m:r>
              <m:d>
                <m:dPr>
                  <m:begChr m:val="("/>
                  <m:endChr m:val=")"/>
                  <m:sepChr m:val=""/>
                  <m:grow/>
                </m:dPr>
                <m:e>
                  <m:r>
                    <m:t>t</m:t>
                  </m:r>
                </m:e>
              </m:d>
              <m:r>
                <m:rPr>
                  <m:sty m:val="p"/>
                </m:rPr>
                <m:t>,</m:t>
              </m:r>
              <m:r>
                <m:t> </m:t>
              </m:r>
              <m:r>
                <m:t>P</m:t>
              </m:r>
              <m:d>
                <m:dPr>
                  <m:begChr m:val="("/>
                  <m:endChr m:val=")"/>
                  <m:sepChr m:val=""/>
                  <m:grow/>
                </m:dPr>
                <m:e>
                  <m:r>
                    <m:t>t</m:t>
                  </m:r>
                </m:e>
              </m:d>
              <m:r>
                <m:rPr>
                  <m:sty m:val="p"/>
                </m:rPr>
                <m:t>,</m:t>
              </m:r>
              <m:r>
                <m:t> </m:t>
              </m:r>
              <m:sSub>
                <m:e>
                  <m:r>
                    <m:t>B</m:t>
                  </m:r>
                </m:e>
                <m:sub>
                  <m:r>
                    <m:rPr>
                      <m:sty m:val="p"/>
                    </m:rPr>
                    <m:t>p</m:t>
                  </m:r>
                  <m:r>
                    <m:rPr>
                      <m:sty m:val="p"/>
                    </m:rPr>
                    <m:t>o</m:t>
                  </m:r>
                  <m:r>
                    <m:rPr>
                      <m:sty m:val="p"/>
                    </m:rPr>
                    <m:t>p</m:t>
                  </m:r>
                </m:sub>
              </m:sSub>
              <m:d>
                <m:dPr>
                  <m:begChr m:val="("/>
                  <m:endChr m:val=")"/>
                  <m:sepChr m:val=""/>
                  <m:grow/>
                </m:dPr>
                <m:e>
                  <m:r>
                    <m:t>t</m:t>
                  </m:r>
                </m:e>
              </m:d>
              <m:r>
                <m:rPr>
                  <m:sty m:val="p"/>
                </m:rPr>
                <m:t>,</m:t>
              </m:r>
              <m:r>
                <m:t> </m:t>
              </m:r>
              <m:r>
                <m:rPr>
                  <m:sty m:val="b"/>
                </m:rPr>
                <m:t>C</m:t>
              </m:r>
              <m:d>
                <m:dPr>
                  <m:begChr m:val="("/>
                  <m:endChr m:val=")"/>
                  <m:sepChr m:val=""/>
                  <m:grow/>
                </m:dPr>
                <m:e>
                  <m:r>
                    <m:t>t</m:t>
                  </m:r>
                </m:e>
              </m:d>
            </m:e>
          </m:d>
        </m:oMath>
      </m:oMathPara>
    </w:p>
    <w:p>
      <w:pPr>
        <w:pStyle w:val="FirstParagraph"/>
      </w:pPr>
      <w:r>
        <w:t xml:space="preserve">where</w:t>
      </w:r>
      <w:r>
        <w:t xml:space="preserve"> </w:t>
      </w:r>
      <m:oMath>
        <m:r>
          <m:t>Z</m:t>
        </m:r>
        <m:d>
          <m:dPr>
            <m:begChr m:val="("/>
            <m:endChr m:val=")"/>
            <m:sepChr m:val=""/>
            <m:grow/>
          </m:dPr>
          <m:e>
            <m:r>
              <m:t>t</m:t>
            </m:r>
          </m:e>
        </m:d>
      </m:oMath>
      <w:r>
        <w:t xml:space="preserve"> </w:t>
      </w:r>
      <w:r>
        <w:t xml:space="preserve">is the normalized signal that most downstream analyses (trend plots, correlation with case data, back-calculation inputs) actually use;</w:t>
      </w:r>
      <w:r>
        <w:t xml:space="preserve"> </w:t>
      </w:r>
      <m:oMath>
        <m:r>
          <m:t>Q</m:t>
        </m:r>
        <m:d>
          <m:dPr>
            <m:begChr m:val="("/>
            <m:endChr m:val=")"/>
            <m:sepChr m:val=""/>
            <m:grow/>
          </m:dPr>
          <m:e>
            <m:r>
              <m:t>t</m:t>
            </m:r>
          </m:e>
        </m:d>
      </m:oMath>
      <w:r>
        <w:t xml:space="preserve"> </w:t>
      </w:r>
      <w:r>
        <w:t xml:space="preserve">is wastewater flow;</w:t>
      </w:r>
      <w:r>
        <w:t xml:space="preserve"> </w:t>
      </w:r>
      <m:oMath>
        <m:r>
          <m:t>P</m:t>
        </m:r>
        <m:d>
          <m:dPr>
            <m:begChr m:val="("/>
            <m:endChr m:val=")"/>
            <m:sepChr m:val=""/>
            <m:grow/>
          </m:dPr>
          <m:e>
            <m:r>
              <m:t>t</m:t>
            </m:r>
          </m:e>
        </m:d>
      </m:oMath>
      <w:r>
        <w:t xml:space="preserve"> </w:t>
      </w:r>
      <w:r>
        <w:t xml:space="preserve">is service or dynamic population;</w:t>
      </w:r>
      <w:r>
        <w:t xml:space="preserve"> </w:t>
      </w:r>
      <m:oMath>
        <m:sSub>
          <m:e>
            <m:r>
              <m:t>B</m:t>
            </m:r>
          </m:e>
          <m:sub>
            <m:r>
              <m:rPr>
                <m:sty m:val="p"/>
              </m:rPr>
              <m:t>p</m:t>
            </m:r>
            <m:r>
              <m:rPr>
                <m:sty m:val="p"/>
              </m:rPr>
              <m:t>o</m:t>
            </m:r>
            <m:r>
              <m:rPr>
                <m:sty m:val="p"/>
              </m:rPr>
              <m:t>p</m:t>
            </m:r>
          </m:sub>
        </m:sSub>
        <m:d>
          <m:dPr>
            <m:begChr m:val="("/>
            <m:endChr m:val=")"/>
            <m:sepChr m:val=""/>
            <m:grow/>
          </m:dPr>
          <m:e>
            <m:r>
              <m:t>t</m:t>
            </m:r>
          </m:e>
        </m:d>
      </m:oMath>
      <w:r>
        <w:t xml:space="preserve"> </w:t>
      </w:r>
      <w:r>
        <w:t xml:space="preserve">is a chemical or microbial population/fecal biomarker;</w:t>
      </w:r>
      <w:r>
        <w:t xml:space="preserve"> </w:t>
      </w:r>
      <m:oMath>
        <m:r>
          <m:rPr>
            <m:sty m:val="b"/>
          </m:rPr>
          <m:t>C</m:t>
        </m:r>
        <m:d>
          <m:dPr>
            <m:begChr m:val="("/>
            <m:endChr m:val=")"/>
            <m:sepChr m:val=""/>
            <m:grow/>
          </m:dPr>
          <m:e>
            <m:r>
              <m:t>t</m:t>
            </m:r>
          </m:e>
        </m:d>
      </m:oMath>
      <w:r>
        <w:t xml:space="preserve"> </w:t>
      </w:r>
      <w:r>
        <w:t xml:space="preserve">is a vector of auxiliary covariates (rainfall, industrial discharge, network state — connecting directly to</w:t>
      </w:r>
      <w:r>
        <w:t xml:space="preserve"> </w:t>
      </w:r>
      <m:oMath>
        <m:r>
          <m:t>R</m:t>
        </m:r>
        <m:d>
          <m:dPr>
            <m:begChr m:val="("/>
            <m:endChr m:val=")"/>
            <m:sepChr m:val=""/>
            <m:grow/>
          </m:dPr>
          <m:e>
            <m:r>
              <m:t>t</m:t>
            </m:r>
          </m:e>
        </m:d>
      </m:oMath>
      <w:r>
        <w:t xml:space="preserve"> </w:t>
      </w:r>
      <w:r>
        <w:t xml:space="preserve">and the other §3–4 distortion terms); and</w:t>
      </w:r>
      <w:r>
        <w:t xml:space="preserve"> </w:t>
      </w:r>
      <m:oMath>
        <m:r>
          <m:rPr>
            <m:sty m:val="p"/>
            <m:scr m:val="script"/>
          </m:rPr>
          <m:t>N</m:t>
        </m:r>
      </m:oMath>
      <w:r>
        <w:t xml:space="preserve"> </w:t>
      </w:r>
      <w:r>
        <w:t xml:space="preserve">is the specific normalization or correction function chosen (a simple ratio, a regression adjustment, a mechanistic model). As with §5.0’s observation models,</w:t>
      </w:r>
      <w:r>
        <w:t xml:space="preserve"> </w:t>
      </w:r>
      <w:r>
        <w:rPr>
          <w:bCs/>
          <w:b/>
        </w:rPr>
        <w:t xml:space="preserve">this equation is a conceptual scaffold, not a validated quantitative model</w:t>
      </w:r>
      <w:r>
        <w:t xml:space="preserve"> </w:t>
      </w:r>
      <w:r>
        <w:t xml:space="preserve">— no specific functional form for</w:t>
      </w:r>
      <w:r>
        <w:t xml:space="preserve"> </w:t>
      </w:r>
      <m:oMath>
        <m:r>
          <m:rPr>
            <m:sty m:val="p"/>
            <m:scr m:val="script"/>
          </m:rPr>
          <m:t>N</m:t>
        </m:r>
      </m:oMath>
      <w:r>
        <w:t xml:space="preserve"> </w:t>
      </w:r>
      <w:r>
        <w:t xml:space="preserve">is asserted to be correct here, and §6.1–6.9 exist precisely to show that different choices of</w:t>
      </w:r>
      <w:r>
        <w:t xml:space="preserve"> </w:t>
      </w:r>
      <m:oMath>
        <m:r>
          <m:rPr>
            <m:sty m:val="p"/>
            <m:scr m:val="script"/>
          </m:rPr>
          <m:t>N</m:t>
        </m:r>
      </m:oMath>
      <w:r>
        <w:t xml:space="preserve">,</w:t>
      </w:r>
      <w:r>
        <w:t xml:space="preserve"> </w:t>
      </w:r>
      <m:oMath>
        <m:r>
          <m:t>Q</m:t>
        </m:r>
      </m:oMath>
      <w:r>
        <w:t xml:space="preserve">,</w:t>
      </w:r>
      <w:r>
        <w:t xml:space="preserve"> </w:t>
      </w:r>
      <m:oMath>
        <m:r>
          <m:t>P</m:t>
        </m:r>
      </m:oMath>
      <w:r>
        <w:t xml:space="preserve">, and</w:t>
      </w:r>
      <w:r>
        <w:t xml:space="preserve"> </w:t>
      </w:r>
      <m:oMath>
        <m:sSub>
          <m:e>
            <m:r>
              <m:t>B</m:t>
            </m:r>
          </m:e>
          <m:sub>
            <m:r>
              <m:rPr>
                <m:sty m:val="p"/>
              </m:rPr>
              <m:t>p</m:t>
            </m:r>
            <m:r>
              <m:rPr>
                <m:sty m:val="p"/>
              </m:rPr>
              <m:t>o</m:t>
            </m:r>
            <m:r>
              <m:rPr>
                <m:sty m:val="p"/>
              </m:rPr>
              <m:t>p</m:t>
            </m:r>
          </m:sub>
        </m:sSub>
      </m:oMath>
      <w:r>
        <w:t xml:space="preserve"> </w:t>
      </w:r>
      <w:r>
        <w:t xml:space="preserve">correct different distortions, fail under different conditions, and are frequently not interchangeable.</w:t>
      </w:r>
    </w:p>
    <w:p>
      <w:pPr>
        <w:pStyle w:val="BodyText"/>
      </w:pPr>
      <w:r>
        <w:t xml:space="preserve">The central claim this chapter defends, stated once here and returned to throughout:</w:t>
      </w:r>
    </w:p>
    <w:p>
      <w:pPr>
        <w:pStyle w:val="BlockText"/>
      </w:pPr>
      <w:r>
        <w:rPr>
          <w:bCs/>
          <w:b/>
        </w:rPr>
        <w:t xml:space="preserve">Normalization ≠ reconstruction of the true source state.</w:t>
      </w:r>
      <w:r>
        <w:t xml:space="preserve"> </w:t>
      </w:r>
      <w:r>
        <w:t xml:space="preserve">Normalization can only correct distortion that is (a) actually present in the auxiliary data used, (b) mechanistically linked to the target signal’s distortion in a way that has been checked rather than assumed, and (c) not itself so noisy or biased that it adds more uncertainty than it removes. Where any of these three conditions fails,</w:t>
      </w:r>
      <w:r>
        <w:t xml:space="preserve"> </w:t>
      </w:r>
      <m:oMath>
        <m:r>
          <m:t>Z</m:t>
        </m:r>
        <m:d>
          <m:dPr>
            <m:begChr m:val="("/>
            <m:endChr m:val=")"/>
            <m:sepChr m:val=""/>
            <m:grow/>
          </m:dPr>
          <m:e>
            <m:r>
              <m:t>t</m:t>
            </m:r>
          </m:e>
        </m:d>
      </m:oMath>
      <w:r>
        <w:t xml:space="preserve"> </w:t>
      </w:r>
      <w:r>
        <w:t xml:space="preserve">is not a better estimate of</w:t>
      </w:r>
      <w:r>
        <w:t xml:space="preserve"> </w:t>
      </w:r>
      <m:oMath>
        <m:r>
          <m:t>X</m:t>
        </m:r>
        <m:d>
          <m:dPr>
            <m:begChr m:val="("/>
            <m:endChr m:val=")"/>
            <m:sepChr m:val=""/>
            <m:grow/>
          </m:dPr>
          <m:e>
            <m:r>
              <m:t>τ</m:t>
            </m:r>
          </m:e>
        </m:d>
      </m:oMath>
      <w:r>
        <w:t xml:space="preserve"> </w:t>
      </w:r>
      <w:r>
        <w:t xml:space="preserve">than</w:t>
      </w:r>
      <w:r>
        <w:t xml:space="preserve"> </w:t>
      </w:r>
      <m:oMath>
        <m:acc>
          <m:accPr>
            <m:chr m:val="̂"/>
          </m:accPr>
          <m:e>
            <m:r>
              <m:t>Y</m:t>
            </m:r>
          </m:e>
        </m:acc>
        <m:d>
          <m:dPr>
            <m:begChr m:val="("/>
            <m:endChr m:val=")"/>
            <m:sepChr m:val=""/>
            <m:grow/>
          </m:dPr>
          <m:e>
            <m:r>
              <m:t>t</m:t>
            </m:r>
          </m:e>
        </m:d>
      </m:oMath>
      <w:r>
        <w:t xml:space="preserve"> </w:t>
      </w:r>
      <w:r>
        <w:t xml:space="preserve">was — it is a differently distorted one, and possibly a more confidently, and wrongly, reported one.</w:t>
      </w:r>
    </w:p>
    <w:p>
      <w:pPr>
        <w:pStyle w:val="FirstParagraph"/>
      </w:pPr>
      <w:r>
        <w:t xml:space="preserve">This framing is why the chapter is titled as a question rather than a procedure. §6.1 separates what normalization is actually being asked to do, since</w:t>
      </w:r>
      <w:r>
        <w:t xml:space="preserve"> </w:t>
      </w:r>
      <w:r>
        <w:t xml:space="preserve">“</w:t>
      </w:r>
      <w:r>
        <w:t xml:space="preserve">normalization</w:t>
      </w:r>
      <w:r>
        <w:t xml:space="preserve">”</w:t>
      </w:r>
      <w:r>
        <w:t xml:space="preserve"> </w:t>
      </w:r>
      <w:r>
        <w:t xml:space="preserve">is routinely used as an umbrella term for at least five distinct goals that do not share a single fix. §6.2–6.5 examine the evidence base for the four broad auxiliary-variable families (</w:t>
      </w:r>
      <m:oMath>
        <m:r>
          <m:t>Q</m:t>
        </m:r>
      </m:oMath>
      <w:r>
        <w:t xml:space="preserve">,</w:t>
      </w:r>
      <w:r>
        <w:t xml:space="preserve"> </w:t>
      </w:r>
      <m:oMath>
        <m:r>
          <m:t>P</m:t>
        </m:r>
      </m:oMath>
      <w:r>
        <w:t xml:space="preserve">, chemical</w:t>
      </w:r>
      <w:r>
        <w:t xml:space="preserve"> </w:t>
      </w:r>
      <m:oMath>
        <m:sSub>
          <m:e>
            <m:r>
              <m:t>B</m:t>
            </m:r>
          </m:e>
          <m:sub>
            <m:r>
              <m:rPr>
                <m:sty m:val="p"/>
              </m:rPr>
              <m:t>p</m:t>
            </m:r>
            <m:r>
              <m:rPr>
                <m:sty m:val="p"/>
              </m:rPr>
              <m:t>o</m:t>
            </m:r>
            <m:r>
              <m:rPr>
                <m:sty m:val="p"/>
              </m:rPr>
              <m:t>p</m:t>
            </m:r>
          </m:sub>
        </m:sSub>
      </m:oMath>
      <w:r>
        <w:t xml:space="preserve">, microbial</w:t>
      </w:r>
      <w:r>
        <w:t xml:space="preserve"> </w:t>
      </w:r>
      <m:oMath>
        <m:sSub>
          <m:e>
            <m:r>
              <m:t>B</m:t>
            </m:r>
          </m:e>
          <m:sub>
            <m:r>
              <m:rPr>
                <m:sty m:val="p"/>
              </m:rPr>
              <m:t>p</m:t>
            </m:r>
            <m:r>
              <m:rPr>
                <m:sty m:val="p"/>
              </m:rPr>
              <m:t>o</m:t>
            </m:r>
            <m:r>
              <m:rPr>
                <m:sty m:val="p"/>
              </m:rPr>
              <m:t>p</m:t>
            </m:r>
          </m:sub>
        </m:sSub>
      </m:oMath>
      <w:r>
        <w:t xml:space="preserve">) individually and comparatively, including cases where each failed to improve or actively worsened correlation with independent data. §6.6 develops the statistical mechanics of ratio normalization specifically, since dividing one noisy, distorted signal by another is the single most common normalization operation in this literature and the one whose failure modes are least often made explicit. §6.7 argues that normalization strategy should depend jointly on target class and inference purpose rather than being chosen once per monitoring program. §6.8 catalogs distortions no normalization scheme can fix. §6.9 assembles the preceding sections into a decision framework. §6.10 hands the normalized signal</w:t>
      </w:r>
      <w:r>
        <w:t xml:space="preserve"> </w:t>
      </w:r>
      <m:oMath>
        <m:r>
          <m:t>Z</m:t>
        </m:r>
        <m:d>
          <m:dPr>
            <m:begChr m:val="("/>
            <m:endChr m:val=")"/>
            <m:sepChr m:val=""/>
            <m:grow/>
          </m:dPr>
          <m:e>
            <m:r>
              <m:t>t</m:t>
            </m:r>
          </m:e>
        </m:d>
      </m:oMath>
      <w:r>
        <w:t xml:space="preserve"> </w:t>
      </w:r>
      <w:r>
        <w:t xml:space="preserve">forward to §7 and §8, explicit about what it is and is not.</w:t>
      </w:r>
    </w:p>
    <w:bookmarkEnd w:id="45"/>
    <w:bookmarkStart w:id="46" w:name="X233e6821b61bdd68fa373796039f5a13a99f9da"/>
    <w:p>
      <w:pPr>
        <w:pStyle w:val="Heading3"/>
      </w:pPr>
      <w:r>
        <w:t xml:space="preserve">6.1 What Is Normalization Intended to Correct?</w:t>
      </w:r>
    </w:p>
    <w:p>
      <w:pPr>
        <w:pStyle w:val="FirstParagraph"/>
      </w:pPr>
      <w:r>
        <w:t xml:space="preserve">The literature uses</w:t>
      </w:r>
      <w:r>
        <w:t xml:space="preserve"> </w:t>
      </w:r>
      <w:r>
        <w:t xml:space="preserve">“</w:t>
      </w:r>
      <w:r>
        <w:t xml:space="preserve">normalization</w:t>
      </w:r>
      <w:r>
        <w:t xml:space="preserve">”</w:t>
      </w:r>
      <w:r>
        <w:t xml:space="preserve"> </w:t>
      </w:r>
      <w:r>
        <w:t xml:space="preserve">for at least five distinct operations, and treating them as one procedure — as much applied WBE work implicitly does by reporting a single</w:t>
      </w:r>
      <w:r>
        <w:t xml:space="preserve"> </w:t>
      </w:r>
      <w:r>
        <w:t xml:space="preserve">“</w:t>
      </w:r>
      <w:r>
        <w:t xml:space="preserve">normalized concentration</w:t>
      </w:r>
      <w:r>
        <w:t xml:space="preserve">”</w:t>
      </w:r>
      <w:r>
        <w:t xml:space="preserve"> </w:t>
      </w:r>
      <w:r>
        <w:t xml:space="preserve">— obscures that a method solving one of these problems need not solve, and sometimes cannot solve, another:</w:t>
      </w:r>
    </w:p>
    <w:p>
      <w:pPr>
        <w:numPr>
          <w:ilvl w:val="0"/>
          <w:numId w:val="1011"/>
        </w:numPr>
        <w:pStyle w:val="Compact"/>
      </w:pPr>
      <w:r>
        <w:rPr>
          <w:bCs/>
          <w:b/>
        </w:rPr>
        <w:t xml:space="preserve">Dilution correction</w:t>
      </w:r>
      <w:r>
        <w:t xml:space="preserve"> </w:t>
      </w:r>
      <w:r>
        <w:t xml:space="preserve">— removing the effect of variable water content (rainfall, infiltration, industrial process water) on measured concentration, addressed most directly by flow (§6.2) or, in its absence, by a dilution-sensitive auxiliary marker.</w:t>
      </w:r>
    </w:p>
    <w:p>
      <w:pPr>
        <w:numPr>
          <w:ilvl w:val="0"/>
          <w:numId w:val="1011"/>
        </w:numPr>
        <w:pStyle w:val="Compact"/>
      </w:pPr>
      <w:r>
        <w:rPr>
          <w:bCs/>
          <w:b/>
        </w:rPr>
        <w:t xml:space="preserve">Conversion from concentration to mass load</w:t>
      </w:r>
      <w:r>
        <w:t xml:space="preserve"> </w:t>
      </w:r>
      <w:r>
        <w:t xml:space="preserve">— converting a per-volume concentration into a per-time mass, which requires flow but is a distinct operation from dilution correction: a mass load can still misrepresent per-capita burden if population size varies (§6.2 vs. §6.3).</w:t>
      </w:r>
    </w:p>
    <w:p>
      <w:pPr>
        <w:numPr>
          <w:ilvl w:val="0"/>
          <w:numId w:val="1011"/>
        </w:numPr>
        <w:pStyle w:val="Compact"/>
      </w:pPr>
      <w:r>
        <w:rPr>
          <w:bCs/>
          <w:b/>
        </w:rPr>
        <w:t xml:space="preserve">Population-size correction</w:t>
      </w:r>
      <w:r>
        <w:t xml:space="preserve"> </w:t>
      </w:r>
      <w:r>
        <w:t xml:space="preserve">— converting a mass load into a per-capita quantity, which requires an estimate of the contributing population, either static (design/census, §6.3) or dynamic (§6.3), and is a distinct problem from both of the above.</w:t>
      </w:r>
    </w:p>
    <w:p>
      <w:pPr>
        <w:numPr>
          <w:ilvl w:val="0"/>
          <w:numId w:val="1011"/>
        </w:numPr>
        <w:pStyle w:val="Compact"/>
      </w:pPr>
      <w:r>
        <w:rPr>
          <w:bCs/>
          <w:b/>
        </w:rPr>
        <w:t xml:space="preserve">Correction for temporal population fluctuation</w:t>
      </w:r>
      <w:r>
        <w:t xml:space="preserve"> </w:t>
      </w:r>
      <w:r>
        <w:t xml:space="preserve">— a stricter version of (3) that specifically targets commuting, tourism, and seasonal population movement rather than treating population as a fixed denominator (§6.3).</w:t>
      </w:r>
    </w:p>
    <w:p>
      <w:pPr>
        <w:numPr>
          <w:ilvl w:val="0"/>
          <w:numId w:val="1011"/>
        </w:numPr>
        <w:pStyle w:val="Compact"/>
      </w:pPr>
      <w:r>
        <w:rPr>
          <w:bCs/>
          <w:b/>
        </w:rPr>
        <w:t xml:space="preserve">Improvement of cross-site or longitudinal comparability</w:t>
      </w:r>
      <w:r>
        <w:t xml:space="preserve"> </w:t>
      </w:r>
      <w:r>
        <w:t xml:space="preserve">— making concentrations, loads, or per-capita estimates from different sewersheds or different time periods meaningfully comparable to one another, which is often the actual downstream goal but requires goals (1)–(4) to be solved consistently across every site and time point being compared, not just solved somewhere.</w:t>
      </w:r>
    </w:p>
    <w:p>
      <w:pPr>
        <w:pStyle w:val="FirstParagraph"/>
      </w:pPr>
      <w:r>
        <w:t xml:space="preserve">These goals are not nested in a way that solving a</w:t>
      </w:r>
      <w:r>
        <w:t xml:space="preserve"> </w:t>
      </w:r>
      <w:r>
        <w:t xml:space="preserve">“</w:t>
      </w:r>
      <w:r>
        <w:t xml:space="preserve">higher</w:t>
      </w:r>
      <w:r>
        <w:t xml:space="preserve">”</w:t>
      </w:r>
      <w:r>
        <w:t xml:space="preserve"> </w:t>
      </w:r>
      <w:r>
        <w:t xml:space="preserve">one automatically solves a</w:t>
      </w:r>
      <w:r>
        <w:t xml:space="preserve"> </w:t>
      </w:r>
      <w:r>
        <w:t xml:space="preserve">“</w:t>
      </w:r>
      <w:r>
        <w:t xml:space="preserve">lower</w:t>
      </w:r>
      <w:r>
        <w:t xml:space="preserve">”</w:t>
      </w:r>
      <w:r>
        <w:t xml:space="preserve"> </w:t>
      </w:r>
      <w:r>
        <w:t xml:space="preserve">one. Flow normalization (goal 1–2) can convert a concentration into a load without doing anything to correct for a doubling of the served population during a holiday period (goal 3–4) — the load itself would rise even with a completely stable per-capita source signal. Conversely, a population biomarker normalization (goal 3) does not, by construction, correct for combined-sewer-overflow mass loss during a storm (a goal-1 problem) unless the biomarker happens to be lost from the sewage at the same rate and through the same mechanism as the target — an assumption §6.5–6.6 show is frequently false. A monitoring program that reports</w:t>
      </w:r>
      <w:r>
        <w:t xml:space="preserve"> </w:t>
      </w:r>
      <w:r>
        <w:t xml:space="preserve">“</w:t>
      </w:r>
      <w:r>
        <w:t xml:space="preserve">population-normalized concentration</w:t>
      </w:r>
      <w:r>
        <w:t xml:space="preserve">”</w:t>
      </w:r>
      <w:r>
        <w:t xml:space="preserve"> </w:t>
      </w:r>
      <w:r>
        <w:t xml:space="preserve">without specifying which of these five goals the normalization was designed for, and verifying it was actually achieved, risks presenting a number that solved a different problem than the one the reader assumes it solved.</w:t>
      </w:r>
    </w:p>
    <w:p>
      <w:pPr>
        <w:pStyle w:val="BodyText"/>
      </w:pPr>
      <w:r>
        <w:t xml:space="preserve">This is not merely a theoretical risk. A 2026 systematic review of 247 published articles applying normalization in wastewater-based epidemiology found that normalization goals were frequently left unspecified altogether, and where specified, mapped onto a diverse and inconsistent range of applications — flow-variability adjustment, clinical-data correlation, and population-size correction chief among them — with no convergence toward standardized reporting of which goal a given normalization step was intended to achieve (Ahmed, Philo, Boehm, Halden, Bibby, &amp; Delgado Vela, 2026). This is field-wide, multi-study evidence for exactly the conflation this section warns against, not an isolated methodological critique, and its call for standardized reporting of normalization strategy and goal is the direct motivation for the eight-question decision framework developed in §6.9.</w:t>
      </w:r>
    </w:p>
    <w:bookmarkEnd w:id="46"/>
    <w:bookmarkStart w:id="47" w:name="flow-based-normalization"/>
    <w:p>
      <w:pPr>
        <w:pStyle w:val="Heading3"/>
      </w:pPr>
      <w:r>
        <w:t xml:space="preserve">6.2 Flow-Based Normalization</w:t>
      </w:r>
    </w:p>
    <w:p>
      <w:pPr>
        <w:pStyle w:val="FirstParagraph"/>
      </w:pPr>
      <w:r>
        <w:t xml:space="preserve">The most direct dilution- and load-conversion correction is:</w:t>
      </w:r>
    </w:p>
    <w:p>
      <w:pPr>
        <w:pStyle w:val="BodyText"/>
      </w:pPr>
      <m:oMathPara>
        <m:oMathParaPr>
          <m:jc m:val="center"/>
        </m:oMathParaPr>
        <m:oMath>
          <m:r>
            <m:t>L</m:t>
          </m:r>
          <m:d>
            <m:dPr>
              <m:begChr m:val="("/>
              <m:endChr m:val=")"/>
              <m:sepChr m:val=""/>
              <m:grow/>
            </m:dPr>
            <m:e>
              <m:r>
                <m:t>t</m:t>
              </m:r>
            </m:e>
          </m:d>
          <m:r>
            <m:rPr>
              <m:sty m:val="p"/>
            </m:rPr>
            <m:t>=</m:t>
          </m:r>
          <m:acc>
            <m:accPr>
              <m:chr m:val="̂"/>
            </m:accPr>
            <m:e>
              <m:r>
                <m:t>Y</m:t>
              </m:r>
            </m:e>
          </m:acc>
          <m:d>
            <m:dPr>
              <m:begChr m:val="("/>
              <m:endChr m:val=")"/>
              <m:sepChr m:val=""/>
              <m:grow/>
            </m:dPr>
            <m:e>
              <m:r>
                <m:t>t</m:t>
              </m:r>
            </m:e>
          </m:d>
          <m:r>
            <m:t> </m:t>
          </m:r>
          <m:r>
            <m:t>Q</m:t>
          </m:r>
          <m:d>
            <m:dPr>
              <m:begChr m:val="("/>
              <m:endChr m:val=")"/>
              <m:sepChr m:val=""/>
              <m:grow/>
            </m:dPr>
            <m:e>
              <m:r>
                <m:t>t</m:t>
              </m:r>
            </m:e>
          </m:d>
        </m:oMath>
      </m:oMathPara>
    </w:p>
    <w:p>
      <w:pPr>
        <w:pStyle w:val="FirstParagraph"/>
      </w:pPr>
      <w:r>
        <w:t xml:space="preserve">converting concentration to mass load</w:t>
      </w:r>
      <w:r>
        <w:t xml:space="preserve"> </w:t>
      </w:r>
      <m:oMath>
        <m:r>
          <m:t>L</m:t>
        </m:r>
        <m:d>
          <m:dPr>
            <m:begChr m:val="("/>
            <m:endChr m:val=")"/>
            <m:sepChr m:val=""/>
            <m:grow/>
          </m:dPr>
          <m:e>
            <m:r>
              <m:t>t</m:t>
            </m:r>
          </m:e>
        </m:d>
      </m:oMath>
      <w:r>
        <w:t xml:space="preserve">. This is conceptually the cleanest normalization step in this chapter — flow is, in principle, a direct physical measurement of the dilution the target signal has experienced — but</w:t>
      </w:r>
      <w:r>
        <w:t xml:space="preserve"> </w:t>
      </w:r>
      <w:r>
        <w:t xml:space="preserve">“</w:t>
      </w:r>
      <w:r>
        <w:t xml:space="preserve">in principle</w:t>
      </w:r>
      <w:r>
        <w:t xml:space="preserve">”</w:t>
      </w:r>
      <w:r>
        <w:t xml:space="preserve"> </w:t>
      </w:r>
      <w:r>
        <w:t xml:space="preserve">is doing a lot of work in that sentence, and the qualifications matter as much as the formula.</w:t>
      </w:r>
    </w:p>
    <w:p>
      <w:pPr>
        <w:pStyle w:val="BodyText"/>
      </w:pPr>
      <w:r>
        <w:rPr>
          <w:bCs/>
          <w:b/>
        </w:rPr>
        <w:t xml:space="preserve">Concentration vs. load are not interchangeable outputs</w:t>
      </w:r>
      <w:r>
        <w:t xml:space="preserve">, and which one a study should report depends on the inference goal (§6.1): a concentration trend answers</w:t>
      </w:r>
      <w:r>
        <w:t xml:space="preserve"> </w:t>
      </w:r>
      <w:r>
        <w:t xml:space="preserve">“</w:t>
      </w:r>
      <w:r>
        <w:t xml:space="preserve">is the signal getting stronger or weaker per unit volume,</w:t>
      </w:r>
      <w:r>
        <w:t xml:space="preserve">”</w:t>
      </w:r>
      <w:r>
        <w:t xml:space="preserve"> </w:t>
      </w:r>
      <w:r>
        <w:t xml:space="preserve">which is what matters for a fixed-population outbreak-detection application; a mass load answers</w:t>
      </w:r>
      <w:r>
        <w:t xml:space="preserve"> </w:t>
      </w:r>
      <w:r>
        <w:t xml:space="preserve">“</w:t>
      </w:r>
      <w:r>
        <w:t xml:space="preserve">how much total target material is entering the network,</w:t>
      </w:r>
      <w:r>
        <w:t xml:space="preserve">”</w:t>
      </w:r>
      <w:r>
        <w:t xml:space="preserve"> </w:t>
      </w:r>
      <w:r>
        <w:t xml:space="preserve">which is the correct input for per-capita consumption/exposure back-calculation (§7) but requires that population size itself be separately addressed (§6.3) before the load can be compared across time or sites.</w:t>
      </w:r>
    </w:p>
    <w:p>
      <w:pPr>
        <w:pStyle w:val="BodyText"/>
      </w:pPr>
      <w:r>
        <w:rPr>
          <w:bCs/>
          <w:b/>
        </w:rPr>
        <w:t xml:space="preserve">Flow measurement is itself imperfect and location-dependent.</w:t>
      </w:r>
      <w:r>
        <w:t xml:space="preserve"> </w:t>
      </w:r>
      <w:r>
        <w:t xml:space="preserve">Flow monitoring frequency, sensor placement, and calibration all introduce error into</w:t>
      </w:r>
      <w:r>
        <w:t xml:space="preserve"> </w:t>
      </w:r>
      <m:oMath>
        <m:r>
          <m:t>Q</m:t>
        </m:r>
        <m:d>
          <m:dPr>
            <m:begChr m:val="("/>
            <m:endChr m:val=")"/>
            <m:sepChr m:val=""/>
            <m:grow/>
          </m:dPr>
          <m:e>
            <m:r>
              <m:t>t</m:t>
            </m:r>
          </m:e>
        </m:d>
      </m:oMath>
      <w:r>
        <w:t xml:space="preserve"> </w:t>
      </w:r>
      <w:r>
        <w:t xml:space="preserve">that propagates directly into</w:t>
      </w:r>
      <w:r>
        <w:t xml:space="preserve"> </w:t>
      </w:r>
      <m:oMath>
        <m:r>
          <m:t>L</m:t>
        </m:r>
        <m:d>
          <m:dPr>
            <m:begChr m:val="("/>
            <m:endChr m:val=")"/>
            <m:sepChr m:val=""/>
            <m:grow/>
          </m:dPr>
          <m:e>
            <m:r>
              <m:t>t</m:t>
            </m:r>
          </m:e>
        </m:d>
      </m:oMath>
      <w:r>
        <w:t xml:space="preserve"> </w:t>
      </w:r>
      <w:r>
        <w:t xml:space="preserve">— a flow error is not diluted away by the correction, it is multiplied into it. Instantaneous flow measurements paired with a 24-hour composite concentration sample introduce a temporal mismatch (§5.2’s representativeness problem reappearing at the normalization stage): the composite averages concentration over the collection window, but if flow is sampled only at a single instant or with a coarser time resolution than the composite, the resulting</w:t>
      </w:r>
      <w:r>
        <w:t xml:space="preserve"> </w:t>
      </w:r>
      <m:oMath>
        <m:r>
          <m:t>L</m:t>
        </m:r>
        <m:d>
          <m:dPr>
            <m:begChr m:val="("/>
            <m:endChr m:val=")"/>
            <m:sepChr m:val=""/>
            <m:grow/>
          </m:dPr>
          <m:e>
            <m:r>
              <m:t>t</m:t>
            </m:r>
          </m:e>
        </m:d>
      </m:oMath>
      <w:r>
        <w:t xml:space="preserve"> </w:t>
      </w:r>
      <w:r>
        <w:t xml:space="preserve">is a mismatched product of a time-averaged concentration and a point-in-time flow, not a true time-averaged load.</w:t>
      </w:r>
    </w:p>
    <w:p>
      <w:pPr>
        <w:pStyle w:val="BodyText"/>
      </w:pPr>
      <w:r>
        <w:rPr>
          <w:bCs/>
          <w:b/>
        </w:rPr>
        <w:t xml:space="preserve">Combined sewers, industrial discharge, and inflow/infiltration limit what flow normalization can fix.</w:t>
      </w:r>
      <w:r>
        <w:t xml:space="preserve"> </w:t>
      </w:r>
      <w:r>
        <w:t xml:space="preserve">A Dutch multi-site study using flow, electrical conductivity, and crAssphage across nine monitoring locations and over a thousand 24-hour flow-proportional samples over roughly a year found flow normalization necessary for reliable short-term trend detection, and recommended supplementing it with a conductivity-based quality check specifically because flow normalization alone cannot distinguish genuine dilution from other causes of low concentration (Langeveld et al., 2022). The same evidence base underlying §4.2’s rainfall discussion applies directly here: flow-based normalization corrects for the</w:t>
      </w:r>
      <w:r>
        <w:t xml:space="preserve"> </w:t>
      </w:r>
      <w:r>
        <w:rPr>
          <w:iCs/>
          <w:i/>
        </w:rPr>
        <w:t xml:space="preserve">volume</w:t>
      </w:r>
      <w:r>
        <w:t xml:space="preserve"> </w:t>
      </w:r>
      <w:r>
        <w:t xml:space="preserve">of dilution water entering the network, but does not, by itself, correct for combined-sewer-overflow mass loss (material vented from the network before reaching the sampling point, which lowers both</w:t>
      </w:r>
      <w:r>
        <w:t xml:space="preserve"> </w:t>
      </w:r>
      <m:oMath>
        <m:acc>
          <m:accPr>
            <m:chr m:val="̂"/>
          </m:accPr>
          <m:e>
            <m:r>
              <m:t>Y</m:t>
            </m:r>
          </m:e>
        </m:acc>
        <m:d>
          <m:dPr>
            <m:begChr m:val="("/>
            <m:endChr m:val=")"/>
            <m:sepChr m:val=""/>
            <m:grow/>
          </m:dPr>
          <m:e>
            <m:r>
              <m:t>t</m:t>
            </m:r>
          </m:e>
        </m:d>
      </m:oMath>
      <w:r>
        <w:t xml:space="preserve"> </w:t>
      </w:r>
      <w:r>
        <w:t xml:space="preserve">and effective flow contribution simultaneously — the capped-flow problem from §4.2), for industrial or non-domestic discharge that raises</w:t>
      </w:r>
      <w:r>
        <w:t xml:space="preserve"> </w:t>
      </w:r>
      <m:oMath>
        <m:r>
          <m:t>Q</m:t>
        </m:r>
        <m:d>
          <m:dPr>
            <m:begChr m:val="("/>
            <m:endChr m:val=")"/>
            <m:sepChr m:val=""/>
            <m:grow/>
          </m:dPr>
          <m:e>
            <m:r>
              <m:t>t</m:t>
            </m:r>
          </m:e>
        </m:d>
      </m:oMath>
      <w:r>
        <w:t xml:space="preserve"> </w:t>
      </w:r>
      <w:r>
        <w:t xml:space="preserve">without containing any target-relevant human excreta, or for population change (goal 3, §6.1) occurring independently of flow. Rural-sewershed comparative work found that under substantial inflow/infiltration, flow normalization specifically — not just biomarker normalization — becomes unreliable (Darling et al., 2025, already cited in §4.2/4.3), which is direct evidence against treating flow normalization as a universal fix for rainfall-driven distortion.</w:t>
      </w:r>
    </w:p>
    <w:p>
      <w:pPr>
        <w:pStyle w:val="BodyText"/>
      </w:pPr>
      <w:r>
        <w:rPr>
          <w:bCs/>
          <w:b/>
        </w:rPr>
        <w:t xml:space="preserve">Flow normalization is not universally superior to biomarker normalization, but it does outperform in some direct comparisons.</w:t>
      </w:r>
      <w:r>
        <w:t xml:space="preserve"> </w:t>
      </w:r>
      <w:r>
        <w:t xml:space="preserve">A multistate U.S. assessment across 182 communities in six states found flow-normalized SARS-CoV-2 concentrations produced stronger correlation with clinical case counts than three human fecal biomarkers tested (crAssphage, F+ coliphage, PMMoV) (Rainey et al., 2023, previously cited in §4.3). This is evidence</w:t>
      </w:r>
      <w:r>
        <w:t xml:space="preserve"> </w:t>
      </w:r>
      <w:r>
        <w:rPr>
          <w:iCs/>
          <w:i/>
        </w:rPr>
        <w:t xml:space="preserve">for</w:t>
      </w:r>
      <w:r>
        <w:t xml:space="preserve"> </w:t>
      </w:r>
      <w:r>
        <w:t xml:space="preserve">flow normalization in that specific multi-site comparison, not evidence that flow normalization is generally correct — the appropriate reading, consistent with §4.3’s identifiability argument, is that flow normalization performed comparatively well under the hydraulic conditions of that particular study, and the rural-sewershed I&amp;I finding above shows the same method failing under different hydraulic conditions elsewhere.</w:t>
      </w:r>
      <w:r>
        <w:t xml:space="preserve"> </w:t>
      </w:r>
      <w:r>
        <w:rPr>
          <w:bCs/>
          <w:b/>
        </w:rPr>
        <w:t xml:space="preserve">The applicability condition, not a universal ranking, is the actual finding</w:t>
      </w:r>
      <w:r>
        <w:t xml:space="preserve">, which is why this section does not conclude</w:t>
      </w:r>
      <w:r>
        <w:t xml:space="preserve"> </w:t>
      </w:r>
      <w:r>
        <w:t xml:space="preserve">“</w:t>
      </w:r>
      <w:r>
        <w:t xml:space="preserve">load is better than concentration</w:t>
      </w:r>
      <w:r>
        <w:t xml:space="preserve">”</w:t>
      </w:r>
      <w:r>
        <w:t xml:space="preserve"> </w:t>
      </w:r>
      <w:r>
        <w:t xml:space="preserve">as a blanket statement.</w:t>
      </w:r>
    </w:p>
    <w:p>
      <w:pPr>
        <w:pStyle w:val="BodyText"/>
      </w:pPr>
      <w:r>
        <w:rPr>
          <w:bCs/>
          <w:b/>
        </w:rPr>
        <w:t xml:space="preserve">Error propagation.</w:t>
      </w:r>
      <w:r>
        <w:t xml:space="preserve"> </w:t>
      </w:r>
      <w:r>
        <w:t xml:space="preserve">Because</w:t>
      </w:r>
      <w:r>
        <w:t xml:space="preserve"> </w:t>
      </w:r>
      <m:oMath>
        <m:r>
          <m:t>L</m:t>
        </m:r>
        <m:d>
          <m:dPr>
            <m:begChr m:val="("/>
            <m:endChr m:val=")"/>
            <m:sepChr m:val=""/>
            <m:grow/>
          </m:dPr>
          <m:e>
            <m:r>
              <m:t>t</m:t>
            </m:r>
          </m:e>
        </m:d>
      </m:oMath>
      <w:r>
        <w:t xml:space="preserve"> </w:t>
      </w:r>
      <w:r>
        <w:t xml:space="preserve">is a product of two independently-measured, independently-erroneous quantities (</w:t>
      </w:r>
      <m:oMath>
        <m:acc>
          <m:accPr>
            <m:chr m:val="̂"/>
          </m:accPr>
          <m:e>
            <m:r>
              <m:t>Y</m:t>
            </m:r>
          </m:e>
        </m:acc>
        <m:d>
          <m:dPr>
            <m:begChr m:val="("/>
            <m:endChr m:val=")"/>
            <m:sepChr m:val=""/>
            <m:grow/>
          </m:dPr>
          <m:e>
            <m:r>
              <m:t>t</m:t>
            </m:r>
          </m:e>
        </m:d>
      </m:oMath>
      <w:r>
        <w:t xml:space="preserve"> </w:t>
      </w:r>
      <w:r>
        <w:t xml:space="preserve">and</w:t>
      </w:r>
      <w:r>
        <w:t xml:space="preserve"> </w:t>
      </w:r>
      <m:oMath>
        <m:r>
          <m:t>Q</m:t>
        </m:r>
        <m:d>
          <m:dPr>
            <m:begChr m:val="("/>
            <m:endChr m:val=")"/>
            <m:sepChr m:val=""/>
            <m:grow/>
          </m:dPr>
          <m:e>
            <m:r>
              <m:t>t</m:t>
            </m:r>
          </m:e>
        </m:d>
      </m:oMath>
      <w:r>
        <w:t xml:space="preserve">), its relative uncertainty combines the relative uncertainties of both terms (approximately additively in quadrature for independent errors) — meaning a mass-load estimate is never more precise than its noisier input, and reporting a load without reporting or at least acknowledging flow-measurement uncertainty silently understates total uncertainty in exactly the way §5.7’s random-error category warns against.</w:t>
      </w:r>
    </w:p>
    <w:bookmarkEnd w:id="47"/>
    <w:bookmarkStart w:id="48" w:name="X8cf4d653fac94a76adb4ae464f04fe5b218c54d"/>
    <w:p>
      <w:pPr>
        <w:pStyle w:val="Heading3"/>
      </w:pPr>
      <w:r>
        <w:t xml:space="preserve">6.3 Census Population and Dynamic Population Estimates</w:t>
      </w:r>
    </w:p>
    <w:p>
      <w:pPr>
        <w:pStyle w:val="FirstParagraph"/>
      </w:pPr>
      <w:r>
        <w:t xml:space="preserve">Converting a load to a per-capita quantity requires a population estimate</w:t>
      </w:r>
      <w:r>
        <w:t xml:space="preserve"> </w:t>
      </w:r>
      <m:oMath>
        <m:r>
          <m:t>P</m:t>
        </m:r>
        <m:d>
          <m:dPr>
            <m:begChr m:val="("/>
            <m:endChr m:val=")"/>
            <m:sepChr m:val=""/>
            <m:grow/>
          </m:dPr>
          <m:e>
            <m:r>
              <m:t>t</m:t>
            </m:r>
          </m:e>
        </m:d>
      </m:oMath>
      <w:r>
        <w:t xml:space="preserve">, and the choice between a static and a dynamic one is a choice about which distortion the correction can and cannot address.</w:t>
      </w:r>
    </w:p>
    <w:p>
      <w:pPr>
        <w:pStyle w:val="BodyText"/>
      </w:pPr>
      <w:r>
        <w:rPr>
          <w:bCs/>
          <w:b/>
        </w:rPr>
        <w:t xml:space="preserve">Design/service population, census population, and actually-connected population are three different numbers.</w:t>
      </w:r>
      <w:r>
        <w:t xml:space="preserve"> </w:t>
      </w:r>
      <w:r>
        <w:t xml:space="preserve">A sewershed’s design population (the engineering capacity the treatment plant was built for) can differ substantially from its census-reported resident population (which itself may undercount transient or unregistered residents) and from its actually-connected population (excluding unsewered areas within nominal catchment boundaries, including informal settlements, and including any areas served by septic systems or private treatment that a map would nonetheless show as</w:t>
      </w:r>
      <w:r>
        <w:t xml:space="preserve"> </w:t>
      </w:r>
      <w:r>
        <w:t xml:space="preserve">“</w:t>
      </w:r>
      <w:r>
        <w:t xml:space="preserve">within</w:t>
      </w:r>
      <w:r>
        <w:t xml:space="preserve">”</w:t>
      </w:r>
      <w:r>
        <w:t xml:space="preserve"> </w:t>
      </w:r>
      <w:r>
        <w:t xml:space="preserve">the sewershed). Using</w:t>
      </w:r>
      <w:r>
        <w:t xml:space="preserve"> </w:t>
      </w:r>
      <m:oMath>
        <m:sSub>
          <m:e>
            <m:r>
              <m:t>P</m:t>
            </m:r>
          </m:e>
          <m:sub>
            <m:r>
              <m:rPr>
                <m:sty m:val="p"/>
              </m:rPr>
              <m:t>c</m:t>
            </m:r>
            <m:r>
              <m:rPr>
                <m:sty m:val="p"/>
              </m:rPr>
              <m:t>e</m:t>
            </m:r>
            <m:r>
              <m:rPr>
                <m:sty m:val="p"/>
              </m:rPr>
              <m:t>n</m:t>
            </m:r>
            <m:r>
              <m:rPr>
                <m:sty m:val="p"/>
              </m:rPr>
              <m:t>s</m:t>
            </m:r>
            <m:r>
              <m:rPr>
                <m:sty m:val="p"/>
              </m:rPr>
              <m:t>u</m:t>
            </m:r>
            <m:r>
              <m:rPr>
                <m:sty m:val="p"/>
              </m:rPr>
              <m:t>s</m:t>
            </m:r>
          </m:sub>
        </m:sSub>
      </m:oMath>
      <w:r>
        <w:t xml:space="preserve"> </w:t>
      </w:r>
      <w:r>
        <w:t xml:space="preserve">implicitly assumes all three converge, an assumption that is least defensible in rapidly growing, highly transient, or unevenly sewered catchments — precisely the settings where WBE’s non-invasive coverage advantage (§1, §3.1) matters most.</w:t>
      </w:r>
    </w:p>
    <w:p>
      <w:pPr>
        <w:pStyle w:val="BodyText"/>
      </w:pPr>
      <w:r>
        <w:rPr>
          <w:bCs/>
          <w:b/>
        </w:rPr>
        <w:t xml:space="preserve">Population is not static even where the resident count is stable.</w:t>
      </w:r>
      <w:r>
        <w:t xml:space="preserve"> </w:t>
      </w:r>
      <w:r>
        <w:t xml:space="preserve">Commuting, tourism, university terms, hospital and care-facility censuses, and large events all shift the</w:t>
      </w:r>
      <w:r>
        <w:t xml:space="preserve"> </w:t>
      </w:r>
      <w:r>
        <w:rPr>
          <w:iCs/>
          <w:i/>
        </w:rPr>
        <w:t xml:space="preserve">de facto</w:t>
      </w:r>
      <w:r>
        <w:t xml:space="preserve"> </w:t>
      </w:r>
      <w:r>
        <w:t xml:space="preserve">daytime or seasonal population served by a sewershed relative to its</w:t>
      </w:r>
      <w:r>
        <w:t xml:space="preserve"> </w:t>
      </w:r>
      <w:r>
        <w:rPr>
          <w:iCs/>
          <w:i/>
        </w:rPr>
        <w:t xml:space="preserve">de jure</w:t>
      </w:r>
      <w:r>
        <w:t xml:space="preserve"> </w:t>
      </w:r>
      <w:r>
        <w:t xml:space="preserve">resident population. An early ammonium-based normalization study monitoring illicit-drug metabolites found that ammonium load, measured continuously via an ion-selective electrode at the treatment-plant inlet, tracked weekly (commuter) and seasonal (holiday) population fluctuation patterns, and that diurnal drug-metabolite profiles correlated strongly with this ammonium-based dynamic signal (Been, Rossi, Ort, Rudaz, Delémont, &amp; Esseiva, 2014). A separate Oslo study modeling the city’s daily dynamic population found that a simple linear model using online ammonium measurements as the sole predictor achieved the strongest correlation among three low-cost proxies tested (versus drinking-water production and electricity consumption), with mean errors under 10% against held-out mobile-device data — direct evidence that a dynamic chemical proxy can track population fluctuation a static census figure cannot (Baz-Lomba, Di Ruscio, Amador, Reid, &amp; Thomas, 2019). An earlier, related study led by the same research group first demonstrated that mobile-device data itself could reveal within-day and within-month population variability in a wastewater catchment, establishing mobile-device data as a validation reference for exactly this kind of proxy comparison (Thomas et al., 2017 — full author list beyond lead author Kevin V. Thomas not independently confirmed this session; cited here for context only. The quantitative claims in this paragraph — the</w:t>
      </w:r>
      <w:r>
        <w:t xml:space="preserve"> </w:t>
      </w:r>
      <m:oMath>
        <m:sSup>
          <m:e>
            <m:r>
              <m:t>R</m:t>
            </m:r>
          </m:e>
          <m:sup>
            <m:r>
              <m:t>2</m:t>
            </m:r>
          </m:sup>
        </m:sSup>
        <m:r>
          <m:rPr>
            <m:sty m:val="p"/>
          </m:rPr>
          <m:t>=</m:t>
        </m:r>
        <m:r>
          <m:t>0.88</m:t>
        </m:r>
      </m:oMath>
      <w:r>
        <w:t xml:space="preserve"> </w:t>
      </w:r>
      <w:r>
        <w:t xml:space="preserve">ammonium-model result and the &lt;10% mean error — are from the 2019 Baz-Lomba et al. follow-up study specifically, not from Thomas et al., 2017, and the two studies should not be conflated.).</w:t>
      </w:r>
    </w:p>
    <w:p>
      <w:pPr>
        <w:pStyle w:val="BodyText"/>
      </w:pPr>
      <w:r>
        <w:rPr>
          <w:bCs/>
          <w:b/>
        </w:rPr>
        <w:t xml:space="preserve">Formally, these are different denominators, not different precision levels of the same denominator:</w:t>
      </w:r>
    </w:p>
    <w:p>
      <w:pPr>
        <w:pStyle w:val="BodyText"/>
      </w:pPr>
      <m:oMathPara>
        <m:oMathParaPr>
          <m:jc m:val="center"/>
        </m:oMathParaPr>
        <m:oMath>
          <m:f>
            <m:fPr>
              <m:type m:val="bar"/>
            </m:fPr>
            <m:num>
              <m:acc>
                <m:accPr>
                  <m:chr m:val="̂"/>
                </m:accPr>
                <m:e>
                  <m:r>
                    <m:t>Y</m:t>
                  </m:r>
                </m:e>
              </m:acc>
              <m:d>
                <m:dPr>
                  <m:begChr m:val="("/>
                  <m:endChr m:val=")"/>
                  <m:sepChr m:val=""/>
                  <m:grow/>
                </m:dPr>
                <m:e>
                  <m:r>
                    <m:t>t</m:t>
                  </m:r>
                </m:e>
              </m:d>
              <m:r>
                <m:t> </m:t>
              </m:r>
              <m:r>
                <m:t>Q</m:t>
              </m:r>
              <m:d>
                <m:dPr>
                  <m:begChr m:val="("/>
                  <m:endChr m:val=")"/>
                  <m:sepChr m:val=""/>
                  <m:grow/>
                </m:dPr>
                <m:e>
                  <m:r>
                    <m:t>t</m:t>
                  </m:r>
                </m:e>
              </m:d>
            </m:num>
            <m:den>
              <m:sSub>
                <m:e>
                  <m:r>
                    <m:t>P</m:t>
                  </m:r>
                </m:e>
                <m:sub>
                  <m:r>
                    <m:rPr>
                      <m:sty m:val="p"/>
                    </m:rPr>
                    <m:t>c</m:t>
                  </m:r>
                  <m:r>
                    <m:rPr>
                      <m:sty m:val="p"/>
                    </m:rPr>
                    <m:t>e</m:t>
                  </m:r>
                  <m:r>
                    <m:rPr>
                      <m:sty m:val="p"/>
                    </m:rPr>
                    <m:t>n</m:t>
                  </m:r>
                  <m:r>
                    <m:rPr>
                      <m:sty m:val="p"/>
                    </m:rPr>
                    <m:t>s</m:t>
                  </m:r>
                  <m:r>
                    <m:rPr>
                      <m:sty m:val="p"/>
                    </m:rPr>
                    <m:t>u</m:t>
                  </m:r>
                  <m:r>
                    <m:rPr>
                      <m:sty m:val="p"/>
                    </m:rPr>
                    <m:t>s</m:t>
                  </m:r>
                </m:sub>
              </m:sSub>
            </m:den>
          </m:f>
          <m:r>
            <m:t> </m:t>
          </m:r>
          <m:r>
            <m:rPr>
              <m:nor/>
              <m:sty m:val="p"/>
            </m:rPr>
            <m:t>vs.</m:t>
          </m:r>
          <m:r>
            <m:t> </m:t>
          </m:r>
          <m:f>
            <m:fPr>
              <m:type m:val="bar"/>
            </m:fPr>
            <m:num>
              <m:acc>
                <m:accPr>
                  <m:chr m:val="̂"/>
                </m:accPr>
                <m:e>
                  <m:r>
                    <m:t>Y</m:t>
                  </m:r>
                </m:e>
              </m:acc>
              <m:d>
                <m:dPr>
                  <m:begChr m:val="("/>
                  <m:endChr m:val=")"/>
                  <m:sepChr m:val=""/>
                  <m:grow/>
                </m:dPr>
                <m:e>
                  <m:r>
                    <m:t>t</m:t>
                  </m:r>
                </m:e>
              </m:d>
              <m:r>
                <m:t> </m:t>
              </m:r>
              <m:r>
                <m:t>Q</m:t>
              </m:r>
              <m:d>
                <m:dPr>
                  <m:begChr m:val="("/>
                  <m:endChr m:val=")"/>
                  <m:sepChr m:val=""/>
                  <m:grow/>
                </m:dPr>
                <m:e>
                  <m:r>
                    <m:t>t</m:t>
                  </m:r>
                </m:e>
              </m:d>
            </m:num>
            <m:den>
              <m:sSub>
                <m:e>
                  <m:r>
                    <m:t>P</m:t>
                  </m:r>
                </m:e>
                <m:sub>
                  <m:r>
                    <m:rPr>
                      <m:sty m:val="p"/>
                    </m:rPr>
                    <m:t>d</m:t>
                  </m:r>
                  <m:r>
                    <m:rPr>
                      <m:sty m:val="p"/>
                    </m:rPr>
                    <m:t>y</m:t>
                  </m:r>
                  <m:r>
                    <m:rPr>
                      <m:sty m:val="p"/>
                    </m:rPr>
                    <m:t>n</m:t>
                  </m:r>
                  <m:r>
                    <m:rPr>
                      <m:sty m:val="p"/>
                    </m:rPr>
                    <m:t>a</m:t>
                  </m:r>
                  <m:r>
                    <m:rPr>
                      <m:sty m:val="p"/>
                    </m:rPr>
                    <m:t>m</m:t>
                  </m:r>
                  <m:r>
                    <m:rPr>
                      <m:sty m:val="p"/>
                    </m:rPr>
                    <m:t>i</m:t>
                  </m:r>
                  <m:r>
                    <m:rPr>
                      <m:sty m:val="p"/>
                    </m:rPr>
                    <m:t>c</m:t>
                  </m:r>
                </m:sub>
              </m:sSub>
              <m:d>
                <m:dPr>
                  <m:begChr m:val="("/>
                  <m:endChr m:val=")"/>
                  <m:sepChr m:val=""/>
                  <m:grow/>
                </m:dPr>
                <m:e>
                  <m:r>
                    <m:t>t</m:t>
                  </m:r>
                </m:e>
              </m:d>
            </m:den>
          </m:f>
        </m:oMath>
      </m:oMathPara>
    </w:p>
    <w:p>
      <w:pPr>
        <w:pStyle w:val="FirstParagraph"/>
      </w:pPr>
      <w:r>
        <w:t xml:space="preserve">The census-denominator version is simpler, requires no additional real-time data stream, and is defensible when a catchment’s population genuinely is stable over the analysis period — but it silently reinterprets any real population fluctuation as a change in per-capita target load, which is precisely backwards for any application trying to detect a true per-capita epidemiological or consumption change during a holiday, event, or seasonal population shift. The dynamic-denominator version corrects this but introduces</w:t>
      </w:r>
      <w:r>
        <w:t xml:space="preserve"> </w:t>
      </w:r>
      <m:oMath>
        <m:sSub>
          <m:e>
            <m:r>
              <m:t>P</m:t>
            </m:r>
          </m:e>
          <m:sub>
            <m:r>
              <m:rPr>
                <m:sty m:val="p"/>
              </m:rPr>
              <m:t>d</m:t>
            </m:r>
            <m:r>
              <m:rPr>
                <m:sty m:val="p"/>
              </m:rPr>
              <m:t>y</m:t>
            </m:r>
            <m:r>
              <m:rPr>
                <m:sty m:val="p"/>
              </m:rPr>
              <m:t>n</m:t>
            </m:r>
            <m:r>
              <m:rPr>
                <m:sty m:val="p"/>
              </m:rPr>
              <m:t>a</m:t>
            </m:r>
            <m:r>
              <m:rPr>
                <m:sty m:val="p"/>
              </m:rPr>
              <m:t>m</m:t>
            </m:r>
            <m:r>
              <m:rPr>
                <m:sty m:val="p"/>
              </m:rPr>
              <m:t>i</m:t>
            </m:r>
            <m:r>
              <m:rPr>
                <m:sty m:val="p"/>
              </m:rPr>
              <m:t>c</m:t>
            </m:r>
          </m:sub>
        </m:sSub>
        <m:d>
          <m:dPr>
            <m:begChr m:val="("/>
            <m:endChr m:val=")"/>
            <m:sepChr m:val=""/>
            <m:grow/>
          </m:dPr>
          <m:e>
            <m:r>
              <m:t>t</m:t>
            </m:r>
          </m:e>
        </m:d>
      </m:oMath>
      <w:r>
        <w:t xml:space="preserve">’s own measurement uncertainty (whichever proxy — ammonium, mobile-device data, drinking-water production, electricity — is used to estimate it) as a new random-error term (§5.7) that the census version does not have, and dynamic population estimation using mobile device data or per-capita chemical proxies raises its own representativeness question at small spatial scales: a building- or neighborhood-scale sewershed (§5.1) may have too few contributing individuals for a population estimate to be both accurate and privacy-preserving, since a highly precise dynamic population estimate for a small catchment can, in the limit, approach re-identifying information about specific households or facilities — an ethical and legal constraint on how granular dynamic population normalization can responsibly be, not just a statistical one.</w:t>
      </w:r>
    </w:p>
    <w:bookmarkEnd w:id="48"/>
    <w:bookmarkStart w:id="49" w:name="chemical-population-biomarkers"/>
    <w:p>
      <w:pPr>
        <w:pStyle w:val="Heading3"/>
      </w:pPr>
      <w:r>
        <w:t xml:space="preserve">6.4 Chemical Population Biomarkers</w:t>
      </w:r>
    </w:p>
    <w:p>
      <w:pPr>
        <w:pStyle w:val="FirstParagraph"/>
      </w:pPr>
      <w:r>
        <w:t xml:space="preserve">No single chemical biomarker has been independently validated as a universally reliable population proxy; the evidence base instead shows a consistent pattern of early candidates being</w:t>
      </w:r>
      <w:r>
        <w:t xml:space="preserve"> </w:t>
      </w:r>
      <w:r>
        <w:rPr>
          <w:bCs/>
          <w:b/>
        </w:rPr>
        <w:t xml:space="preserve">proposed</w:t>
      </w:r>
      <w:r>
        <w:t xml:space="preserve">, then found to fail specific validation criteria, with the field converging (provisionally, and inconsistently across studies) toward a narrower set of better-performing options. This section evaluates each candidate against the same seven criteria — human specificity, per-capita excretion variability, dietary/behavioral dependence, in-sewer stability, non-human/industrial sources, analytical compatibility, and rainfall/dilution sensitivity — rather than listing them as equivalent options.</w:t>
      </w:r>
    </w:p>
    <w:p>
      <w:pPr>
        <w:pStyle w:val="BodyText"/>
      </w:pPr>
      <w:r>
        <w:rPr>
          <w:bCs/>
          <w:b/>
        </w:rPr>
        <w:t xml:space="preserve">Creatinine</w:t>
      </w:r>
      <w:r>
        <w:t xml:space="preserve"> </w:t>
      </w:r>
      <w:r>
        <w:t xml:space="preserve">was an early, physiologically well-motivated candidate (a steady-state muscle metabolite, excreted renally at a comparatively constant rate in individuals) but a foundational seven-biomarker validation study found it, along with cortisol and androstenedione, disqualified specifically for</w:t>
      </w:r>
      <w:r>
        <w:t xml:space="preserve"> </w:t>
      </w:r>
      <w:r>
        <w:rPr>
          <w:bCs/>
          <w:b/>
        </w:rPr>
        <w:t xml:space="preserve">in-sewer instability</w:t>
      </w:r>
      <w:r>
        <w:t xml:space="preserve"> </w:t>
      </w:r>
      <w:r>
        <w:t xml:space="preserve">— creatinine degrades in wastewater at a rate that undermines its use as a stable denominator regardless of how consistent its excretion physiology is (Chen, Kostakis, Gerber, Tscharke, Irvine, &amp; White, 2014). This is a useful illustration of why the seven-criterion framework matters: creatinine can score well on excretion physiology and still fail overall because of a single disqualifying criterion (stability).</w:t>
      </w:r>
    </w:p>
    <w:p>
      <w:pPr>
        <w:pStyle w:val="BodyText"/>
      </w:pPr>
      <w:r>
        <w:rPr>
          <w:bCs/>
          <w:b/>
        </w:rPr>
        <w:t xml:space="preserve">Cotinine (a nicotine metabolite) and 5-hydroxyindoleacetic acid (5-HIAA, a serotonin metabolite)</w:t>
      </w:r>
      <w:r>
        <w:t xml:space="preserve"> </w:t>
      </w:r>
      <w:r>
        <w:t xml:space="preserve">were identified as the most promising candidates in the same validation study, both showing constant excretion rates and concentrations correlating with census population; 5-HIAA was specifically proposed as more suitable for international comparison, since — unlike cotinine — its excretion is not dependent on a behavior (smoking) with widely varying population prevalence across regions (Chen et al., 2014). This is a direct illustration of the</w:t>
      </w:r>
      <w:r>
        <w:t xml:space="preserve"> </w:t>
      </w:r>
      <w:r>
        <w:t xml:space="preserve">“</w:t>
      </w:r>
      <w:r>
        <w:t xml:space="preserve">dietary or behavioral dependence</w:t>
      </w:r>
      <w:r>
        <w:t xml:space="preserve">”</w:t>
      </w:r>
      <w:r>
        <w:t xml:space="preserve"> </w:t>
      </w:r>
      <w:r>
        <w:t xml:space="preserve">criterion operating independently of the</w:t>
      </w:r>
      <w:r>
        <w:t xml:space="preserve"> </w:t>
      </w:r>
      <w:r>
        <w:t xml:space="preserve">“</w:t>
      </w:r>
      <w:r>
        <w:t xml:space="preserve">stability</w:t>
      </w:r>
      <w:r>
        <w:t xml:space="preserve">”</w:t>
      </w:r>
      <w:r>
        <w:t xml:space="preserve"> </w:t>
      </w:r>
      <w:r>
        <w:t xml:space="preserve">and</w:t>
      </w:r>
      <w:r>
        <w:t xml:space="preserve"> </w:t>
      </w:r>
      <w:r>
        <w:t xml:space="preserve">“</w:t>
      </w:r>
      <w:r>
        <w:t xml:space="preserve">excretion variability</w:t>
      </w:r>
      <w:r>
        <w:t xml:space="preserve">”</w:t>
      </w:r>
      <w:r>
        <w:t xml:space="preserve"> </w:t>
      </w:r>
      <w:r>
        <w:t xml:space="preserve">criteria: cotinine can be analytically well-behaved and still be a poor cross-population comparator because smoking prevalence itself varies by geography and over time.</w:t>
      </w:r>
    </w:p>
    <w:p>
      <w:pPr>
        <w:pStyle w:val="BodyText"/>
      </w:pPr>
      <w:r>
        <w:rPr>
          <w:bCs/>
          <w:b/>
        </w:rPr>
        <w:t xml:space="preserve">Caffeine and its primary metabolite paraxanthine</w:t>
      </w:r>
      <w:r>
        <w:t xml:space="preserve"> </w:t>
      </w:r>
      <w:r>
        <w:t xml:space="preserve">were evaluated directly against PMMoV, creatinine, and 5-HIAA across 64 wastewater treatment plants in a statewide Missouri monitoring program; paraxanthine outperformed the other four candidates tested, including PMMoV, on accuracy, variability, and temporal consistency, and viral loads normalized using a paraxanthine-estimated population showed improved correlation between per-capita SARS-CoV-2 load and per-capita case counts (Hsu, Bayati, Li, et al., 2022, Water Research).</w:t>
      </w:r>
      <w:r>
        <w:t xml:space="preserve"> </w:t>
      </w:r>
      <w:r>
        <w:rPr>
          <w:bCs/>
          <w:b/>
        </w:rPr>
        <w:t xml:space="preserve">This finding should not be over-generalized</w:t>
      </w:r>
      <w:r>
        <w:t xml:space="preserve">: it is a single statewide program (albeit a genuinely multi-site one within that state), caffeine consumption itself varies by population/culture in ways that could limit cross-region comparability by the same logic that disqualifies cotinine for international use, and — per this review’s evidentiary standard — a single state’s finding that paraxanthine outperformed PMMoV is not, by itself, grounds for treating paraxanthine as a generally superior marker; it is grounds for treating it as a validated option worth testing elsewhere.</w:t>
      </w:r>
    </w:p>
    <w:p>
      <w:pPr>
        <w:pStyle w:val="BodyText"/>
      </w:pPr>
      <w:r>
        <w:rPr>
          <w:bCs/>
          <w:b/>
        </w:rPr>
        <w:t xml:space="preserve">Artificial sweeteners (notably acesulfame)</w:t>
      </w:r>
      <w:r>
        <w:t xml:space="preserve"> </w:t>
      </w:r>
      <w:r>
        <w:t xml:space="preserve">pass through human metabolism essentially unaltered, are quantitatively excreted, and are widely used as domestic-wastewater tracers in groundwater and environmental contamination studies specifically because of their stability and human-source specificity — but that same stability literature also reports that acesulfame’s persistence through wastewater</w:t>
      </w:r>
      <w:r>
        <w:t xml:space="preserve"> </w:t>
      </w:r>
      <w:r>
        <w:rPr>
          <w:iCs/>
          <w:i/>
        </w:rPr>
        <w:t xml:space="preserve">treatment</w:t>
      </w:r>
      <w:r>
        <w:t xml:space="preserve"> </w:t>
      </w:r>
      <w:r>
        <w:t xml:space="preserve">(as opposed to in raw sewage) varies seasonally with temperature, and that some wastewater bacterial communities can metabolize acesulfame under certain conditions, meaning</w:t>
      </w:r>
      <w:r>
        <w:t xml:space="preserve"> </w:t>
      </w:r>
      <w:r>
        <w:t xml:space="preserve">“</w:t>
      </w:r>
      <w:r>
        <w:t xml:space="preserve">artificial sweeteners are stable</w:t>
      </w:r>
      <w:r>
        <w:t xml:space="preserve">”</w:t>
      </w:r>
      <w:r>
        <w:t xml:space="preserve"> </w:t>
      </w:r>
      <w:r>
        <w:t xml:space="preserve">is not an unconditional claim and should be checked against the specific treatment/seasonal context of a given study before being assumed.</w:t>
      </w:r>
    </w:p>
    <w:p>
      <w:pPr>
        <w:pStyle w:val="BodyText"/>
      </w:pPr>
      <w:r>
        <w:rPr>
          <w:bCs/>
          <w:b/>
        </w:rPr>
        <w:t xml:space="preserve">Ammonium, total nitrogen, and total phosphorus</w:t>
      </w:r>
      <w:r>
        <w:t xml:space="preserve"> </w:t>
      </w:r>
      <w:r>
        <w:t xml:space="preserve">are already routinely measured at most treatment plants as standard water-quality parameters, which is a major practical-compatibility advantage, and ammonium in particular is understood to originate predominantly from urea breakdown and be less affected by non-human industrial inputs than BOD or total phosphorus. But the evidence on whether these markers actually</w:t>
      </w:r>
      <w:r>
        <w:t xml:space="preserve"> </w:t>
      </w:r>
      <w:r>
        <w:rPr>
          <w:iCs/>
          <w:i/>
        </w:rPr>
        <w:t xml:space="preserve">improve</w:t>
      </w:r>
      <w:r>
        <w:t xml:space="preserve"> </w:t>
      </w:r>
      <w:r>
        <w:t xml:space="preserve">SARS-CoV-2 correlation is genuinely mixed rather than uniformly positive: the Alberta twelve-system comparison found normalization using ammonia, total Kjeldahl nitrogen, and total phosphorus produced the largest pooled correlation improvement among the markers tested (larger than PMMoV) (Maal-Bared, Qiu, Li, Gao, Hrudey, Bhavanam, Ruecker, Ellehoj, Lee, &amp; Pang, 2023), while at least one other site-level comparison found that normalization by orthophosphate and ammonium produced no improvement in correlation between wastewater SARS-CoV-2 signal and clinical prevalence indicators at all. Both findings are retained here deliberately, per this review’s instruction to avoid selecting only supportive evidence:</w:t>
      </w:r>
      <w:r>
        <w:t xml:space="preserve"> </w:t>
      </w:r>
      <w:r>
        <w:rPr>
          <w:bCs/>
          <w:b/>
        </w:rPr>
        <w:t xml:space="preserve">ammonium-family normalization has, in different studies, both meaningfully improved and failed to improve correlation with independent case data</w:t>
      </w:r>
      <w:r>
        <w:t xml:space="preserve">, and site-specific validation, not a presumption of general effectiveness, is what the evidence supports.</w:t>
      </w:r>
    </w:p>
    <w:p>
      <w:pPr>
        <w:pStyle w:val="BodyText"/>
      </w:pPr>
      <w:r>
        <w:rPr>
          <w:bCs/>
          <w:b/>
        </w:rPr>
        <w:t xml:space="preserve">Table 3</w:t>
      </w:r>
      <w:r>
        <w:t xml:space="preserve"> </w:t>
      </w:r>
      <w:r>
        <w:t xml:space="preserve">(below, §6.6/6.9 supporting material) consolidates these seven-criterion comparisons in matrix form.</w:t>
      </w:r>
    </w:p>
    <w:bookmarkEnd w:id="49"/>
    <w:bookmarkStart w:id="50" w:name="Xdda76bc36536d66928a1f4c7e9324be008e23be"/>
    <w:p>
      <w:pPr>
        <w:pStyle w:val="Heading3"/>
      </w:pPr>
      <w:r>
        <w:t xml:space="preserve">6.5 Microbial and Molecular Population Biomarkers</w:t>
      </w:r>
    </w:p>
    <w:p>
      <w:pPr>
        <w:pStyle w:val="FirstParagraph"/>
      </w:pPr>
      <w:r>
        <w:t xml:space="preserve">The same</w:t>
      </w:r>
      <w:r>
        <w:t xml:space="preserve"> </w:t>
      </w:r>
      <w:r>
        <w:t xml:space="preserve">“</w:t>
      </w:r>
      <w:r>
        <w:t xml:space="preserve">proposed vs. validated</w:t>
      </w:r>
      <w:r>
        <w:t xml:space="preserve">”</w:t>
      </w:r>
      <w:r>
        <w:t xml:space="preserve"> </w:t>
      </w:r>
      <w:r>
        <w:t xml:space="preserve">distinction applies with even more force to microbial/molecular fecal indicators, where PMMoV and crAssphage in particular are frequently described in secondary literature as established best practice despite a primary-study record that is considerably more mixed.</w:t>
      </w:r>
    </w:p>
    <w:p>
      <w:pPr>
        <w:pStyle w:val="BodyText"/>
      </w:pPr>
      <w:r>
        <w:rPr>
          <w:bCs/>
          <w:b/>
        </w:rPr>
        <w:t xml:space="preserve">Pepper mild mottle virus (PMMoV)</w:t>
      </w:r>
      <w:r>
        <w:t xml:space="preserve">, a plant virus abundant in human feces due to dietary pepper consumption, is among the most widely used fecal-load normalizers in SARS-CoV-2 WBE, but its own dietary dependence (per the §6.4 criterion) means its concentration reflects population-level dietary habits as much as population size, and its performance across independent validation studies is inconsistent rather than confirmatory: the Alberta twelve-system study found PMMoV normalization significantly improved correlation with clinical data in only two of twelve systems tested, neither of which were large or combined-sewer systems (Maal-Bared et al., 2023); an Ontario three-community seasonality study examining PMMoV normalization specifically found it did not improve correlation at one site and significantly</w:t>
      </w:r>
      <w:r>
        <w:t xml:space="preserve"> </w:t>
      </w:r>
      <w:r>
        <w:rPr>
          <w:iCs/>
          <w:i/>
        </w:rPr>
        <w:t xml:space="preserve">reduced</w:t>
      </w:r>
      <w:r>
        <w:t xml:space="preserve"> </w:t>
      </w:r>
      <w:r>
        <w:t xml:space="preserve">correlation at two others (Dhiyebi, Abu Farah, Ikert, et al., 2023); and other independent comparisons in this evidence base similarly report PMMoV normalization producing no improvement or measurable deterioration of correlation with clinical case data relative to unnormalized concentration.</w:t>
      </w:r>
      <w:r>
        <w:t xml:space="preserve"> </w:t>
      </w:r>
      <w:r>
        <w:rPr>
          <w:bCs/>
          <w:b/>
        </w:rPr>
        <w:t xml:space="preserve">This body of evidence does not support describing PMMoV as an established, generally effective normalizer</w:t>
      </w:r>
      <w:r>
        <w:t xml:space="preserve"> </w:t>
      </w:r>
      <w:r>
        <w:t xml:space="preserve">— it supports describing it as a widely available, frequently tested marker whose performance is site-dependent and, in a non-trivial share of tested sites, neutral or negative.</w:t>
      </w:r>
    </w:p>
    <w:p>
      <w:pPr>
        <w:pStyle w:val="BodyText"/>
      </w:pPr>
      <w:r>
        <w:rPr>
          <w:bCs/>
          <w:b/>
        </w:rPr>
        <w:t xml:space="preserve">CrAssphage</w:t>
      </w:r>
      <w:r>
        <w:t xml:space="preserve">, a bacteriophage infecting a common human gut commensal, is comparatively more stable at the population level (per-person shedding rates vary considerably between individuals, but population-aggregate crAssphage load per person per day has been reported as more temporally constant, with a proposed minimum-population applicability threshold in the low thousands) — but shares PMMoV’s mixed record on whether normalizing</w:t>
      </w:r>
      <w:r>
        <w:t xml:space="preserve"> </w:t>
      </w:r>
      <w:r>
        <w:rPr>
          <w:iCs/>
          <w:i/>
        </w:rPr>
        <w:t xml:space="preserve">by</w:t>
      </w:r>
      <w:r>
        <w:t xml:space="preserve"> </w:t>
      </w:r>
      <w:r>
        <w:t xml:space="preserve">it actually improves epidemiological correlation: the same evidence base recording PMMoV’s inconsistent performance records at least one comparison in which crAssphage and PMMoV correction both</w:t>
      </w:r>
      <w:r>
        <w:t xml:space="preserve"> </w:t>
      </w:r>
      <w:r>
        <w:rPr>
          <w:iCs/>
          <w:i/>
        </w:rPr>
        <w:t xml:space="preserve">worsened</w:t>
      </w:r>
      <w:r>
        <w:t xml:space="preserve"> </w:t>
      </w:r>
      <w:r>
        <w:t xml:space="preserve">the fit of the best available model relative to unnormalized data, alongside a ten-plant Southern Ontario comparison of four human-associated fecal biomarkers (PMMoV, crAssphage, HF183, and BacHuman) finding crAssphage and BacHuman among the more consistent (lower coefficient-of-variation) biomarkers tested, without that consistency translating into improved correlation with clinical case data (Chettleburgh, Ma, Swinwood-Sky, McDougall, Kireina, Taggar, McBean, Parreira, Goodridge, &amp; Habash, 2023).</w:t>
      </w:r>
    </w:p>
    <w:p>
      <w:pPr>
        <w:pStyle w:val="BodyText"/>
      </w:pPr>
      <w:r>
        <w:rPr>
          <w:bCs/>
          <w:b/>
        </w:rPr>
        <w:t xml:space="preserve">Human-associated Bacteroides markers (HF183, BacHuman) and human mitochondrial DNA</w:t>
      </w:r>
      <w:r>
        <w:t xml:space="preserve"> </w:t>
      </w:r>
      <w:r>
        <w:t xml:space="preserve">are held to a human-specificity standard that PMMoV and crAssphage, as non-human-organism markers, do not directly share (both are markers of material humans excrete, not of human DNA/tissue itself). The same Southern Ontario comparison found the BacHuman assay outperforming HF183 on the metrics tested (Chettleburgh et al., 2023; specific metric-by-metric figures pending full-text confirmation — see verification table). Independent of that specific comparison, human mitochondrial DNA has been reported elsewhere to have decay kinetics broadly similar to human Bacteroidales markers (e.g., HF183) in surface water, though it persists somewhat less than standard fecal indicator bacteria in temperate conditions — a fate-and-transport profile that is not, and should not be assumed to be, identical to any specific pathogen’s decay kinetics (directly relevant to §6.6’s discussion of matched decay assumptions).</w:t>
      </w:r>
    </w:p>
    <w:p>
      <w:pPr>
        <w:pStyle w:val="BodyText"/>
      </w:pPr>
      <w:r>
        <w:rPr>
          <w:bCs/>
          <w:b/>
        </w:rPr>
        <w:t xml:space="preserve">Cross-cutting methodological issues specific to microbial/molecular normalizers</w:t>
      </w:r>
      <w:r>
        <w:t xml:space="preserve">, not fully captured by the individual-marker findings above:</w:t>
      </w:r>
      <w:r>
        <w:t xml:space="preserve"> </w:t>
      </w:r>
      <w:r>
        <w:t xml:space="preserve">-</w:t>
      </w:r>
      <w:r>
        <w:t xml:space="preserve"> </w:t>
      </w:r>
      <w:r>
        <w:rPr>
          <w:bCs/>
          <w:b/>
        </w:rPr>
        <w:t xml:space="preserve">Generalizability across populations and regions</w:t>
      </w:r>
      <w:r>
        <w:t xml:space="preserve">: dietary dependence (PMMoV), regional gut-microbiome variation potentially affecting crAssphage host-phage dynamics, and unverified applicability of population thresholds derived in one country’s sewersheds to catchments of very different size or connectivity elsewhere all limit how far a single validation study’s findings can be extrapolated — directly motivating this review’s requirement (per the evidence standard governing this chapter) not to treat single-study findings as general validation.</w:t>
      </w:r>
      <w:r>
        <w:t xml:space="preserve"> </w:t>
      </w:r>
      <w:r>
        <w:t xml:space="preserve">-</w:t>
      </w:r>
      <w:r>
        <w:t xml:space="preserve"> </w:t>
      </w:r>
      <w:r>
        <w:rPr>
          <w:bCs/>
          <w:b/>
        </w:rPr>
        <w:t xml:space="preserve">Seasonal and dietary variation</w:t>
      </w:r>
      <w:r>
        <w:t xml:space="preserve">: several of these markers show seasonal concentration patterns independent of any change in true population or epidemiological signal, which is itself a confound requiring separate characterization before the marker can be trusted as a stable denominator.</w:t>
      </w:r>
      <w:r>
        <w:t xml:space="preserve"> </w:t>
      </w:r>
      <w:r>
        <w:t xml:space="preserve">-</w:t>
      </w:r>
      <w:r>
        <w:t xml:space="preserve"> </w:t>
      </w:r>
      <w:r>
        <w:rPr>
          <w:bCs/>
          <w:b/>
        </w:rPr>
        <w:t xml:space="preserve">Solid–liquid partitioning</w:t>
      </w:r>
      <w:r>
        <w:t xml:space="preserve">: as established in §5.3 for pathogen targets generally, fecal indicator viruses and phages partition between liquid and particulate wastewater fractions in ways that are matrix- and protocol-dependent, meaning a target measured in one fraction and a normalizer measured in a different fraction (or measured with a different extraction protocol even from the nominally same fraction) are not guaranteed to be tracking the same physical material.</w:t>
      </w:r>
      <w:r>
        <w:t xml:space="preserve"> </w:t>
      </w:r>
      <w:r>
        <w:t xml:space="preserve">-</w:t>
      </w:r>
      <w:r>
        <w:t xml:space="preserve"> </w:t>
      </w:r>
      <w:r>
        <w:rPr>
          <w:bCs/>
          <w:b/>
        </w:rPr>
        <w:t xml:space="preserve">Decay/recovery mismatch with the target pathogen</w:t>
      </w:r>
      <w:r>
        <w:t xml:space="preserve">: §6.6 develops this formally, but the qualitative point belongs here too — a fecal indicator with different in-sewer decay kinetics (§4.1) or different analytical recovery (§5.5) than the pathogen it is meant to normalize does not cancel that pathogen’s distortion when the two are combined in a ratio; it can just as easily introduce a new, uncorrelated distortion.</w:t>
      </w:r>
      <w:r>
        <w:t xml:space="preserve"> </w:t>
      </w:r>
      <w:r>
        <w:t xml:space="preserve">-</w:t>
      </w:r>
      <w:r>
        <w:t xml:space="preserve"> </w:t>
      </w:r>
      <w:r>
        <w:rPr>
          <w:bCs/>
          <w:b/>
        </w:rPr>
        <w:t xml:space="preserve">PCR inhibition</w:t>
      </w:r>
      <w:r>
        <w:t xml:space="preserve"> </w:t>
      </w:r>
      <w:r>
        <w:t xml:space="preserve">affects molecular fecal indicators through the same</w:t>
      </w:r>
      <w:r>
        <w:t xml:space="preserve"> </w:t>
      </w:r>
      <m:oMath>
        <m:sSub>
          <m:e>
            <m:r>
              <m:t>η</m:t>
            </m:r>
          </m:e>
          <m:sub>
            <m:r>
              <m:t>i</m:t>
            </m:r>
            <m:r>
              <m:t>n</m:t>
            </m:r>
            <m:r>
              <m:t>h</m:t>
            </m:r>
          </m:sub>
        </m:sSub>
      </m:oMath>
      <w:r>
        <w:t xml:space="preserve"> </w:t>
      </w:r>
      <w:r>
        <w:t xml:space="preserve">mechanism as any other molecular target (§5.0, §5.5) — a normalizer is not exempt from the analytical distortions §5 established for the target signal, and an inhibited normalizer denominator is itself a source of error in any ratio computed against it (§6.6).</w:t>
      </w:r>
    </w:p>
    <w:p>
      <w:pPr>
        <w:pStyle w:val="BodyText"/>
      </w:pPr>
      <w:r>
        <w:rPr>
          <w:bCs/>
          <w:b/>
        </w:rPr>
        <w:t xml:space="preserve">This section deliberately does not conclude that PMMoV or crAssphage are</w:t>
      </w:r>
      <w:r>
        <w:rPr>
          <w:bCs/>
          <w:b/>
        </w:rPr>
        <w:t xml:space="preserve"> </w:t>
      </w:r>
      <w:r>
        <w:rPr>
          <w:bCs/>
          <w:b/>
        </w:rPr>
        <w:t xml:space="preserve">“</w:t>
      </w:r>
      <w:r>
        <w:rPr>
          <w:bCs/>
          <w:b/>
        </w:rPr>
        <w:t xml:space="preserve">the best</w:t>
      </w:r>
      <w:r>
        <w:rPr>
          <w:bCs/>
          <w:b/>
        </w:rPr>
        <w:t xml:space="preserve">”</w:t>
      </w:r>
      <w:r>
        <w:rPr>
          <w:bCs/>
          <w:b/>
        </w:rPr>
        <w:t xml:space="preserve"> </w:t>
      </w:r>
      <w:r>
        <w:rPr>
          <w:bCs/>
          <w:b/>
        </w:rPr>
        <w:t xml:space="preserve">population markers.</w:t>
      </w:r>
      <w:r>
        <w:t xml:space="preserve"> </w:t>
      </w:r>
      <w:r>
        <w:t xml:space="preserve">The evidence assembled here is a record of proposed-and-tested markers with genuinely mixed, site- and study-dependent performance, not a converged consensus.</w:t>
      </w:r>
    </w:p>
    <w:bookmarkEnd w:id="50"/>
    <w:bookmarkStart w:id="51" w:name="Xfd063c7c1e4ef6baf9562a1d7a243002bd34077"/>
    <w:p>
      <w:pPr>
        <w:pStyle w:val="Heading3"/>
      </w:pPr>
      <w:r>
        <w:t xml:space="preserve">6.6 Ratio Normalization and Error Propagation</w:t>
      </w:r>
    </w:p>
    <w:p>
      <w:pPr>
        <w:pStyle w:val="FirstParagraph"/>
      </w:pPr>
      <w:r>
        <w:t xml:space="preserve">Most population-biomarker normalization in practice takes the form of a ratio:</w:t>
      </w:r>
    </w:p>
    <w:p>
      <w:pPr>
        <w:pStyle w:val="BodyText"/>
      </w:pPr>
      <m:oMathPara>
        <m:oMathParaPr>
          <m:jc m:val="center"/>
        </m:oMathParaPr>
        <m:oMath>
          <m:r>
            <m:t>Z</m:t>
          </m:r>
          <m:d>
            <m:dPr>
              <m:begChr m:val="("/>
              <m:endChr m:val=")"/>
              <m:sepChr m:val=""/>
              <m:grow/>
            </m:dPr>
            <m:e>
              <m:r>
                <m:t>t</m:t>
              </m:r>
            </m:e>
          </m:d>
          <m:r>
            <m:rPr>
              <m:sty m:val="p"/>
            </m:rPr>
            <m:t>=</m:t>
          </m:r>
          <m:f>
            <m:fPr>
              <m:type m:val="bar"/>
            </m:fPr>
            <m:num>
              <m:sSub>
                <m:e>
                  <m:acc>
                    <m:accPr>
                      <m:chr m:val="̂"/>
                    </m:accPr>
                    <m:e>
                      <m:r>
                        <m:t>Y</m:t>
                      </m:r>
                    </m:e>
                  </m:acc>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t</m:t>
                  </m:r>
                </m:e>
              </m:d>
            </m:num>
            <m:den>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d>
                <m:dPr>
                  <m:begChr m:val="("/>
                  <m:endChr m:val=")"/>
                  <m:sepChr m:val=""/>
                  <m:grow/>
                </m:dPr>
                <m:e>
                  <m:r>
                    <m:t>t</m:t>
                  </m:r>
                </m:e>
              </m:d>
            </m:den>
          </m:f>
        </m:oMath>
      </m:oMathPara>
    </w:p>
    <w:p>
      <w:pPr>
        <w:pStyle w:val="FirstParagraph"/>
      </w:pPr>
      <w:r>
        <w:t xml:space="preserve">This operation is used so routinely that its statistical properties are rarely made explicit in applied WBE papers, despite being well characterized in general measurement-uncertainty theory. This section makes them explicit, since they are, in this review’s assessment, the most consequential and least-discussed source of normalization-induced error in the field.</w:t>
      </w:r>
    </w:p>
    <w:p>
      <w:pPr>
        <w:pStyle w:val="BodyText"/>
      </w:pPr>
      <w:r>
        <w:rPr>
          <w:bCs/>
          <w:b/>
        </w:rPr>
        <w:t xml:space="preserve">Both numerator and denominator carry independent measurement error</w:t>
      </w:r>
      <w:r>
        <w:t xml:space="preserve"> </w:t>
      </w:r>
      <w:r>
        <w:t xml:space="preserve">— from §5’s recovery, inhibition/ion-suppression, and precision terms, applied separately to the target assay and the normalizer assay. Standard error-propagation results for a ratio of two independent random variables show that the</w:t>
      </w:r>
      <w:r>
        <w:t xml:space="preserve"> </w:t>
      </w:r>
      <w:r>
        <w:rPr>
          <w:iCs/>
          <w:i/>
        </w:rPr>
        <w:t xml:space="preserve">relative</w:t>
      </w:r>
      <w:r>
        <w:t xml:space="preserve"> </w:t>
      </w:r>
      <w:r>
        <w:t xml:space="preserve">uncertainty of the ratio combines the relative uncertainties of numerator and denominator (approximately in quadrature, for small-to-moderate individual relative errors, via a first-order Taylor/delta-method approximation) — meaning</w:t>
      </w:r>
      <w:r>
        <w:t xml:space="preserve"> </w:t>
      </w:r>
      <w:r>
        <w:rPr>
          <w:bCs/>
          <w:b/>
        </w:rPr>
        <w:t xml:space="preserve">a ratio is never more precise than its noisier input, and can be substantially less precise than either input alone</w:t>
      </w:r>
      <w:r>
        <w:t xml:space="preserve"> </w:t>
      </w:r>
      <w:r>
        <w:t xml:space="preserve">if the two relative uncertainties are of comparable magnitude and not correlated in a way that cancels.</w:t>
      </w:r>
    </w:p>
    <w:p>
      <w:pPr>
        <w:pStyle w:val="BodyText"/>
      </w:pPr>
      <w:r>
        <w:rPr>
          <w:bCs/>
          <w:b/>
        </w:rPr>
        <w:t xml:space="preserve">Denominator behavior near the limit of detection destabilizes the ratio disproportionately.</w:t>
      </w:r>
      <w:r>
        <w:t xml:space="preserve"> </w:t>
      </w:r>
      <w:r>
        <w:t xml:space="preserve">Because a ratio’s sensitivity to denominator error scales with</w:t>
      </w:r>
      <w:r>
        <w:t xml:space="preserve"> </w:t>
      </w:r>
      <m:oMath>
        <m:r>
          <m:t>1</m:t>
        </m:r>
        <m:r>
          <m:rPr>
            <m:sty m:val="p"/>
          </m:rPr>
          <m:t>/</m:t>
        </m:r>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sSup>
          <m:e>
            <m:d>
              <m:dPr>
                <m:begChr m:val="("/>
                <m:endChr m:val=")"/>
                <m:sepChr m:val=""/>
                <m:grow/>
              </m:dPr>
              <m:e>
                <m:r>
                  <m:t>t</m:t>
                </m:r>
              </m:e>
            </m:d>
          </m:e>
          <m:sup>
            <m:r>
              <m:t>2</m:t>
            </m:r>
          </m:sup>
        </m:sSup>
      </m:oMath>
      <w:r>
        <w:t xml:space="preserve"> </w:t>
      </w:r>
      <w:r>
        <w:t xml:space="preserve">(a direct consequence of the delta-method propagation formula, not an empirical claim specific to WBE), a normalizer approaching its own LOD/LOQ (§5.5) — which fecal indicators can do in low-flow, low-population, or heavily diluted samples — produces increasingly unstable, high-variance ratio estimates exactly where a monitoring program is often most in need of a stable signal (small or rural sewersheds, per §4.2’s discussion of Darling et al., 2025). A censored or near-censored denominator (§5.5) does not just add noise to</w:t>
      </w:r>
      <w:r>
        <w:t xml:space="preserve"> </w:t>
      </w:r>
      <m:oMath>
        <m:r>
          <m:t>Z</m:t>
        </m:r>
        <m:d>
          <m:dPr>
            <m:begChr m:val="("/>
            <m:endChr m:val=")"/>
            <m:sepChr m:val=""/>
            <m:grow/>
          </m:dPr>
          <m:e>
            <m:r>
              <m:t>t</m:t>
            </m:r>
          </m:e>
        </m:d>
      </m:oMath>
      <w:r>
        <w:t xml:space="preserve">; it can dominate the ratio’s behavior entirely.</w:t>
      </w:r>
    </w:p>
    <w:p>
      <w:pPr>
        <w:pStyle w:val="BodyText"/>
      </w:pPr>
      <w:r>
        <w:rPr>
          <w:bCs/>
          <w:b/>
        </w:rPr>
        <w:t xml:space="preserve">Target and normalizer frequently do not share transport and analytical fate</w:t>
      </w:r>
      <w:r>
        <w:t xml:space="preserve">, which is the mechanistic crux of this section:</w:t>
      </w:r>
      <w:r>
        <w:t xml:space="preserve"> </w:t>
      </w:r>
      <w:r>
        <w:t xml:space="preserve">-</w:t>
      </w:r>
      <w:r>
        <w:t xml:space="preserve"> </w:t>
      </w:r>
      <w:r>
        <w:rPr>
          <w:bCs/>
          <w:b/>
        </w:rPr>
        <w:t xml:space="preserve">Different in-sewer decay kinetics</w:t>
      </w:r>
      <w:r>
        <w:t xml:space="preserve"> </w:t>
      </w:r>
      <w:r>
        <w:t xml:space="preserve">(§4.1): if the target decays faster or slower than the normalizer under a given temperature/retention-time regime, their ratio changes over time even at constant true source-signal ratio — the normalization is tracking a decay-rate mismatch, not a population or dilution signal.</w:t>
      </w:r>
      <w:r>
        <w:t xml:space="preserve"> </w:t>
      </w:r>
      <w:r>
        <w:t xml:space="preserve">-</w:t>
      </w:r>
      <w:r>
        <w:t xml:space="preserve"> </w:t>
      </w:r>
      <w:r>
        <w:rPr>
          <w:bCs/>
          <w:b/>
        </w:rPr>
        <w:t xml:space="preserve">Different solid–liquid partitioning</w:t>
      </w:r>
      <w:r>
        <w:t xml:space="preserve"> </w:t>
      </w:r>
      <w:r>
        <w:t xml:space="preserve">(§5.3, §6.5): a target enriched in the particulate fraction and a normalizer predominantly in the liquid fraction (or vice versa) respond differently to the same sedimentation/resuspension event, again decoupling the ratio from the intended correction.</w:t>
      </w:r>
      <w:r>
        <w:t xml:space="preserve"> </w:t>
      </w:r>
      <w:r>
        <w:t xml:space="preserve">-</w:t>
      </w:r>
      <w:r>
        <w:t xml:space="preserve"> </w:t>
      </w:r>
      <w:r>
        <w:rPr>
          <w:bCs/>
          <w:b/>
        </w:rPr>
        <w:t xml:space="preserve">Different sampling/analytical recovery and matrix effects</w:t>
      </w:r>
      <w:r>
        <w:t xml:space="preserve"> </w:t>
      </w:r>
      <w:r>
        <w:t xml:space="preserve">(§5.0, §5.5): if</w:t>
      </w:r>
      <w:r>
        <w:t xml:space="preserve"> </w:t>
      </w:r>
      <m:oMath>
        <m:sSub>
          <m:e>
            <m:r>
              <m:t>η</m:t>
            </m:r>
          </m:e>
          <m:sub>
            <m:r>
              <m:t>r</m:t>
            </m:r>
            <m:r>
              <m:t>e</m:t>
            </m:r>
            <m:r>
              <m:t>c</m:t>
            </m:r>
          </m:sub>
        </m:sSub>
      </m:oMath>
      <w:r>
        <w:t xml:space="preserve"> </w:t>
      </w:r>
      <w:r>
        <w:t xml:space="preserve">or</w:t>
      </w:r>
      <w:r>
        <w:t xml:space="preserve"> </w:t>
      </w:r>
      <m:oMath>
        <m:sSub>
          <m:e>
            <m:r>
              <m:t>η</m:t>
            </m:r>
          </m:e>
          <m:sub>
            <m:r>
              <m:t>i</m:t>
            </m:r>
            <m:r>
              <m:t>n</m:t>
            </m:r>
            <m:r>
              <m:t>h</m:t>
            </m:r>
          </m:sub>
        </m:sSub>
      </m:oMath>
      <w:r>
        <w:t xml:space="preserve"> </w:t>
      </w:r>
      <w:r>
        <w:t xml:space="preserve">differ between target and normalizer assays — a near-certainty when the two use different primer/probe chemistry, different extraction efficiency, or different concentration methods — the ratio partially reflects a difference in assay performance, not a difference in true source-signal ratio.</w:t>
      </w:r>
    </w:p>
    <w:p>
      <w:pPr>
        <w:pStyle w:val="BodyText"/>
      </w:pPr>
      <w:r>
        <w:rPr>
          <w:bCs/>
          <w:b/>
        </w:rPr>
        <w:t xml:space="preserve">When does this cancel, and when does it amplify?</w:t>
      </w:r>
      <w:r>
        <w:t xml:space="preserve"> </w:t>
      </w:r>
      <w:r>
        <w:t xml:space="preserve">The favorable case — the one implicitly assumed whenever a ratio normalization is applied without checking — is that target and normalizer share the</w:t>
      </w:r>
      <w:r>
        <w:t xml:space="preserve"> </w:t>
      </w:r>
      <w:r>
        <w:rPr>
          <w:iCs/>
          <w:i/>
        </w:rPr>
        <w:t xml:space="preserve">same</w:t>
      </w:r>
      <w:r>
        <w:t xml:space="preserve"> </w:t>
      </w:r>
      <w:r>
        <w:t xml:space="preserve">dominant distortion mechanism (e.g., both diluted by the same rainfall event to a similar degree, both recovered with similar efficiency by a shared extraction protocol) and carry</w:t>
      </w:r>
      <w:r>
        <w:t xml:space="preserve"> </w:t>
      </w:r>
      <w:r>
        <w:rPr>
          <w:iCs/>
          <w:i/>
        </w:rPr>
        <w:t xml:space="preserve">sufficiently independent</w:t>
      </w:r>
      <w:r>
        <w:t xml:space="preserve"> </w:t>
      </w:r>
      <w:r>
        <w:t xml:space="preserve">information about the source state that dividing one by the other removes the shared distortion while preserving the signal of interest. This is a strong joint condition, not something safe to assume by default, and the unfavorable case is at least as common in the evidence reviewed here: when target and normalizer distortion mechanisms are only partially shared, or the normalizer is itself independently noisy, dividing introduces two independent error sources into what was previously one — the ratio’s variance can then exceed the target’s own measurement variance, actively making the normalized signal worse than the raw signal, consistent with the several §6.5 findings of normalization measurably</w:t>
      </w:r>
      <w:r>
        <w:t xml:space="preserve"> </w:t>
      </w:r>
      <w:r>
        <w:rPr>
          <w:iCs/>
          <w:i/>
        </w:rPr>
        <w:t xml:space="preserve">reducing</w:t>
      </w:r>
      <w:r>
        <w:t xml:space="preserve"> </w:t>
      </w:r>
      <w:r>
        <w:t xml:space="preserve">correlation with clinical data rather than improving it.</w:t>
      </w:r>
    </w:p>
    <w:p>
      <w:pPr>
        <w:pStyle w:val="BodyText"/>
      </w:pPr>
      <w:r>
        <w:rPr>
          <w:bCs/>
          <w:b/>
        </w:rPr>
        <w:t xml:space="preserve">Practical mitigations, with caveats.</w:t>
      </w:r>
      <w:r>
        <w:t xml:space="preserve"> </w:t>
      </w:r>
      <w:r>
        <w:t xml:space="preserve">Log-transforming both target and normalizer before differencing (equivalent to working with</w:t>
      </w:r>
      <w:r>
        <w:t xml:space="preserve"> </w:t>
      </w:r>
      <m:oMath>
        <m:r>
          <m:rPr>
            <m:sty m:val="p"/>
          </m:rPr>
          <m:t>log</m:t>
        </m:r>
        <m:sSub>
          <m:e>
            <m:acc>
              <m:accPr>
                <m:chr m:val="̂"/>
              </m:accPr>
              <m:e>
                <m:r>
                  <m:t>Y</m:t>
                </m:r>
              </m:e>
            </m:acc>
          </m:e>
          <m:sub>
            <m:r>
              <m:rPr>
                <m:sty m:val="p"/>
              </m:rPr>
              <m:t>t</m:t>
            </m:r>
            <m:r>
              <m:rPr>
                <m:sty m:val="p"/>
              </m:rPr>
              <m:t>a</m:t>
            </m:r>
            <m:r>
              <m:rPr>
                <m:sty m:val="p"/>
              </m:rPr>
              <m:t>r</m:t>
            </m:r>
            <m:r>
              <m:rPr>
                <m:sty m:val="p"/>
              </m:rPr>
              <m:t>g</m:t>
            </m:r>
            <m:r>
              <m:rPr>
                <m:sty m:val="p"/>
              </m:rPr>
              <m:t>e</m:t>
            </m:r>
            <m:r>
              <m:rPr>
                <m:sty m:val="p"/>
              </m:rPr>
              <m:t>t</m:t>
            </m:r>
          </m:sub>
        </m:sSub>
        <m:r>
          <m:rPr>
            <m:sty m:val="p"/>
          </m:rPr>
          <m:t>−</m:t>
        </m:r>
        <m:r>
          <m:rPr>
            <m:sty m:val="p"/>
          </m:rPr>
          <m:t>log</m:t>
        </m:r>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oMath>
      <w:r>
        <w:t xml:space="preserve"> </w:t>
      </w:r>
      <w:r>
        <w:t xml:space="preserve">rather than the raw ratio) is standard practice for stabilizing variance and reducing the influence of near-LOD outliers, and is preferable to a raw ratio in most cases discussed in this chapter — but it changes the statistical object being modeled (a log-difference is not the same quantity as a ratio for downstream interpretation) and does not, by itself, address the shared-vs-independent-distortion-mechanism problem above. Explicit error-propagation reporting (carrying forward numerator and denominator uncertainty separately rather than reporting only a point-estimate ratio) and Bayesian approaches that treat both signals as latent variables with explicit measurement-error models (rather than plugging noisy point estimates directly into a ratio) are both more defensible than a bare ratio, and are the natural bridge to this review’s not-yet-drafted §7–§8 treatment of back-calculation and formal uncertainty propagation.</w:t>
      </w:r>
    </w:p>
    <w:p>
      <w:pPr>
        <w:pStyle w:val="BodyText"/>
      </w:pPr>
      <w:r>
        <w:t xml:space="preserve">This section’s central claim, stated as a standalone proposition because it is this chapter’s principal original contribution:</w:t>
      </w:r>
    </w:p>
    <w:p>
      <w:pPr>
        <w:pStyle w:val="BlockText"/>
      </w:pPr>
      <w:r>
        <w:rPr>
          <w:bCs/>
          <w:b/>
        </w:rPr>
        <w:t xml:space="preserve">Ratio normalization improves inference only when the target and normalizer share the distortion mechanism intended to be corrected while retaining sufficiently independent information about the source state.</w:t>
      </w:r>
      <w:r>
        <w:t xml:space="preserve"> </w:t>
      </w:r>
      <w:r>
        <w:t xml:space="preserve">When this joint condition fails — through mismatched decay kinetics, mismatched partitioning, mismatched analytical recovery, or a denominator too close to its detection limit — ratio normalization does not remove uncertainty; it relocates and, in the near-LOD case demonstrated above, actively amplifies it.</w:t>
      </w:r>
    </w:p>
    <w:p>
      <w:pPr>
        <w:pStyle w:val="FirstParagraph"/>
      </w:pPr>
      <w:r>
        <w:rPr>
          <w:bCs/>
          <w:b/>
        </w:rPr>
        <w:t xml:space="preserve">Table 3. Normalization method × core assumption × corrected bias × residual uncertainty.</w:t>
      </w:r>
      <w:r>
        <w:t xml:space="preserve"> </w:t>
      </w:r>
      <w:r>
        <w:t xml:space="preserve">Consolidates §6.2–6.6;</w:t>
      </w:r>
      <w:r>
        <w:t xml:space="preserve"> </w:t>
      </w:r>
      <w:r>
        <w:t xml:space="preserve">“</w:t>
      </w:r>
      <w:r>
        <w:t xml:space="preserve">Evidence</w:t>
      </w:r>
      <w:r>
        <w:t xml:space="preserve">”</w:t>
      </w:r>
      <w:r>
        <w:t xml:space="preserve"> </w:t>
      </w:r>
      <w:r>
        <w:t xml:space="preserve">cites the strongest specific finding in this review’s evidence base, not a general endorsement — see §6.4–6.5 for the full, deliberately mixed record behind each row.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Core assumption</w:t>
            </w:r>
          </w:p>
        </w:tc>
        <w:tc>
          <w:tcPr/>
          <w:p>
            <w:pPr>
              <w:pStyle w:val="Compact"/>
              <w:jc w:val="left"/>
            </w:pPr>
            <w:r>
              <w:t xml:space="preserve">§6.1 goal(s) addressed</w:t>
            </w:r>
          </w:p>
        </w:tc>
        <w:tc>
          <w:tcPr/>
          <w:p>
            <w:pPr>
              <w:pStyle w:val="Compact"/>
              <w:jc w:val="left"/>
            </w:pPr>
            <w:r>
              <w:t xml:space="preserve">Evidence of correction working</w:t>
            </w:r>
          </w:p>
        </w:tc>
        <w:tc>
          <w:tcPr/>
          <w:p>
            <w:pPr>
              <w:pStyle w:val="Compact"/>
              <w:jc w:val="left"/>
            </w:pPr>
            <w:r>
              <w:t xml:space="preserve">Residual/introduced uncertainty</w:t>
            </w:r>
          </w:p>
        </w:tc>
        <w:tc>
          <w:tcPr/>
          <w:p>
            <w:pPr>
              <w:pStyle w:val="Compact"/>
              <w:jc w:val="left"/>
            </w:pPr>
            <w:r>
              <w:t xml:space="preserve">Applicability condition</w:t>
            </w:r>
          </w:p>
        </w:tc>
      </w:tr>
      <w:tr>
        <w:tc>
          <w:tcPr/>
          <w:p>
            <w:pPr>
              <w:pStyle w:val="Compact"/>
              <w:jc w:val="left"/>
            </w:pPr>
            <w:r>
              <w:t xml:space="preserve">Flow (</w:t>
            </w:r>
            <m:oMath>
              <m:r>
                <m:t>Q</m:t>
              </m:r>
              <m:d>
                <m:dPr>
                  <m:begChr m:val="("/>
                  <m:endChr m:val=")"/>
                  <m:sepChr m:val=""/>
                  <m:grow/>
                </m:dPr>
                <m:e>
                  <m:r>
                    <m:t>t</m:t>
                  </m:r>
                </m:e>
              </m:d>
            </m:oMath>
            <w:r>
              <w:t xml:space="preserve">)</w:t>
            </w:r>
          </w:p>
        </w:tc>
        <w:tc>
          <w:tcPr/>
          <w:p>
            <w:pPr>
              <w:pStyle w:val="Compact"/>
              <w:jc w:val="left"/>
            </w:pPr>
            <w:r>
              <w:t xml:space="preserve">Measured flow tracks true dilution volume</w:t>
            </w:r>
          </w:p>
        </w:tc>
        <w:tc>
          <w:tcPr/>
          <w:p>
            <w:pPr>
              <w:pStyle w:val="Compact"/>
              <w:jc w:val="left"/>
            </w:pPr>
            <w:r>
              <w:t xml:space="preserve">1 (dilution), 2 (load conversion)</w:t>
            </w:r>
          </w:p>
        </w:tc>
        <w:tc>
          <w:tcPr/>
          <w:p>
            <w:pPr>
              <w:pStyle w:val="Compact"/>
              <w:jc w:val="left"/>
            </w:pPr>
            <w:r>
              <w:t xml:space="preserve">Necessary for reliable short-term trend detection in a 9-site Dutch multi-site study (Langeveld et al., 2022); outperformed 3 fecal biomarkers across 182 U.S. communities (Rainey et al., 2023)</w:t>
            </w:r>
          </w:p>
        </w:tc>
        <w:tc>
          <w:tcPr/>
          <w:p>
            <w:pPr>
              <w:pStyle w:val="Compact"/>
              <w:jc w:val="left"/>
            </w:pPr>
            <w:r>
              <w:t xml:space="preserve">Flow-sensor error propagates directly into load; time-mismatch between instantaneous flow and composite concentration (§5.2)</w:t>
            </w:r>
          </w:p>
        </w:tc>
        <w:tc>
          <w:tcPr/>
          <w:p>
            <w:pPr>
              <w:pStyle w:val="Compact"/>
              <w:jc w:val="left"/>
            </w:pPr>
            <w:r>
              <w:t xml:space="preserve">Becomes unreliable under substantial I&amp;I (Darling et al., 2025) or combined-sewer overflow (§4.2, §6.8) — condition, not universal ranking</w:t>
            </w:r>
          </w:p>
        </w:tc>
      </w:tr>
      <w:tr>
        <w:tc>
          <w:tcPr/>
          <w:p>
            <w:pPr>
              <w:pStyle w:val="Compact"/>
              <w:jc w:val="left"/>
            </w:pPr>
            <w:r>
              <w:t xml:space="preserve">Census population (</w:t>
            </w:r>
            <m:oMath>
              <m:sSub>
                <m:e>
                  <m:r>
                    <m:t>P</m:t>
                  </m:r>
                </m:e>
                <m:sub>
                  <m:r>
                    <m:rPr>
                      <m:sty m:val="p"/>
                    </m:rPr>
                    <m:t>c</m:t>
                  </m:r>
                  <m:r>
                    <m:rPr>
                      <m:sty m:val="p"/>
                    </m:rPr>
                    <m:t>e</m:t>
                  </m:r>
                  <m:r>
                    <m:rPr>
                      <m:sty m:val="p"/>
                    </m:rPr>
                    <m:t>n</m:t>
                  </m:r>
                  <m:r>
                    <m:rPr>
                      <m:sty m:val="p"/>
                    </m:rPr>
                    <m:t>s</m:t>
                  </m:r>
                  <m:r>
                    <m:rPr>
                      <m:sty m:val="p"/>
                    </m:rPr>
                    <m:t>u</m:t>
                  </m:r>
                  <m:r>
                    <m:rPr>
                      <m:sty m:val="p"/>
                    </m:rPr>
                    <m:t>s</m:t>
                  </m:r>
                </m:sub>
              </m:sSub>
            </m:oMath>
            <w:r>
              <w:t xml:space="preserve">)</w:t>
            </w:r>
          </w:p>
        </w:tc>
        <w:tc>
          <w:tcPr/>
          <w:p>
            <w:pPr>
              <w:pStyle w:val="Compact"/>
              <w:jc w:val="left"/>
            </w:pPr>
            <w:r>
              <w:t xml:space="preserve">Resident population ≈ contributing population, stable over time</w:t>
            </w:r>
          </w:p>
        </w:tc>
        <w:tc>
          <w:tcPr/>
          <w:p>
            <w:pPr>
              <w:pStyle w:val="Compact"/>
              <w:jc w:val="left"/>
            </w:pPr>
            <w:r>
              <w:t xml:space="preserve">3 (population size)</w:t>
            </w:r>
          </w:p>
        </w:tc>
        <w:tc>
          <w:tcPr/>
          <w:p>
            <w:pPr>
              <w:pStyle w:val="Compact"/>
              <w:jc w:val="left"/>
            </w:pPr>
            <w:r>
              <w:t xml:space="preserve">Simple, defensible where population is genuinely stable</w:t>
            </w:r>
          </w:p>
        </w:tc>
        <w:tc>
          <w:tcPr/>
          <w:p>
            <w:pPr>
              <w:pStyle w:val="Compact"/>
              <w:jc w:val="left"/>
            </w:pPr>
            <w:r>
              <w:t xml:space="preserve">Silently reinterprets real population fluctuation as source-signal change (§6.3)</w:t>
            </w:r>
          </w:p>
        </w:tc>
        <w:tc>
          <w:tcPr/>
          <w:p>
            <w:pPr>
              <w:pStyle w:val="Compact"/>
              <w:jc w:val="left"/>
            </w:pPr>
            <w:r>
              <w:t xml:space="preserve">Poor fit for transient, commuter-heavy, tourist, or rapidly growing catchments</w:t>
            </w:r>
          </w:p>
        </w:tc>
      </w:tr>
      <w:tr>
        <w:tc>
          <w:tcPr/>
          <w:p>
            <w:pPr>
              <w:pStyle w:val="Compact"/>
              <w:jc w:val="left"/>
            </w:pPr>
            <w:r>
              <w:t xml:space="preserve">Dynamic population (mobile-device/chemical proxy)</w:t>
            </w:r>
          </w:p>
        </w:tc>
        <w:tc>
          <w:tcPr/>
          <w:p>
            <w:pPr>
              <w:pStyle w:val="Compact"/>
              <w:jc w:val="left"/>
            </w:pPr>
            <w:r>
              <w:t xml:space="preserve">Proxy tracks true contributing population in real time</w:t>
            </w:r>
          </w:p>
        </w:tc>
        <w:tc>
          <w:tcPr/>
          <w:p>
            <w:pPr>
              <w:pStyle w:val="Compact"/>
              <w:jc w:val="left"/>
            </w:pPr>
            <w:r>
              <w:t xml:space="preserve">3, 4 (fluctuation)</w:t>
            </w:r>
          </w:p>
        </w:tc>
        <w:tc>
          <w:tcPr/>
          <w:p>
            <w:pPr>
              <w:pStyle w:val="Compact"/>
              <w:jc w:val="left"/>
            </w:pPr>
            <w:r>
              <w:t xml:space="preserve">Ammonium-based model achieved best correlation (</w:t>
            </w:r>
            <m:oMath>
              <m:sSup>
                <m:e>
                  <m:r>
                    <m:t>R</m:t>
                  </m:r>
                </m:e>
                <m:sup>
                  <m:r>
                    <m:t>2</m:t>
                  </m:r>
                </m:sup>
              </m:sSup>
              <m:r>
                <m:rPr>
                  <m:sty m:val="p"/>
                </m:rPr>
                <m:t>=</m:t>
              </m:r>
              <m:r>
                <m:t>0.88</m:t>
              </m:r>
            </m:oMath>
            <w:r>
              <w:t xml:space="preserve">) among 3 low-cost proxies against Oslo mobile-device data, &lt;10% mean error (Baz-Lomba et al., 2019)</w:t>
            </w:r>
          </w:p>
        </w:tc>
        <w:tc>
          <w:tcPr/>
          <w:p>
            <w:pPr>
              <w:pStyle w:val="Compact"/>
              <w:jc w:val="left"/>
            </w:pPr>
            <w:r>
              <w:t xml:space="preserve">Adds proxy’s own measurement error; privacy/re-identification risk at small spatial scale (§6.3)</w:t>
            </w:r>
          </w:p>
        </w:tc>
        <w:tc>
          <w:tcPr/>
          <w:p>
            <w:pPr>
              <w:pStyle w:val="Compact"/>
              <w:jc w:val="left"/>
            </w:pPr>
            <w:r>
              <w:t xml:space="preserve">Best suited to well-instrumented sites where dynamic fluctuation is large relative to census baseline</w:t>
            </w:r>
          </w:p>
        </w:tc>
      </w:tr>
      <w:tr>
        <w:tc>
          <w:tcPr/>
          <w:p>
            <w:pPr>
              <w:pStyle w:val="Compact"/>
              <w:jc w:val="left"/>
            </w:pPr>
            <w:r>
              <w:t xml:space="preserve">Chemical biomarker — creatinine</w:t>
            </w:r>
          </w:p>
        </w:tc>
        <w:tc>
          <w:tcPr/>
          <w:p>
            <w:pPr>
              <w:pStyle w:val="Compact"/>
              <w:jc w:val="left"/>
            </w:pPr>
            <w:r>
              <w:t xml:space="preserve">Constant per-capita renal excretion</w:t>
            </w:r>
          </w:p>
        </w:tc>
        <w:tc>
          <w:tcPr/>
          <w:p>
            <w:pPr>
              <w:pStyle w:val="Compact"/>
              <w:jc w:val="left"/>
            </w:pPr>
            <w:r>
              <w:t xml:space="preserve">3</w:t>
            </w:r>
          </w:p>
        </w:tc>
        <w:tc>
          <w:tcPr/>
          <w:p>
            <w:pPr>
              <w:pStyle w:val="Compact"/>
              <w:jc w:val="left"/>
            </w:pPr>
            <w:r>
              <w:t xml:space="preserve">Physiologically well-motivated</w:t>
            </w:r>
          </w:p>
        </w:tc>
        <w:tc>
          <w:tcPr/>
          <w:p>
            <w:pPr>
              <w:pStyle w:val="Compact"/>
              <w:jc w:val="left"/>
            </w:pPr>
            <w:r>
              <w:t xml:space="preserve">Disqualified for in-sewer instability (Chen et al., 2014)</w:t>
            </w:r>
          </w:p>
        </w:tc>
        <w:tc>
          <w:tcPr/>
          <w:p>
            <w:pPr>
              <w:pStyle w:val="Compact"/>
              <w:jc w:val="left"/>
            </w:pPr>
            <w:r>
              <w:t xml:space="preserve">Generally not recommended (stability failure)</w:t>
            </w:r>
          </w:p>
        </w:tc>
      </w:tr>
      <w:tr>
        <w:tc>
          <w:tcPr/>
          <w:p>
            <w:pPr>
              <w:pStyle w:val="Compact"/>
              <w:jc w:val="left"/>
            </w:pPr>
            <w:r>
              <w:t xml:space="preserve">Chemical biomarker — cotinine / 5-HIAA</w:t>
            </w:r>
          </w:p>
        </w:tc>
        <w:tc>
          <w:tcPr/>
          <w:p>
            <w:pPr>
              <w:pStyle w:val="Compact"/>
              <w:jc w:val="left"/>
            </w:pPr>
            <w:r>
              <w:t xml:space="preserve">Constant excretion, correlates with census population</w:t>
            </w:r>
          </w:p>
        </w:tc>
        <w:tc>
          <w:tcPr/>
          <w:p>
            <w:pPr>
              <w:pStyle w:val="Compact"/>
              <w:jc w:val="left"/>
            </w:pPr>
            <w:r>
              <w:t xml:space="preserve">3</w:t>
            </w:r>
          </w:p>
        </w:tc>
        <w:tc>
          <w:tcPr/>
          <w:p>
            <w:pPr>
              <w:pStyle w:val="Compact"/>
              <w:jc w:val="left"/>
            </w:pPr>
            <w:r>
              <w:t xml:space="preserve">Identified as most promising of 7 candidates tested (Chen et al., 2014)</w:t>
            </w:r>
          </w:p>
        </w:tc>
        <w:tc>
          <w:tcPr/>
          <w:p>
            <w:pPr>
              <w:pStyle w:val="Compact"/>
              <w:jc w:val="left"/>
            </w:pPr>
            <w:r>
              <w:t xml:space="preserve">Cotinine confounded by smoking-prevalence variation across populations; 5-HIAA less confounded</w:t>
            </w:r>
          </w:p>
        </w:tc>
        <w:tc>
          <w:tcPr/>
          <w:p>
            <w:pPr>
              <w:pStyle w:val="Compact"/>
              <w:jc w:val="left"/>
            </w:pPr>
            <w:r>
              <w:t xml:space="preserve">5-HIAA preferred where cross-population comparison is needed</w:t>
            </w:r>
          </w:p>
        </w:tc>
      </w:tr>
      <w:tr>
        <w:tc>
          <w:tcPr/>
          <w:p>
            <w:pPr>
              <w:pStyle w:val="Compact"/>
              <w:jc w:val="left"/>
            </w:pPr>
            <w:r>
              <w:t xml:space="preserve">Chemical biomarker — caffeine/paraxanthine</w:t>
            </w:r>
          </w:p>
        </w:tc>
        <w:tc>
          <w:tcPr/>
          <w:p>
            <w:pPr>
              <w:pStyle w:val="Compact"/>
              <w:jc w:val="left"/>
            </w:pPr>
            <w:r>
              <w:t xml:space="preserve">Constant excretion, outperforms other chemical/viral markers</w:t>
            </w:r>
          </w:p>
        </w:tc>
        <w:tc>
          <w:tcPr/>
          <w:p>
            <w:pPr>
              <w:pStyle w:val="Compact"/>
              <w:jc w:val="left"/>
            </w:pPr>
            <w:r>
              <w:t xml:space="preserve">3, 4</w:t>
            </w:r>
          </w:p>
        </w:tc>
        <w:tc>
          <w:tcPr/>
          <w:p>
            <w:pPr>
              <w:pStyle w:val="Compact"/>
              <w:jc w:val="left"/>
            </w:pPr>
            <w:r>
              <w:t xml:space="preserve">Outperformed PMMoV, creatinine, 5-HIAA across 64 WWTPs in one statewide program (Hsu et al., 2022)</w:t>
            </w:r>
          </w:p>
        </w:tc>
        <w:tc>
          <w:tcPr/>
          <w:p>
            <w:pPr>
              <w:pStyle w:val="Compact"/>
              <w:jc w:val="left"/>
            </w:pPr>
            <w:r>
              <w:t xml:space="preserve">Single-state finding; caffeine consumption itself varies by population/culture</w:t>
            </w:r>
          </w:p>
        </w:tc>
        <w:tc>
          <w:tcPr/>
          <w:p>
            <w:pPr>
              <w:pStyle w:val="Compact"/>
              <w:jc w:val="left"/>
            </w:pPr>
            <w:r>
              <w:t xml:space="preserve">Promising but not yet cross-regionally validated (per this review’s standard)</w:t>
            </w:r>
          </w:p>
        </w:tc>
      </w:tr>
      <w:tr>
        <w:tc>
          <w:tcPr/>
          <w:p>
            <w:pPr>
              <w:pStyle w:val="Compact"/>
              <w:jc w:val="left"/>
            </w:pPr>
            <w:r>
              <w:t xml:space="preserve">Chemical biomarker — ammonium/TKN/TP</w:t>
            </w:r>
          </w:p>
        </w:tc>
        <w:tc>
          <w:tcPr/>
          <w:p>
            <w:pPr>
              <w:pStyle w:val="Compact"/>
              <w:jc w:val="left"/>
            </w:pPr>
            <w:r>
              <w:t xml:space="preserve">Routine water-quality parameter tracks population load</w:t>
            </w:r>
          </w:p>
        </w:tc>
        <w:tc>
          <w:tcPr/>
          <w:p>
            <w:pPr>
              <w:pStyle w:val="Compact"/>
              <w:jc w:val="left"/>
            </w:pPr>
            <w:r>
              <w:t xml:space="preserve">3, 4</w:t>
            </w:r>
          </w:p>
        </w:tc>
        <w:tc>
          <w:tcPr/>
          <w:p>
            <w:pPr>
              <w:pStyle w:val="Compact"/>
              <w:jc w:val="left"/>
            </w:pPr>
            <w:r>
              <w:t xml:space="preserve">Largest pooled correlation improvement of markers tested in a 12-system Alberta comparison (Maal-Bared et al., 2023)</w:t>
            </w:r>
          </w:p>
        </w:tc>
        <w:tc>
          <w:tcPr/>
          <w:p>
            <w:pPr>
              <w:pStyle w:val="Compact"/>
              <w:jc w:val="left"/>
            </w:pPr>
            <w:r>
              <w:t xml:space="preserve">At least one independent comparison found no improvement from ammonium/orthophosphate normalization</w:t>
            </w:r>
          </w:p>
        </w:tc>
        <w:tc>
          <w:tcPr/>
          <w:p>
            <w:pPr>
              <w:pStyle w:val="Compact"/>
              <w:jc w:val="left"/>
            </w:pPr>
            <w:r>
              <w:t xml:space="preserve">Mixed evidence — site-specific validation required, not general effectiveness</w:t>
            </w:r>
          </w:p>
        </w:tc>
      </w:tr>
      <w:tr>
        <w:tc>
          <w:tcPr/>
          <w:p>
            <w:pPr>
              <w:pStyle w:val="Compact"/>
              <w:jc w:val="left"/>
            </w:pPr>
            <w:r>
              <w:t xml:space="preserve">Microbial biomarker — PMMoV</w:t>
            </w:r>
          </w:p>
        </w:tc>
        <w:tc>
          <w:tcPr/>
          <w:p>
            <w:pPr>
              <w:pStyle w:val="Compact"/>
              <w:jc w:val="left"/>
            </w:pPr>
            <w:r>
              <w:t xml:space="preserve">Dietary-pepper-virus load tracks human fecal load</w:t>
            </w:r>
          </w:p>
        </w:tc>
        <w:tc>
          <w:tcPr/>
          <w:p>
            <w:pPr>
              <w:pStyle w:val="Compact"/>
              <w:jc w:val="left"/>
            </w:pPr>
            <w:r>
              <w:t xml:space="preserve">3</w:t>
            </w:r>
          </w:p>
        </w:tc>
        <w:tc>
          <w:tcPr/>
          <w:p>
            <w:pPr>
              <w:pStyle w:val="Compact"/>
              <w:jc w:val="left"/>
            </w:pPr>
            <w:r>
              <w:t xml:space="preserve">Improved correlation at 2 of 12 Alberta systems (Maal-Bared et al., 2023)</w:t>
            </w:r>
          </w:p>
        </w:tc>
        <w:tc>
          <w:tcPr/>
          <w:p>
            <w:pPr>
              <w:pStyle w:val="Compact"/>
              <w:jc w:val="left"/>
            </w:pPr>
            <w:r>
              <w:t xml:space="preserve">No improvement or significant</w:t>
            </w:r>
            <w:r>
              <w:t xml:space="preserve"> </w:t>
            </w:r>
            <w:r>
              <w:rPr>
                <w:iCs/>
                <w:i/>
              </w:rPr>
              <w:t xml:space="preserve">reduction</w:t>
            </w:r>
            <w:r>
              <w:t xml:space="preserve"> </w:t>
            </w:r>
            <w:r>
              <w:t xml:space="preserve">in correlation at multiple other sites (Maal-Bared et al., 2023; Dhiyebi et al., 2023)</w:t>
            </w:r>
          </w:p>
        </w:tc>
        <w:tc>
          <w:tcPr/>
          <w:p>
            <w:pPr>
              <w:pStyle w:val="Compact"/>
              <w:jc w:val="left"/>
            </w:pPr>
            <w:r>
              <w:t xml:space="preserve">Not a general-purpose normalizer; test before adopting per site</w:t>
            </w:r>
          </w:p>
        </w:tc>
      </w:tr>
      <w:tr>
        <w:tc>
          <w:tcPr/>
          <w:p>
            <w:pPr>
              <w:pStyle w:val="Compact"/>
              <w:jc w:val="left"/>
            </w:pPr>
            <w:r>
              <w:t xml:space="preserve">Microbial biomarker — crAssphage</w:t>
            </w:r>
          </w:p>
        </w:tc>
        <w:tc>
          <w:tcPr/>
          <w:p>
            <w:pPr>
              <w:pStyle w:val="Compact"/>
              <w:jc w:val="left"/>
            </w:pPr>
            <w:r>
              <w:t xml:space="preserve">Population-aggregate shedding is temporally stable above a minimum population</w:t>
            </w:r>
          </w:p>
        </w:tc>
        <w:tc>
          <w:tcPr/>
          <w:p>
            <w:pPr>
              <w:pStyle w:val="Compact"/>
              <w:jc w:val="left"/>
            </w:pPr>
            <w:r>
              <w:t xml:space="preserve">3</w:t>
            </w:r>
          </w:p>
        </w:tc>
        <w:tc>
          <w:tcPr/>
          <w:p>
            <w:pPr>
              <w:pStyle w:val="Compact"/>
              <w:jc w:val="left"/>
            </w:pPr>
            <w:r>
              <w:t xml:space="preserve">Comparatively low CV in a 10-plant Southern Ontario comparison (Chettleburgh et al., 2023)</w:t>
            </w:r>
          </w:p>
        </w:tc>
        <w:tc>
          <w:tcPr/>
          <w:p>
            <w:pPr>
              <w:pStyle w:val="Compact"/>
              <w:jc w:val="left"/>
            </w:pPr>
            <w:r>
              <w:t xml:space="preserve">At least one study found crAssphage correction</w:t>
            </w:r>
            <w:r>
              <w:t xml:space="preserve"> </w:t>
            </w:r>
            <w:r>
              <w:rPr>
                <w:iCs/>
                <w:i/>
              </w:rPr>
              <w:t xml:space="preserve">worsened</w:t>
            </w:r>
            <w:r>
              <w:t xml:space="preserve"> </w:t>
            </w:r>
            <w:r>
              <w:t xml:space="preserve">best-fit model performance vs. raw data</w:t>
            </w:r>
          </w:p>
        </w:tc>
        <w:tc>
          <w:tcPr/>
          <w:p>
            <w:pPr>
              <w:pStyle w:val="Compact"/>
              <w:jc w:val="left"/>
            </w:pPr>
            <w:r>
              <w:t xml:space="preserve">Population-threshold-dependent; mixed correlation-improvement evidence</w:t>
            </w:r>
          </w:p>
        </w:tc>
      </w:tr>
      <w:tr>
        <w:tc>
          <w:tcPr/>
          <w:p>
            <w:pPr>
              <w:pStyle w:val="Compact"/>
              <w:jc w:val="left"/>
            </w:pPr>
            <w:r>
              <w:t xml:space="preserve">Microbial biomarker — human-associated Bacteroides (HF183, BacHuman) / mtDNA</w:t>
            </w:r>
          </w:p>
        </w:tc>
        <w:tc>
          <w:tcPr/>
          <w:p>
            <w:pPr>
              <w:pStyle w:val="Compact"/>
              <w:jc w:val="left"/>
            </w:pPr>
            <w:r>
              <w:t xml:space="preserve">Human-specific marker tracks true human fecal contribution</w:t>
            </w:r>
          </w:p>
        </w:tc>
        <w:tc>
          <w:tcPr/>
          <w:p>
            <w:pPr>
              <w:pStyle w:val="Compact"/>
              <w:jc w:val="left"/>
            </w:pPr>
            <w:r>
              <w:t xml:space="preserve">3</w:t>
            </w:r>
          </w:p>
        </w:tc>
        <w:tc>
          <w:tcPr/>
          <w:p>
            <w:pPr>
              <w:pStyle w:val="Compact"/>
              <w:jc w:val="left"/>
            </w:pPr>
            <w:r>
              <w:t xml:space="preserve">BacHuman outperformed HF183 on tested metrics in a 10-plant Southern Ontario comparison (Chettleburgh et al., 2023)</w:t>
            </w:r>
          </w:p>
        </w:tc>
        <w:tc>
          <w:tcPr/>
          <w:p>
            <w:pPr>
              <w:pStyle w:val="Compact"/>
              <w:jc w:val="left"/>
            </w:pPr>
            <w:r>
              <w:t xml:space="preserve">Fate/transport not guaranteed to match target pathogen (§6.6); PCR inhibition applies (§5.5)</w:t>
            </w:r>
          </w:p>
        </w:tc>
        <w:tc>
          <w:tcPr/>
          <w:p>
            <w:pPr>
              <w:pStyle w:val="Compact"/>
              <w:jc w:val="left"/>
            </w:pPr>
            <w:r>
              <w:t xml:space="preserve">Best where human-specificity, not just fecal-load tracking, is the priority</w:t>
            </w:r>
          </w:p>
        </w:tc>
      </w:tr>
      <w:tr>
        <w:tc>
          <w:tcPr/>
          <w:p>
            <w:pPr>
              <w:pStyle w:val="Compact"/>
              <w:jc w:val="left"/>
            </w:pPr>
            <w:r>
              <w:t xml:space="preserve">Ratio normalization (generic, any target/normalizer pair)</w:t>
            </w:r>
          </w:p>
        </w:tc>
        <w:tc>
          <w:tcPr/>
          <w:p>
            <w:pPr>
              <w:pStyle w:val="Compact"/>
              <w:jc w:val="left"/>
            </w:pPr>
            <w:r>
              <w:t xml:space="preserve">Target and normalizer share the relevant distortion mechanism and retain independent source information</w:t>
            </w:r>
          </w:p>
        </w:tc>
        <w:tc>
          <w:tcPr/>
          <w:p>
            <w:pPr>
              <w:pStyle w:val="Compact"/>
              <w:jc w:val="left"/>
            </w:pPr>
            <w:r>
              <w:t xml:space="preserve">5 (comparability), and instrumentally 1–4</w:t>
            </w:r>
          </w:p>
        </w:tc>
        <w:tc>
          <w:tcPr/>
          <w:p>
            <w:pPr>
              <w:pStyle w:val="Compact"/>
              <w:jc w:val="left"/>
            </w:pPr>
            <w:r>
              <w:t xml:space="preserve">Works when the §6.6 joint condition holds (mechanism established, not assumed, in this chapter)</w:t>
            </w:r>
          </w:p>
        </w:tc>
        <w:tc>
          <w:tcPr/>
          <w:p>
            <w:pPr>
              <w:pStyle w:val="Compact"/>
              <w:jc w:val="left"/>
            </w:pPr>
            <w:r>
              <w:t xml:space="preserve">Amplifies uncertainty when denominator nears LOD, or when decay/partitioning/recovery mismatch the target (§6.6)</w:t>
            </w:r>
          </w:p>
        </w:tc>
        <w:tc>
          <w:tcPr/>
          <w:p>
            <w:pPr>
              <w:pStyle w:val="Compact"/>
              <w:jc w:val="left"/>
            </w:pPr>
            <w:r>
              <w:t xml:space="preserve">Verify §6.9 questions 5–7 before adopting; do not assume by default</w:t>
            </w:r>
          </w:p>
        </w:tc>
      </w:tr>
    </w:tbl>
    <w:p>
      <w:pPr>
        <w:pStyle w:val="BlockText"/>
      </w:pPr>
      <w:r>
        <w:rPr>
          <w:bCs/>
          <w:b/>
        </w:rPr>
        <w:t xml:space="preserve">Box — Common misconceptions about normalization in WBE, addressed in this chapter</w:t>
      </w:r>
    </w:p>
    <w:p>
      <w:pPr>
        <w:numPr>
          <w:ilvl w:val="0"/>
          <w:numId w:val="1012"/>
        </w:numPr>
        <w:pStyle w:val="Compact"/>
      </w:pPr>
      <w:r>
        <w:rPr>
          <w:iCs/>
          <w:i/>
        </w:rPr>
        <w:t xml:space="preserve">“</w:t>
      </w:r>
      <w:r>
        <w:rPr>
          <w:iCs/>
          <w:i/>
        </w:rPr>
        <w:t xml:space="preserve">Load is always better than concentration.</w:t>
      </w:r>
      <w:r>
        <w:rPr>
          <w:iCs/>
          <w:i/>
        </w:rPr>
        <w:t xml:space="preserve">”</w:t>
      </w:r>
      <w:r>
        <w:t xml:space="preserve"> </w:t>
      </w:r>
      <w:r>
        <w:t xml:space="preserve">False as a blanket claim — the correct output depends on the inference goal (§6.1); load conversion requires flow data of adequate quality and still leaves population-fluctuation and mass-loss problems unaddressed (§6.2, §6.8).</w:t>
      </w:r>
    </w:p>
    <w:p>
      <w:pPr>
        <w:numPr>
          <w:ilvl w:val="0"/>
          <w:numId w:val="1012"/>
        </w:numPr>
        <w:pStyle w:val="Compact"/>
      </w:pPr>
      <w:r>
        <w:rPr>
          <w:iCs/>
          <w:i/>
        </w:rPr>
        <w:t xml:space="preserve">“</w:t>
      </w:r>
      <w:r>
        <w:rPr>
          <w:iCs/>
          <w:i/>
        </w:rPr>
        <w:t xml:space="preserve">PMMoV/crAssphage are validated best-practice normalizers.</w:t>
      </w:r>
      <w:r>
        <w:rPr>
          <w:iCs/>
          <w:i/>
        </w:rPr>
        <w:t xml:space="preserve">”</w:t>
      </w:r>
      <w:r>
        <w:t xml:space="preserve"> </w:t>
      </w:r>
      <w:r>
        <w:t xml:space="preserve">Not supported by the primary-study record assembled in §6.5 — performance is site-dependent, and multiple independent studies found no improvement or measurable deterioration in correlation with clinical data.</w:t>
      </w:r>
    </w:p>
    <w:p>
      <w:pPr>
        <w:numPr>
          <w:ilvl w:val="0"/>
          <w:numId w:val="1012"/>
        </w:numPr>
        <w:pStyle w:val="Compact"/>
      </w:pPr>
      <w:r>
        <w:rPr>
          <w:iCs/>
          <w:i/>
        </w:rPr>
        <w:t xml:space="preserve">“</w:t>
      </w:r>
      <w:r>
        <w:rPr>
          <w:iCs/>
          <w:i/>
        </w:rPr>
        <w:t xml:space="preserve">Normalizing by any human fecal marker corrects for rainfall.</w:t>
      </w:r>
      <w:r>
        <w:rPr>
          <w:iCs/>
          <w:i/>
        </w:rPr>
        <w:t xml:space="preserve">”</w:t>
      </w:r>
      <w:r>
        <w:t xml:space="preserve"> </w:t>
      </w:r>
      <w:r>
        <w:t xml:space="preserve">Only true if the marker and the target dilute, decay, and are recovered similarly under wet-weather conditions — an assumption to test (§6.6, §6.9 question 5–6), not a property automatic to</w:t>
      </w:r>
      <w:r>
        <w:t xml:space="preserve"> </w:t>
      </w:r>
      <w:r>
        <w:t xml:space="preserve">“</w:t>
      </w:r>
      <w:r>
        <w:t xml:space="preserve">being a fecal marker.</w:t>
      </w:r>
      <w:r>
        <w:t xml:space="preserve">”</w:t>
      </w:r>
    </w:p>
    <w:p>
      <w:pPr>
        <w:numPr>
          <w:ilvl w:val="0"/>
          <w:numId w:val="1012"/>
        </w:numPr>
        <w:pStyle w:val="Compact"/>
      </w:pPr>
      <w:r>
        <w:rPr>
          <w:iCs/>
          <w:i/>
        </w:rPr>
        <w:t xml:space="preserve">“</w:t>
      </w:r>
      <w:r>
        <w:rPr>
          <w:iCs/>
          <w:i/>
        </w:rPr>
        <w:t xml:space="preserve">A ratio is always less uncertain than either input alone.</w:t>
      </w:r>
      <w:r>
        <w:rPr>
          <w:iCs/>
          <w:i/>
        </w:rPr>
        <w:t xml:space="preserve">”</w:t>
      </w:r>
      <w:r>
        <w:t xml:space="preserve"> </w:t>
      </w:r>
      <w:r>
        <w:t xml:space="preserve">False in general — a ratio’s uncertainty exceeds its noisier input whenever the two errors are not correlated in a way that cancels, and is especially unstable when the denominator nears its detection limit (§6.6).</w:t>
      </w:r>
    </w:p>
    <w:p>
      <w:pPr>
        <w:numPr>
          <w:ilvl w:val="0"/>
          <w:numId w:val="1012"/>
        </w:numPr>
        <w:pStyle w:val="Compact"/>
      </w:pPr>
      <w:r>
        <w:rPr>
          <w:iCs/>
          <w:i/>
        </w:rPr>
        <w:t xml:space="preserve">“</w:t>
      </w:r>
      <w:r>
        <w:rPr>
          <w:iCs/>
          <w:i/>
        </w:rPr>
        <w:t xml:space="preserve">If normalization doesn’t obviously help, the fix is a better normalizer.</w:t>
      </w:r>
      <w:r>
        <w:rPr>
          <w:iCs/>
          <w:i/>
        </w:rPr>
        <w:t xml:space="preserve">”</w:t>
      </w:r>
      <w:r>
        <w:t xml:space="preserve"> </w:t>
      </w:r>
      <w:r>
        <w:t xml:space="preserve">Sometimes true, but §6.8 catalogs several distortions (CSO mass loss, sediment sequestration, unknown non-human sources, severe censoring, spatial non-identifiability) that no normalizer — however well chosen — can correct, because the lost information was never captured in the first place.</w:t>
      </w:r>
    </w:p>
    <w:bookmarkEnd w:id="51"/>
    <w:bookmarkStart w:id="52" w:name="Xe6c05389537ce402a4bf3a55daf238cfb7b00e1"/>
    <w:p>
      <w:pPr>
        <w:pStyle w:val="Heading3"/>
      </w:pPr>
      <w:r>
        <w:t xml:space="preserve">6.7 Target- and Purpose-Specific Normalization</w:t>
      </w:r>
    </w:p>
    <w:p>
      <w:pPr>
        <w:pStyle w:val="FirstParagraph"/>
      </w:pPr>
      <w:r>
        <w:t xml:space="preserve">§6.1–6.6 support a two-dimensional framework rather than a single recommended method, because the right normalization choice depends jointly on</w:t>
      </w:r>
      <w:r>
        <w:t xml:space="preserve"> </w:t>
      </w:r>
      <w:r>
        <w:rPr>
          <w:bCs/>
          <w:b/>
        </w:rPr>
        <w:t xml:space="preserve">what is being measured</w:t>
      </w:r>
      <w:r>
        <w:t xml:space="preserve"> </w:t>
      </w:r>
      <w:r>
        <w:t xml:space="preserve">and</w:t>
      </w:r>
      <w:r>
        <w:t xml:space="preserve"> </w:t>
      </w:r>
      <w:r>
        <w:rPr>
          <w:bCs/>
          <w:b/>
        </w:rPr>
        <w:t xml:space="preserve">what question is being asked of it</w:t>
      </w:r>
      <w:r>
        <w:t xml:space="preserve">.</w:t>
      </w:r>
    </w:p>
    <w:p>
      <w:pPr>
        <w:pStyle w:val="BodyText"/>
      </w:pPr>
      <w:r>
        <w:rPr>
          <w:bCs/>
          <w:b/>
        </w:rPr>
        <w:t xml:space="preserve">Dimension 1 — target type</w:t>
      </w:r>
      <w:r>
        <w:t xml:space="preserve">, ordered roughly by how well-characterized their transport/analytical behavior is in the evidence reviewed in this chapter and Chapter 4–5: enveloped vs. non-enveloped viruses (differ in environmental persistence and recovery-method sensitivity); bacteria and ARGs (DNA-based, generally more storage-stable than RNA per §5.6, but introduce the qPCR-vs-sequencing method-choice distortion); pharmaceuticals (chemical-biomarker observation model, §5.0, subject to ion suppression rather than PCR inhibition); illicit-drug metabolites (chemical-biomarker model, additionally requiring the pharmacokinetic correction-factor uncertainty discussed in §3.1); and exposure biomarkers (chemical-biomarker model, often with the least-characterized non-human/environmental source contributions of any class discussed in this review).</w:t>
      </w:r>
    </w:p>
    <w:p>
      <w:pPr>
        <w:pStyle w:val="BodyText"/>
      </w:pPr>
      <w:r>
        <w:rPr>
          <w:bCs/>
          <w:b/>
        </w:rPr>
        <w:t xml:space="preserve">Dimension 2 — inference purpose</w:t>
      </w:r>
      <w:r>
        <w:t xml:space="preserve">, per the §2.5 taxonomy: temporal trend detection (tolerant of a normalizer that is merely</w:t>
      </w:r>
      <w:r>
        <w:t xml:space="preserve"> </w:t>
      </w:r>
      <w:r>
        <w:rPr>
          <w:iCs/>
          <w:i/>
        </w:rPr>
        <w:t xml:space="preserve">consistent</w:t>
      </w:r>
      <w:r>
        <w:t xml:space="preserve">, even if not perfectly matched to the target’s fate, since a systematic but stable normalizer bias partially cancels across a time series); outbreak warning (prioritizes responsiveness and low lag over long-run precision, favoring simpler, faster-available normalizers such as flow over slower molecular biomarker assays); cross-site comparison (the most demanding case, requiring the joint §6.6 condition — shared distortion mechanism, independent source information — to hold consistently</w:t>
      </w:r>
      <w:r>
        <w:t xml:space="preserve"> </w:t>
      </w:r>
      <w:r>
        <w:rPr>
          <w:iCs/>
          <w:i/>
        </w:rPr>
        <w:t xml:space="preserve">across every site being compared</w:t>
      </w:r>
      <w:r>
        <w:t xml:space="preserve">, not just at any one of them); per-capita load estimation (requires §6.2’s mass-load conversion and §6.3’s population correction to both be defensible, not just one); and absolute population reconstruction (the most demanding purpose of all, requiring essentially every §6.1–6.6 correction to be simultaneously valid, and — per §6.8 below — frequently not achievable with currently available auxiliary data).</w:t>
      </w:r>
    </w:p>
    <w:p>
      <w:pPr>
        <w:pStyle w:val="BodyText"/>
      </w:pPr>
      <w:r>
        <w:rPr>
          <w:bCs/>
          <w:b/>
        </w:rPr>
        <w:t xml:space="preserve">No single normalization method serves all sixteen cells of this target-type-by-purpose matrix well.</w:t>
      </w:r>
      <w:r>
        <w:t xml:space="preserve"> </w:t>
      </w:r>
      <w:r>
        <w:t xml:space="preserve">A biomarker with excellent inter-individual excretion consistency but poor in-sewer stability (creatinine, §6.4) may be adequate for a same-day outbreak-warning application at a single site (where in-sewer degradation has less time to act) but inappropriate for cross-site comparison (where different sewer retention times at different sites will degrade it to different extents before sampling). Flow normalization may be the best available choice for per-capita load estimation in a well-instrumented, separated-sewer catchment, and simultaneously the worst available choice in a poorly-flow-monitored combined-sewer catchment during a wet-weather event (§6.2). The practical consequence, developed into an explicit procedure in §6.9, is that normalization strategy selection should be treated as a design decision conditioned on both dimensions, not a single default choice applied uniformly across a monitoring program’s entire target panel.</w:t>
      </w:r>
    </w:p>
    <w:bookmarkEnd w:id="52"/>
    <w:bookmarkStart w:id="53" w:name="when-normalization-fails"/>
    <w:p>
      <w:pPr>
        <w:pStyle w:val="Heading3"/>
      </w:pPr>
      <w:r>
        <w:t xml:space="preserve">6.8 When Normalization Fails</w:t>
      </w:r>
    </w:p>
    <w:p>
      <w:pPr>
        <w:pStyle w:val="FirstParagraph"/>
      </w:pPr>
      <w:r>
        <w:t xml:space="preserve">Some distortions cannot be corrected by any normalization strategy discussed in this chapter, regardless of how well-matched the auxiliary variable is chosen — this section exists specifically to prevent §6.9’s decision framework from being read as implying every situation has a normalization fix if only the right one is selected.</w:t>
      </w:r>
    </w:p>
    <w:p>
      <w:pPr>
        <w:numPr>
          <w:ilvl w:val="0"/>
          <w:numId w:val="1013"/>
        </w:numPr>
        <w:pStyle w:val="Compact"/>
      </w:pPr>
      <w:r>
        <w:rPr>
          <w:bCs/>
          <w:b/>
        </w:rPr>
        <w:t xml:space="preserve">Irreversible degradation</w:t>
      </w:r>
      <w:r>
        <w:t xml:space="preserve">: once a target has decayed below the point where its remaining signal bears a reconstructable relationship to the original source mass (as opposed to merely being reduced in magnitude by a known, correctable factor), no normalizer — however well-matched — restores the lost information; this is amplitude distortion crossing over into information loss in the §5.7 sense.</w:t>
      </w:r>
    </w:p>
    <w:p>
      <w:pPr>
        <w:numPr>
          <w:ilvl w:val="0"/>
          <w:numId w:val="1013"/>
        </w:numPr>
        <w:pStyle w:val="Compact"/>
      </w:pPr>
      <w:r>
        <w:rPr>
          <w:bCs/>
          <w:b/>
        </w:rPr>
        <w:t xml:space="preserve">Combined sewer overflow and other mass-loss pathways</w:t>
      </w:r>
      <w:r>
        <w:t xml:space="preserve">: material vented from the network before reaching the sampling point (§4.2) is not diluted, it is gone, and no ratio against a co-diluted normalizer can recover mass that never arrived at the sampling point in the first place — a fundamentally different failure mode from dilution, which normalization by definition can address, and one that requires overflow-event flagging and, where possible, exclusion or explicit flagging of affected samples rather than a correction factor.</w:t>
      </w:r>
    </w:p>
    <w:p>
      <w:pPr>
        <w:numPr>
          <w:ilvl w:val="0"/>
          <w:numId w:val="1013"/>
        </w:numPr>
        <w:pStyle w:val="Compact"/>
      </w:pPr>
      <w:r>
        <w:rPr>
          <w:bCs/>
          <w:b/>
        </w:rPr>
        <w:t xml:space="preserve">Sediment sequestration and delayed release</w:t>
      </w:r>
      <w:r>
        <w:t xml:space="preserve">: a target adsorbed to sediment during low-flow conditions and later resuspended during a subsequent flow event (§4.1) produces a</w:t>
      </w:r>
      <w:r>
        <w:t xml:space="preserve"> </w:t>
      </w:r>
      <w:r>
        <w:rPr>
          <w:iCs/>
          <w:i/>
        </w:rPr>
        <w:t xml:space="preserve">false</w:t>
      </w:r>
      <w:r>
        <w:t xml:space="preserve"> </w:t>
      </w:r>
      <w:r>
        <w:t xml:space="preserve">signal at the resuspension event that a same-day normalizer cannot distinguish from a true concurrent source-signal event, since the normalizer is (correctly) reporting present-day dilution/population conditions while the target signal is reporting a mixture of present-day and historical source material.</w:t>
      </w:r>
    </w:p>
    <w:p>
      <w:pPr>
        <w:numPr>
          <w:ilvl w:val="0"/>
          <w:numId w:val="1013"/>
        </w:numPr>
        <w:pStyle w:val="Compact"/>
      </w:pPr>
      <w:r>
        <w:rPr>
          <w:bCs/>
          <w:b/>
        </w:rPr>
        <w:t xml:space="preserve">Unknown non-human sources</w:t>
      </w:r>
      <w:r>
        <w:t xml:space="preserve">: industrial, agricultural, or veterinary contributions to either the target or the normalizer that are not characterized or quantified introduce a bias no population- or dilution-based correction is designed to detect, since such corrections implicitly assume all measured target and normalizer mass is human-sourced.</w:t>
      </w:r>
    </w:p>
    <w:p>
      <w:pPr>
        <w:numPr>
          <w:ilvl w:val="0"/>
          <w:numId w:val="1013"/>
        </w:numPr>
        <w:pStyle w:val="Compact"/>
      </w:pPr>
      <w:r>
        <w:rPr>
          <w:bCs/>
          <w:b/>
        </w:rPr>
        <w:t xml:space="preserve">Severe censoring below LOD/LOQ</w:t>
      </w:r>
      <w:r>
        <w:t xml:space="preserve">: as established in §6.6, a normalizer (or target) too often below detection cannot be normalized against with any numerical stability, and no error-propagation technique manufactures information that a censored measurement did not capture (§5.7’s information-loss category).</w:t>
      </w:r>
    </w:p>
    <w:p>
      <w:pPr>
        <w:numPr>
          <w:ilvl w:val="0"/>
          <w:numId w:val="1013"/>
        </w:numPr>
        <w:pStyle w:val="Compact"/>
      </w:pPr>
      <w:r>
        <w:rPr>
          <w:bCs/>
          <w:b/>
        </w:rPr>
        <w:t xml:space="preserve">Spatial mixing causing source non-identifiability</w:t>
      </w:r>
      <w:r>
        <w:t xml:space="preserve">: aggregation across sub-catchments with different true source signals (§3.0, §5.1) is not addressed by any of the temporal/dilution corrections in this chapter, since normalization operates on the aggregated signal at a single sampling point and cannot disaggregate contributions it never separately observed.</w:t>
      </w:r>
    </w:p>
    <w:p>
      <w:pPr>
        <w:numPr>
          <w:ilvl w:val="0"/>
          <w:numId w:val="1013"/>
        </w:numPr>
        <w:pStyle w:val="Compact"/>
      </w:pPr>
      <w:r>
        <w:rPr>
          <w:bCs/>
          <w:b/>
        </w:rPr>
        <w:t xml:space="preserve">Target and normalizer with structurally different fate and transport</w:t>
      </w:r>
      <w:r>
        <w:t xml:space="preserve">: the §6.6 mismatch condition, restated as a failure mode in its own right — when this mismatch is severe enough (e.g., a lipid-associated chemical target normalized against an aqueous-phase microbial marker), no amount of statistical sophistication in how the ratio is computed compensates for the two signals simply not tracking the same physical process.</w:t>
      </w:r>
    </w:p>
    <w:p>
      <w:pPr>
        <w:numPr>
          <w:ilvl w:val="0"/>
          <w:numId w:val="1013"/>
        </w:numPr>
        <w:pStyle w:val="Compact"/>
      </w:pPr>
      <w:r>
        <w:rPr>
          <w:bCs/>
          <w:b/>
        </w:rPr>
        <w:t xml:space="preserve">Structural model misspecification</w:t>
      </w:r>
      <w:r>
        <w:t xml:space="preserve">: choosing a functional form for</w:t>
      </w:r>
      <w:r>
        <w:t xml:space="preserve"> </w:t>
      </w:r>
      <m:oMath>
        <m:r>
          <m:rPr>
            <m:sty m:val="p"/>
            <m:scr m:val="script"/>
          </m:rPr>
          <m:t>N</m:t>
        </m:r>
      </m:oMath>
      <w:r>
        <w:t xml:space="preserve"> </w:t>
      </w:r>
      <w:r>
        <w:t xml:space="preserve">in §6.0’s schematic equation that does not match the true relationship between</w:t>
      </w:r>
      <w:r>
        <w:t xml:space="preserve"> </w:t>
      </w:r>
      <m:oMath>
        <m:acc>
          <m:accPr>
            <m:chr m:val="̂"/>
          </m:accPr>
          <m:e>
            <m:r>
              <m:t>Y</m:t>
            </m:r>
          </m:e>
        </m:acc>
        <m:d>
          <m:dPr>
            <m:begChr m:val="("/>
            <m:endChr m:val=")"/>
            <m:sepChr m:val=""/>
            <m:grow/>
          </m:dPr>
          <m:e>
            <m:r>
              <m:t>t</m:t>
            </m:r>
          </m:e>
        </m:d>
      </m:oMath>
      <w:r>
        <w:t xml:space="preserve"> </w:t>
      </w:r>
      <w:r>
        <w:t xml:space="preserve">and the auxiliary variables (e.g., assuming a simple multiplicative ratio when the true relationship is additive, threshold-dependent, or otherwise nonlinear) produces a normalized signal that is confidently wrong rather than honestly uncertain — arguably the worst outcome of the failure modes listed here, because it does not present as a failure.</w:t>
      </w:r>
    </w:p>
    <w:p>
      <w:pPr>
        <w:pStyle w:val="FirstParagraph"/>
      </w:pPr>
      <w:r>
        <w:t xml:space="preserve">These map onto §5.7’s three-way distortion taxonomy directly:</w:t>
      </w:r>
      <w:r>
        <w:t xml:space="preserve"> </w:t>
      </w:r>
      <w:r>
        <w:rPr>
          <w:bCs/>
          <w:b/>
        </w:rPr>
        <w:t xml:space="preserve">correctable bias</w:t>
      </w:r>
      <w:r>
        <w:t xml:space="preserve"> </w:t>
      </w:r>
      <w:r>
        <w:t xml:space="preserve">(dilution, population fluctuation, and other §6.1 goals when the joint §6.6 condition holds — normalization genuinely helps here);</w:t>
      </w:r>
      <w:r>
        <w:t xml:space="preserve"> </w:t>
      </w:r>
      <w:r>
        <w:rPr>
          <w:bCs/>
          <w:b/>
        </w:rPr>
        <w:t xml:space="preserve">partially correctable uncertainty</w:t>
      </w:r>
      <w:r>
        <w:t xml:space="preserve"> </w:t>
      </w:r>
      <w:r>
        <w:t xml:space="preserve">(cases where normalization reduces but does not eliminate bias or adds compensating random error, requiring the uncertainty to be carried forward explicitly rather than treated as resolved — the §5.7 random-error category); and</w:t>
      </w:r>
      <w:r>
        <w:t xml:space="preserve"> </w:t>
      </w:r>
      <w:r>
        <w:rPr>
          <w:bCs/>
          <w:b/>
        </w:rPr>
        <w:t xml:space="preserve">irreversible information loss</w:t>
      </w:r>
      <w:r>
        <w:t xml:space="preserve"> </w:t>
      </w:r>
      <w:r>
        <w:t xml:space="preserve">(every item in this section’s list — no normalization scheme converts these into correctable bias, and the honest response, as in §5.7, is acknowledging the resulting bound on identifiability in §7’s back-calculation and §8’s uncertainty propagation, not selecting a more sophisticated</w:t>
      </w:r>
      <w:r>
        <w:t xml:space="preserve"> </w:t>
      </w:r>
      <m:oMath>
        <m:r>
          <m:rPr>
            <m:sty m:val="p"/>
            <m:scr m:val="script"/>
          </m:rPr>
          <m:t>N</m:t>
        </m:r>
      </m:oMath>
      <w:r>
        <w:t xml:space="preserve">).</w:t>
      </w:r>
    </w:p>
    <w:bookmarkEnd w:id="53"/>
    <w:bookmarkStart w:id="57" w:name="X18d4b611a9dda0a7eb01fe2fa070751d82481c1"/>
    <w:p>
      <w:pPr>
        <w:pStyle w:val="Heading3"/>
      </w:pPr>
      <w:r>
        <w:t xml:space="preserve">6.9 Decision Framework for Selecting Normalization Strategies</w:t>
      </w:r>
    </w:p>
    <w:p>
      <w:pPr>
        <w:pStyle w:val="FirstParagraph"/>
      </w:pPr>
      <w:r>
        <w:t xml:space="preserve">The following eight questions, asked in sequence, structure the target-type/purpose-specific selection this chapter has argued for (§6.7), and are designed to be redrawable as a flowchart (Figure 1, described below) rather than applied as free-form prose:</w:t>
      </w:r>
    </w:p>
    <w:p>
      <w:pPr>
        <w:numPr>
          <w:ilvl w:val="0"/>
          <w:numId w:val="1014"/>
        </w:numPr>
        <w:pStyle w:val="Compact"/>
      </w:pPr>
      <w:r>
        <w:rPr>
          <w:bCs/>
          <w:b/>
        </w:rPr>
        <w:t xml:space="preserve">Is the study’s output a concentration trend, a mass load, or a per-capita load?</w:t>
      </w:r>
      <w:r>
        <w:t xml:space="preserve"> </w:t>
      </w:r>
      <w:r>
        <w:t xml:space="preserve">(§6.1) — determines whether flow normalization (goal 1–2) is even the relevant first step, or whether population correction (goal 3–4) must also be addressed.</w:t>
      </w:r>
    </w:p>
    <w:p>
      <w:pPr>
        <w:numPr>
          <w:ilvl w:val="0"/>
          <w:numId w:val="1014"/>
        </w:numPr>
        <w:pStyle w:val="Compact"/>
      </w:pPr>
      <w:r>
        <w:rPr>
          <w:bCs/>
          <w:b/>
        </w:rPr>
        <w:t xml:space="preserve">Is time-matched, reliable flow data available?</w:t>
      </w:r>
      <w:r>
        <w:t xml:space="preserve"> </w:t>
      </w:r>
      <w:r>
        <w:t xml:space="preserve">(§6.2) — if not, dilution correction must rely on an auxiliary dilution-sensitive marker (electrical conductivity, a chemical/microbial biomarker) instead of, or as a check on, flow.</w:t>
      </w:r>
    </w:p>
    <w:p>
      <w:pPr>
        <w:numPr>
          <w:ilvl w:val="0"/>
          <w:numId w:val="1014"/>
        </w:numPr>
        <w:pStyle w:val="Compact"/>
      </w:pPr>
      <w:r>
        <w:rPr>
          <w:bCs/>
          <w:b/>
        </w:rPr>
        <w:t xml:space="preserve">Is the service population stable over the analysis period, or does it fluctuate materially (commuting, tourism, seasonality)?</w:t>
      </w:r>
      <w:r>
        <w:t xml:space="preserve"> </w:t>
      </w:r>
      <w:r>
        <w:t xml:space="preserve">(§6.3) — determines whether</w:t>
      </w:r>
      <w:r>
        <w:t xml:space="preserve"> </w:t>
      </w:r>
      <m:oMath>
        <m:sSub>
          <m:e>
            <m:r>
              <m:t>P</m:t>
            </m:r>
          </m:e>
          <m:sub>
            <m:r>
              <m:rPr>
                <m:sty m:val="p"/>
              </m:rPr>
              <m:t>c</m:t>
            </m:r>
            <m:r>
              <m:rPr>
                <m:sty m:val="p"/>
              </m:rPr>
              <m:t>e</m:t>
            </m:r>
            <m:r>
              <m:rPr>
                <m:sty m:val="p"/>
              </m:rPr>
              <m:t>n</m:t>
            </m:r>
            <m:r>
              <m:rPr>
                <m:sty m:val="p"/>
              </m:rPr>
              <m:t>s</m:t>
            </m:r>
            <m:r>
              <m:rPr>
                <m:sty m:val="p"/>
              </m:rPr>
              <m:t>u</m:t>
            </m:r>
            <m:r>
              <m:rPr>
                <m:sty m:val="p"/>
              </m:rPr>
              <m:t>s</m:t>
            </m:r>
          </m:sub>
        </m:sSub>
      </m:oMath>
      <w:r>
        <w:t xml:space="preserve"> </w:t>
      </w:r>
      <w:r>
        <w:t xml:space="preserve">is defensible or a dynamic population estimate is required.</w:t>
      </w:r>
    </w:p>
    <w:p>
      <w:pPr>
        <w:numPr>
          <w:ilvl w:val="0"/>
          <w:numId w:val="1014"/>
        </w:numPr>
        <w:pStyle w:val="Compact"/>
      </w:pPr>
      <w:r>
        <w:rPr>
          <w:bCs/>
          <w:b/>
        </w:rPr>
        <w:t xml:space="preserve">Is there significant rainfall or inflow/infiltration during the study period?</w:t>
      </w:r>
      <w:r>
        <w:t xml:space="preserve"> </w:t>
      </w:r>
      <w:r>
        <w:t xml:space="preserve">(§4.2, §6.2, §6.8) — determines whether flow normalization alone is likely to be reliable (per Langeveld et al., 2022; Rainey et al., 2023) or is likely to become unreliable under high I&amp;I (per Darling et al., 2025), and whether combined-sewer-overflow mass loss (a §6.8 hard failure) needs to be flagged rather than corrected.</w:t>
      </w:r>
    </w:p>
    <w:p>
      <w:pPr>
        <w:numPr>
          <w:ilvl w:val="0"/>
          <w:numId w:val="1014"/>
        </w:numPr>
        <w:pStyle w:val="Compact"/>
      </w:pPr>
      <w:r>
        <w:rPr>
          <w:bCs/>
          <w:b/>
        </w:rPr>
        <w:t xml:space="preserve">Do the target and any candidate normalizer have similar in-sewer stability and decay kinetics?</w:t>
      </w:r>
      <w:r>
        <w:t xml:space="preserve"> </w:t>
      </w:r>
      <w:r>
        <w:t xml:space="preserve">(§4.1, §6.5, §6.6) — a mismatch here is the single most consequential, and most often unchecked, assumption in ratio normalization.</w:t>
      </w:r>
    </w:p>
    <w:p>
      <w:pPr>
        <w:numPr>
          <w:ilvl w:val="0"/>
          <w:numId w:val="1014"/>
        </w:numPr>
        <w:pStyle w:val="Compact"/>
      </w:pPr>
      <w:r>
        <w:rPr>
          <w:bCs/>
          <w:b/>
        </w:rPr>
        <w:t xml:space="preserve">Do the target and normalizer use the same sample matrix and analytical/extraction protocol?</w:t>
      </w:r>
      <w:r>
        <w:t xml:space="preserve"> </w:t>
      </w:r>
      <w:r>
        <w:t xml:space="preserve">(§5.3, §6.5, §6.6) — a mismatch here reintroduces §5.3’s matrix-partitioning inconsistency directly into the normalization step.</w:t>
      </w:r>
    </w:p>
    <w:p>
      <w:pPr>
        <w:numPr>
          <w:ilvl w:val="0"/>
          <w:numId w:val="1014"/>
        </w:numPr>
        <w:pStyle w:val="Compact"/>
      </w:pPr>
      <w:r>
        <w:rPr>
          <w:bCs/>
          <w:b/>
        </w:rPr>
        <w:t xml:space="preserve">Is the candidate normalizer frequently near its own LOD/LOQ in the samples being analyzed?</w:t>
      </w:r>
      <w:r>
        <w:t xml:space="preserve"> </w:t>
      </w:r>
      <w:r>
        <w:t xml:space="preserve">(§5.5, §6.6) — if so, ratio normalization is likely to be numerically unstable regardless of how well-matched the normalizer is on every other criterion.</w:t>
      </w:r>
    </w:p>
    <w:p>
      <w:pPr>
        <w:numPr>
          <w:ilvl w:val="0"/>
          <w:numId w:val="1014"/>
        </w:numPr>
        <w:pStyle w:val="Compact"/>
      </w:pPr>
      <w:r>
        <w:rPr>
          <w:bCs/>
          <w:b/>
        </w:rPr>
        <w:t xml:space="preserve">Is independent population or clinical-case data available to validate whether the chosen normalization actually improves correlation, rather than merely being assumed to?</w:t>
      </w:r>
      <w:r>
        <w:t xml:space="preserve"> </w:t>
      </w:r>
      <w:r>
        <w:t xml:space="preserve">(§6.4, §6.5’s mixed-evidence pattern) — the single most important question in this list, since §6.4–6.5 document numerous cases where an a priori plausible normalizer failed this check.</w:t>
      </w:r>
    </w:p>
    <w:p>
      <w:pPr>
        <w:pStyle w:val="FirstParagraph"/>
      </w:pPr>
      <w:r>
        <w:t xml:space="preserve">A</w:t>
      </w:r>
      <w:r>
        <w:t xml:space="preserve"> </w:t>
      </w:r>
      <w:r>
        <w:t xml:space="preserve">“</w:t>
      </w:r>
      <w:r>
        <w:t xml:space="preserve">no</w:t>
      </w:r>
      <w:r>
        <w:t xml:space="preserve">”</w:t>
      </w:r>
      <w:r>
        <w:t xml:space="preserve"> </w:t>
      </w:r>
      <w:r>
        <w:t xml:space="preserve">or</w:t>
      </w:r>
      <w:r>
        <w:t xml:space="preserve"> </w:t>
      </w:r>
      <w:r>
        <w:t xml:space="preserve">“</w:t>
      </w:r>
      <w:r>
        <w:t xml:space="preserve">uncertain</w:t>
      </w:r>
      <w:r>
        <w:t xml:space="preserve">”</w:t>
      </w:r>
      <w:r>
        <w:t xml:space="preserve"> </w:t>
      </w:r>
      <w:r>
        <w:t xml:space="preserve">answer at questions 5–7 specifically should be read as a warning against ratio normalization with that particular target/normalizer pair, not merely a caveat to note in a methods section — per §6.6’s central proposition, these are exactly the conditions under which a ratio actively adds uncertainty rather than removing it.</w:t>
      </w:r>
    </w:p>
    <w:p>
      <w:pPr>
        <w:pStyle w:val="CaptionedFigure"/>
      </w:pPr>
      <w:r>
        <w:drawing>
          <wp:inline>
            <wp:extent cx="6667500" cy="5281591"/>
            <wp:effectExtent b="0" l="0" r="0" t="0"/>
            <wp:docPr descr="Figure 1. Decision tree for purpose- and target-specific normalization, rendering the eight-question sequence above." title="" id="55" name="Picture"/>
            <a:graphic>
              <a:graphicData uri="http://schemas.openxmlformats.org/drawingml/2006/picture">
                <pic:pic>
                  <pic:nvPicPr>
                    <pic:cNvPr descr="WBE_Fig1_Normalization_Decision_Tree.png" id="56" name="Picture"/>
                    <pic:cNvPicPr>
                      <a:picLocks noChangeArrowheads="1" noChangeAspect="1"/>
                    </pic:cNvPicPr>
                  </pic:nvPicPr>
                  <pic:blipFill>
                    <a:blip r:embed="rId54"/>
                    <a:stretch>
                      <a:fillRect/>
                    </a:stretch>
                  </pic:blipFill>
                  <pic:spPr bwMode="auto">
                    <a:xfrm>
                      <a:off x="0" y="0"/>
                      <a:ext cx="6667500" cy="5281591"/>
                    </a:xfrm>
                    <a:prstGeom prst="rect">
                      <a:avLst/>
                    </a:prstGeom>
                    <a:noFill/>
                    <a:ln w="9525">
                      <a:noFill/>
                      <a:headEnd/>
                      <a:tailEnd/>
                    </a:ln>
                  </pic:spPr>
                </pic:pic>
              </a:graphicData>
            </a:graphic>
          </wp:inline>
        </w:drawing>
      </w:r>
    </w:p>
    <w:p>
      <w:pPr>
        <w:pStyle w:val="ImageCaption"/>
      </w:pPr>
      <w:r>
        <w:t xml:space="preserve">Figure 1. Decision tree for purpose- and target-specific normalization, rendering the eight-question sequence above.</w:t>
      </w:r>
    </w:p>
    <w:p>
      <w:pPr>
        <w:pStyle w:val="BodyText"/>
      </w:pPr>
      <w:r>
        <w:rPr>
          <w:iCs/>
          <w:i/>
        </w:rPr>
        <w:t xml:space="preserve">Also delivered as a standalone file,</w:t>
      </w:r>
      <w:r>
        <w:rPr>
          <w:iCs/>
          <w:i/>
        </w:rPr>
        <w:t xml:space="preserve"> </w:t>
      </w:r>
      <w:r>
        <w:rPr>
          <w:rStyle w:val="VerbatimChar"/>
          <w:iCs/>
          <w:i/>
        </w:rPr>
        <w:t xml:space="preserve">WBE_Fig1_Normalization_Decision_Tree.png</w:t>
      </w:r>
      <w:r>
        <w:rPr>
          <w:iCs/>
          <w:i/>
        </w:rPr>
        <w:t xml:space="preserve">, alongside this document.</w:t>
      </w:r>
    </w:p>
    <w:bookmarkEnd w:id="57"/>
    <w:bookmarkStart w:id="58" w:name="link-to-chapters-7-and-8"/>
    <w:p>
      <w:pPr>
        <w:pStyle w:val="Heading3"/>
      </w:pPr>
      <w:r>
        <w:t xml:space="preserve">6.10 Link to Chapters 7 and 8</w:t>
      </w:r>
    </w:p>
    <w:p>
      <w:pPr>
        <w:pStyle w:val="FirstParagraph"/>
      </w:pPr>
      <w:r>
        <w:t xml:space="preserve">Three points close this chapter and set up the two not-yet-drafted chapters that follow:</w:t>
      </w:r>
    </w:p>
    <w:p>
      <w:pPr>
        <w:numPr>
          <w:ilvl w:val="0"/>
          <w:numId w:val="1015"/>
        </w:numPr>
        <w:pStyle w:val="Compact"/>
      </w:pPr>
      <w:r>
        <w:rPr>
          <w:bCs/>
          <w:b/>
        </w:rPr>
        <w:t xml:space="preserve">Normalization produces an intermediate corrected signal,</w:t>
      </w:r>
      <w:r>
        <w:rPr>
          <w:bCs/>
          <w:b/>
        </w:rPr>
        <w:t xml:space="preserve"> </w:t>
      </w:r>
      <m:oMath>
        <m:r>
          <m:t>Z</m:t>
        </m:r>
        <m:d>
          <m:dPr>
            <m:begChr m:val="("/>
            <m:endChr m:val=")"/>
            <m:sepChr m:val=""/>
            <m:grow/>
          </m:dPr>
          <m:e>
            <m:r>
              <m:t>t</m:t>
            </m:r>
          </m:e>
        </m:d>
      </m:oMath>
      <w:r>
        <w:rPr>
          <w:bCs/>
          <w:b/>
        </w:rPr>
        <w:t xml:space="preserve">, not the final epidemiological estimate.</w:t>
      </w:r>
      <w:r>
        <w:t xml:space="preserve"> </w:t>
      </w:r>
      <w:r>
        <w:t xml:space="preserve">Everything in §6.1–6.9 operates on the reported, already-twice-distorted value from Chapter 5;</w:t>
      </w:r>
      <w:r>
        <w:t xml:space="preserve"> </w:t>
      </w:r>
      <m:oMath>
        <m:r>
          <m:t>Z</m:t>
        </m:r>
        <m:d>
          <m:dPr>
            <m:begChr m:val="("/>
            <m:endChr m:val=")"/>
            <m:sepChr m:val=""/>
            <m:grow/>
          </m:dPr>
          <m:e>
            <m:r>
              <m:t>t</m:t>
            </m:r>
          </m:e>
        </m:d>
      </m:oMath>
      <w:r>
        <w:t xml:space="preserve"> </w:t>
      </w:r>
      <w:r>
        <w:t xml:space="preserve">is a step closer to</w:t>
      </w:r>
      <w:r>
        <w:t xml:space="preserve"> </w:t>
      </w:r>
      <m:oMath>
        <m:r>
          <m:t>X</m:t>
        </m:r>
        <m:d>
          <m:dPr>
            <m:begChr m:val="("/>
            <m:endChr m:val=")"/>
            <m:sepChr m:val=""/>
            <m:grow/>
          </m:dPr>
          <m:e>
            <m:r>
              <m:t>τ</m:t>
            </m:r>
          </m:e>
        </m:d>
      </m:oMath>
      <w:r>
        <w:t xml:space="preserve"> </w:t>
      </w:r>
      <w:r>
        <w:t xml:space="preserve">than</w:t>
      </w:r>
      <w:r>
        <w:t xml:space="preserve"> </w:t>
      </w:r>
      <m:oMath>
        <m:acc>
          <m:accPr>
            <m:chr m:val="̂"/>
          </m:accPr>
          <m:e>
            <m:r>
              <m:t>Y</m:t>
            </m:r>
          </m:e>
        </m:acc>
        <m:d>
          <m:dPr>
            <m:begChr m:val="("/>
            <m:endChr m:val=")"/>
            <m:sepChr m:val=""/>
            <m:grow/>
          </m:dPr>
          <m:e>
            <m:r>
              <m:t>t</m:t>
            </m:r>
          </m:e>
        </m:d>
      </m:oMath>
      <w:r>
        <w:t xml:space="preserve"> </w:t>
      </w:r>
      <w:r>
        <w:t xml:space="preserve">was, when and only when the §6.6 joint condition and the §6.1 goal-matching are both satisfied, and is not a step closer, or is actively a step backward, when they are not (§6.4–6.5, §6.8).</w:t>
      </w:r>
    </w:p>
    <w:p>
      <w:pPr>
        <w:numPr>
          <w:ilvl w:val="0"/>
          <w:numId w:val="1015"/>
        </w:numPr>
        <w:pStyle w:val="Compact"/>
      </w:pPr>
      <w:r>
        <w:rPr>
          <w:bCs/>
          <w:b/>
        </w:rPr>
        <w:t xml:space="preserve">Chapter 7 will address how to go from</w:t>
      </w:r>
      <w:r>
        <w:rPr>
          <w:bCs/>
          <w:b/>
        </w:rPr>
        <w:t xml:space="preserve"> </w:t>
      </w:r>
      <m:oMath>
        <m:r>
          <m:t>Z</m:t>
        </m:r>
        <m:d>
          <m:dPr>
            <m:begChr m:val="("/>
            <m:endChr m:val=")"/>
            <m:sepChr m:val=""/>
            <m:grow/>
          </m:dPr>
          <m:e>
            <m:r>
              <m:t>t</m:t>
            </m:r>
          </m:e>
        </m:d>
      </m:oMath>
      <w:r>
        <w:rPr>
          <w:bCs/>
          <w:b/>
        </w:rPr>
        <w:t xml:space="preserve"> </w:t>
      </w:r>
      <w:r>
        <w:rPr>
          <w:bCs/>
          <w:b/>
        </w:rPr>
        <w:t xml:space="preserve">to an inverse reconstruction of</w:t>
      </w:r>
      <w:r>
        <w:rPr>
          <w:bCs/>
          <w:b/>
        </w:rPr>
        <w:t xml:space="preserve"> </w:t>
      </w:r>
      <m:oMath>
        <m:r>
          <m:t>X</m:t>
        </m:r>
        <m:d>
          <m:dPr>
            <m:begChr m:val="("/>
            <m:endChr m:val=")"/>
            <m:sepChr m:val=""/>
            <m:grow/>
          </m:dPr>
          <m:e>
            <m:r>
              <m:t>τ</m:t>
            </m:r>
          </m:e>
        </m:d>
      </m:oMath>
      <w:r>
        <w:t xml:space="preserve"> </w:t>
      </w:r>
      <w:r>
        <w:t xml:space="preserve">— trend detection, outbreak-warning thresholds, or absolute per-capita load/case estimation — building on the identifiability argument from §4.3 and this chapter’s demonstration that the auxiliary variables feeding</w:t>
      </w:r>
      <w:r>
        <w:t xml:space="preserve"> </w:t>
      </w:r>
      <m:oMath>
        <m:r>
          <m:rPr>
            <m:sty m:val="p"/>
            <m:scr m:val="script"/>
          </m:rPr>
          <m:t>N</m:t>
        </m:r>
      </m:oMath>
      <w:r>
        <w:t xml:space="preserve"> </w:t>
      </w:r>
      <w:r>
        <w:t xml:space="preserve">carry their own uncertainty that back-calculation cannot simply inherit as if</w:t>
      </w:r>
      <w:r>
        <w:t xml:space="preserve"> </w:t>
      </w:r>
      <m:oMath>
        <m:r>
          <m:t>Z</m:t>
        </m:r>
        <m:d>
          <m:dPr>
            <m:begChr m:val="("/>
            <m:endChr m:val=")"/>
            <m:sepChr m:val=""/>
            <m:grow/>
          </m:dPr>
          <m:e>
            <m:r>
              <m:t>t</m:t>
            </m:r>
          </m:e>
        </m:d>
      </m:oMath>
      <w:r>
        <w:t xml:space="preserve"> </w:t>
      </w:r>
      <w:r>
        <w:t xml:space="preserve">were error-free.</w:t>
      </w:r>
    </w:p>
    <w:p>
      <w:pPr>
        <w:numPr>
          <w:ilvl w:val="0"/>
          <w:numId w:val="1015"/>
        </w:numPr>
        <w:pStyle w:val="Compact"/>
      </w:pPr>
      <w:r>
        <w:rPr>
          <w:bCs/>
          <w:b/>
        </w:rPr>
        <w:t xml:space="preserve">Chapter 8 will propagate flow, population, biomarker, and analytical error jointly</w:t>
      </w:r>
      <w:r>
        <w:t xml:space="preserve"> </w:t>
      </w:r>
      <w:r>
        <w:t xml:space="preserve">through the full chain from §3.0’s source signal to a final confidence interval — and, per §6.8’s taxonomy, information that normalization could not recover must appear in that final chapter as</w:t>
      </w:r>
      <w:r>
        <w:t xml:space="preserve"> </w:t>
      </w:r>
      <w:r>
        <w:rPr>
          <w:bCs/>
          <w:b/>
        </w:rPr>
        <w:t xml:space="preserve">wider uncertainty bounds or explicit non-identifiability</w:t>
      </w:r>
      <w:r>
        <w:t xml:space="preserve">, not as a silently narrower interval produced by an arbitrarily chosen correction factor. This is the chapter’s final and most important handoff: a normalization scheme that cannot be shown to satisfy §6.6’s joint condition should not be allowed to produce false precision downstream, and §7–§8 are where that discipline must be enforced formally.</w:t>
      </w:r>
    </w:p>
    <w:p>
      <w:r>
        <w:pict>
          <v:rect style="width:0;height:1.5pt" o:hralign="center" o:hrstd="t" o:hr="t"/>
        </w:pict>
      </w:r>
    </w:p>
    <w:bookmarkEnd w:id="58"/>
    <w:bookmarkEnd w:id="59"/>
    <w:bookmarkStart w:id="69" w:name="Xe9988a244ba2b2f1f8651913ff3dd899b2d4477"/>
    <w:p>
      <w:pPr>
        <w:pStyle w:val="Heading2"/>
      </w:pPr>
      <w:r>
        <w:t xml:space="preserve">7. From Normalized Wastewater Signals to Population-Level Reconstruction: Back-Calculation, Identifiability, and Validation</w:t>
      </w:r>
    </w:p>
    <w:bookmarkStart w:id="60" w:name="X28b9dfc5d2f2ecad7b0642b2ad139d1ea3baa7f"/>
    <w:p>
      <w:pPr>
        <w:pStyle w:val="Heading3"/>
      </w:pPr>
      <w:r>
        <w:t xml:space="preserve">7.0 Bridge from Chapter 6, and Five Distinctions This Chapter Insists On</w:t>
      </w:r>
    </w:p>
    <w:p>
      <w:pPr>
        <w:pStyle w:val="FirstParagraph"/>
      </w:pPr>
      <w:r>
        <w:t xml:space="preserve">Chapter 6 produced</w:t>
      </w:r>
      <w:r>
        <w:t xml:space="preserve"> </w:t>
      </w:r>
      <m:oMath>
        <m:r>
          <m:t>Z</m:t>
        </m:r>
        <m:d>
          <m:dPr>
            <m:begChr m:val="("/>
            <m:endChr m:val=")"/>
            <m:sepChr m:val=""/>
            <m:grow/>
          </m:dPr>
          <m:e>
            <m:r>
              <m:t>t</m:t>
            </m:r>
          </m:e>
        </m:d>
      </m:oMath>
      <w:r>
        <w:t xml:space="preserve"> </w:t>
      </w:r>
      <w:r>
        <w:t xml:space="preserve">— a normalized signal, explicitly labeled in §6.10 as an intermediate correction, valid only when §6.6’s joint condition holds, not a reconstruction of the source state</w:t>
      </w:r>
      <w:r>
        <w:t xml:space="preserve"> </w:t>
      </w:r>
      <m:oMath>
        <m:r>
          <m:t>X</m:t>
        </m:r>
        <m:d>
          <m:dPr>
            <m:begChr m:val="("/>
            <m:endChr m:val=")"/>
            <m:sepChr m:val=""/>
            <m:grow/>
          </m:dPr>
          <m:e>
            <m:r>
              <m:t>τ</m:t>
            </m:r>
          </m:e>
        </m:d>
      </m:oMath>
      <w:r>
        <w:t xml:space="preserve"> </w:t>
      </w:r>
      <w:r>
        <w:t xml:space="preserve">introduced in §3.0. This chapter addresses the last, and in the published literature the least rigorously interrogated, step in the chain: turning</w:t>
      </w:r>
      <w:r>
        <w:t xml:space="preserve"> </w:t>
      </w:r>
      <m:oMath>
        <m:r>
          <m:t>Z</m:t>
        </m:r>
        <m:d>
          <m:dPr>
            <m:begChr m:val="("/>
            <m:endChr m:val=")"/>
            <m:sepChr m:val=""/>
            <m:grow/>
          </m:dPr>
          <m:e>
            <m:r>
              <m:t>t</m:t>
            </m:r>
          </m:e>
        </m:d>
      </m:oMath>
      <w:r>
        <w:t xml:space="preserve"> </w:t>
      </w:r>
      <w:r>
        <w:t xml:space="preserve">into a population-level epidemiological quantity — a trend, a warning, a consumption estimate, or an absolute case count — and asking what that quantity is actually entitled to claim.</w:t>
      </w:r>
    </w:p>
    <w:p>
      <w:pPr>
        <w:pStyle w:val="BodyText"/>
      </w:pPr>
      <w:r>
        <w:t xml:space="preserve">The central argument of this chapter is that the WBE literature routinely uses one piece of evidence — that a back-calculated quantity</w:t>
      </w:r>
      <w:r>
        <w:t xml:space="preserve"> </w:t>
      </w:r>
      <w:r>
        <w:rPr>
          <w:bCs/>
          <w:b/>
        </w:rPr>
        <w:t xml:space="preserve">is associated with, or correlates with,</w:t>
      </w:r>
      <w:r>
        <w:t xml:space="preserve"> </w:t>
      </w:r>
      <w:r>
        <w:t xml:space="preserve">an independent reference (usually clinical case counts) — to support claims that properly require up to four additional, distinct kinds of evidence. These five are not synonyms, do not imply one another, and — this is the point this chapter revises most substantially from an earlier draft —</w:t>
      </w:r>
      <w:r>
        <w:t xml:space="preserve"> </w:t>
      </w:r>
      <w:r>
        <w:rPr>
          <w:bCs/>
          <w:b/>
        </w:rPr>
        <w:t xml:space="preserve">two of them are routinely conflated in ways that obscure a real conceptual difference</w:t>
      </w:r>
      <w:r>
        <w:t xml:space="preserve">: parameter identifiability (can the numbers inside a model be pinned down) is not the same question as state observability (can the thing the model is trying to reconstruct — an infection curve, a consumption trajectory — be recovered at all), and neither is the same question as whether the model contains the right mechanisms in the first place.</w:t>
      </w:r>
    </w:p>
    <w:p>
      <w:pPr>
        <w:numPr>
          <w:ilvl w:val="0"/>
          <w:numId w:val="1016"/>
        </w:numPr>
        <w:pStyle w:val="Compact"/>
      </w:pPr>
      <w:r>
        <w:rPr>
          <w:bCs/>
          <w:b/>
        </w:rPr>
        <w:t xml:space="preserve">Association or correlation.</w:t>
      </w:r>
      <w:r>
        <w:t xml:space="preserve"> </w:t>
      </w:r>
      <w:r>
        <w:t xml:space="preserve">Does the back-calculated series covary with an independent reference series, typically measured by Pearson or Spearman correlation, often at an optimized time lag? This is the weakest and most commonly reported form of evidence in this literature, and it is agnostic to mechanism: two series can correlate well because the model is right, because both series share an unrelated common driver (e.g., both track a seasonal reporting artifact), or because the lag was optimized post hoc over a range wide enough to find</w:t>
      </w:r>
      <w:r>
        <w:t xml:space="preserve"> </w:t>
      </w:r>
      <w:r>
        <w:rPr>
          <w:iCs/>
          <w:i/>
        </w:rPr>
        <w:t xml:space="preserve">some</w:t>
      </w:r>
      <w:r>
        <w:t xml:space="preserve"> </w:t>
      </w:r>
      <w:r>
        <w:t xml:space="preserve">alignment by chance.</w:t>
      </w:r>
    </w:p>
    <w:p>
      <w:pPr>
        <w:numPr>
          <w:ilvl w:val="0"/>
          <w:numId w:val="1016"/>
        </w:numPr>
        <w:pStyle w:val="Compact"/>
      </w:pPr>
      <w:r>
        <w:rPr>
          <w:bCs/>
          <w:b/>
        </w:rPr>
        <w:t xml:space="preserve">Predictive performance.</w:t>
      </w:r>
      <w:r>
        <w:t xml:space="preserve"> </w:t>
      </w:r>
      <w:r>
        <w:t xml:space="preserve">Does a model built on</w:t>
      </w:r>
      <w:r>
        <w:t xml:space="preserve"> </w:t>
      </w:r>
      <m:oMath>
        <m:r>
          <m:t>Z</m:t>
        </m:r>
        <m:d>
          <m:dPr>
            <m:begChr m:val="("/>
            <m:endChr m:val=")"/>
            <m:sepChr m:val=""/>
            <m:grow/>
          </m:dPr>
          <m:e>
            <m:r>
              <m:t>t</m:t>
            </m:r>
          </m:e>
        </m:d>
      </m:oMath>
      <w:r>
        <w:t xml:space="preserve"> </w:t>
      </w:r>
      <w:r>
        <w:t xml:space="preserve">forecast an independent reference quantity</w:t>
      </w:r>
      <w:r>
        <w:t xml:space="preserve"> </w:t>
      </w:r>
      <w:r>
        <w:rPr>
          <w:iCs/>
          <w:i/>
        </w:rPr>
        <w:t xml:space="preserve">out of sample</w:t>
      </w:r>
      <w:r>
        <w:t xml:space="preserve"> </w:t>
      </w:r>
      <w:r>
        <w:t xml:space="preserve">— on data not used to fit the model — with a documented, quantified error (RMSE, mean absolute error, classification metrics for outbreak-alarm accuracy)? This is stronger evidence than in-sample correlation because it penalizes overfitting, but it still says nothing about whether the model’s internal structure or parameters correspond to real biological or physical quantities: a highly overparameterized model, or a pure black-box learner, can forecast well while having no individually meaningful parameters at all (Deva et al., 2021, developing exactly this point for compartmental epidemic models generally, not WBE-specifically — see §7.3).</w:t>
      </w:r>
    </w:p>
    <w:p>
      <w:pPr>
        <w:numPr>
          <w:ilvl w:val="0"/>
          <w:numId w:val="1016"/>
        </w:numPr>
        <w:pStyle w:val="Compact"/>
      </w:pPr>
      <w:r>
        <w:rPr>
          <w:bCs/>
          <w:b/>
        </w:rPr>
        <w:t xml:space="preserve">Parameter identifiability</w:t>
      </w:r>
      <w:r>
        <w:t xml:space="preserve"> </w:t>
      </w:r>
      <w:r>
        <w:t xml:space="preserve">— itself two distinct questions, not one:</w:t>
      </w:r>
      <w:r>
        <w:t xml:space="preserve"> </w:t>
      </w:r>
      <w:r>
        <w:rPr>
          <w:bCs/>
          <w:b/>
        </w:rPr>
        <w:t xml:space="preserve">structural parameter identifiability</w:t>
      </w:r>
      <w:r>
        <w:t xml:space="preserve"> </w:t>
      </w:r>
      <w:r>
        <w:t xml:space="preserve">asks whether a model’s parameters would be uniquely determined even given noise-free, continuous-time, infinite data — a property of the model equations and observation scheme alone, independent of any particular dataset.</w:t>
      </w:r>
      <w:r>
        <w:t xml:space="preserve"> </w:t>
      </w:r>
      <w:r>
        <w:rPr>
          <w:bCs/>
          <w:b/>
        </w:rPr>
        <w:t xml:space="preserve">Practical parameter identifiability</w:t>
      </w:r>
      <w:r>
        <w:t xml:space="preserve"> </w:t>
      </w:r>
      <w:r>
        <w:t xml:space="preserve">asks whether those parameters are</w:t>
      </w:r>
      <w:r>
        <w:t xml:space="preserve"> </w:t>
      </w:r>
      <w:r>
        <w:rPr>
          <w:iCs/>
          <w:i/>
        </w:rPr>
        <w:t xml:space="preserve">actually</w:t>
      </w:r>
      <w:r>
        <w:t xml:space="preserve"> </w:t>
      </w:r>
      <w:r>
        <w:t xml:space="preserve">recoverable, with usable precision, from the specific finite, noisy, discretely-sampled data at hand (Liyanage, Chowell, Pogudin, &amp; Tuncer, 2025). Both concern</w:t>
      </w:r>
      <w:r>
        <w:t xml:space="preserve"> </w:t>
      </w:r>
      <w:r>
        <w:rPr>
          <w:iCs/>
          <w:i/>
        </w:rPr>
        <w:t xml:space="preserve">parameters inside a given model</w:t>
      </w:r>
      <w:r>
        <w:t xml:space="preserve"> </w:t>
      </w:r>
      <w:r>
        <w:t xml:space="preserve">— a shedding-decay rate, a transmission coefficient, a correction factor — not the underlying epidemiological or consumption state itself.</w:t>
      </w:r>
    </w:p>
    <w:p>
      <w:pPr>
        <w:numPr>
          <w:ilvl w:val="0"/>
          <w:numId w:val="1016"/>
        </w:numPr>
        <w:pStyle w:val="Compact"/>
      </w:pPr>
      <w:r>
        <w:rPr>
          <w:bCs/>
          <w:b/>
        </w:rPr>
        <w:t xml:space="preserve">State observability / state identifiability.</w:t>
      </w:r>
      <w:r>
        <w:t xml:space="preserve"> </w:t>
      </w:r>
      <w:r>
        <w:t xml:space="preserve">Given the model and the observation equation connecting it to</w:t>
      </w:r>
      <w:r>
        <w:t xml:space="preserve"> </w:t>
      </w:r>
      <m:oMath>
        <m:r>
          <m:t>Z</m:t>
        </m:r>
        <m:d>
          <m:dPr>
            <m:begChr m:val="("/>
            <m:endChr m:val=")"/>
            <m:sepChr m:val=""/>
            <m:grow/>
          </m:dPr>
          <m:e>
            <m:r>
              <m:t>t</m:t>
            </m:r>
          </m:e>
        </m:d>
      </m:oMath>
      <w:r>
        <w:t xml:space="preserve">, can the underlying</w:t>
      </w:r>
      <w:r>
        <w:t xml:space="preserve"> </w:t>
      </w:r>
      <w:r>
        <w:rPr>
          <w:iCs/>
          <w:i/>
        </w:rPr>
        <w:t xml:space="preserve">latent state trajectory</w:t>
      </w:r>
      <w:r>
        <w:t xml:space="preserve"> </w:t>
      </w:r>
      <w:r>
        <w:t xml:space="preserve">— true infection prevalence over time, true per-capita consumption over time, true exposure over time — be recovered, even if every parameter in the model were somehow already known? This is a formally distinct question from parameter identifiability: a model can have every parameter uniquely pinned down and still have a latent state that is not recoverable from the available observation equation (too few independent observed outputs relative to state dimensions, a classic control-theoretic observability failure), and conversely a model’s state can in principle be reconstructed from the observations while individual parameters governing how it got there remain confounded. §7.2 works through a concrete case where this distinction matters.</w:t>
      </w:r>
    </w:p>
    <w:p>
      <w:pPr>
        <w:numPr>
          <w:ilvl w:val="0"/>
          <w:numId w:val="1016"/>
        </w:numPr>
        <w:pStyle w:val="Compact"/>
      </w:pPr>
      <w:r>
        <w:rPr>
          <w:bCs/>
          <w:b/>
        </w:rPr>
        <w:t xml:space="preserve">Model structural adequacy.</w:t>
      </w:r>
      <w:r>
        <w:t xml:space="preserve"> </w:t>
      </w:r>
      <w:r>
        <w:t xml:space="preserve">Even where parameters are identifiable and the state is observable in the mathematical sense, does the model include the mechanisms that actually govern the real system? A model can be internally consistent, well-fit to data, and mathematically well-posed, and still be the wrong model — missing combined-sewer-overflow mass loss (§4.2, §6.8), missing a confounding non-human source (§6.4–6.5), assuming a shedding kernel shape that does not match the pathogen’s true biology (§3.1) — in which case identifiability and observability are being computed for a system that is not the one generating the data.</w:t>
      </w:r>
    </w:p>
    <w:p>
      <w:pPr>
        <w:pStyle w:val="FirstParagraph"/>
      </w:pPr>
      <w:r>
        <w:t xml:space="preserve">These five are not a strict linear ladder the way the previous draft of this chapter implied — association and predictive performance are indeed weaker and more commonly available forms of evidence, but parameter identifiability, state observability, and structural adequacy are three</w:t>
      </w:r>
      <w:r>
        <w:t xml:space="preserve"> </w:t>
      </w:r>
      <w:r>
        <w:rPr>
          <w:bCs/>
          <w:b/>
        </w:rPr>
        <w:t xml:space="preserve">different axes</w:t>
      </w:r>
      <w:r>
        <w:t xml:space="preserve">, not three further rungs on the same ladder, and a model can score well on one while failing another. The single sentence this chapter asks to be taken most seriously, and the direct successor to this section’s argument in the previous draft:</w:t>
      </w:r>
    </w:p>
    <w:p>
      <w:pPr>
        <w:pStyle w:val="BlockText"/>
      </w:pPr>
      <w:r>
        <w:rPr>
          <w:bCs/>
          <w:b/>
        </w:rPr>
        <w:t xml:space="preserve">A numerically stable parameter estimate, accurate out-of-sample prediction, and apparently plausible reconstructed trajectory do not necessarily establish parameter identifiability, state observability, or structural adequacy of the inverse model.</w:t>
      </w:r>
    </w:p>
    <w:p>
      <w:pPr>
        <w:pStyle w:val="FirstParagraph"/>
      </w:pPr>
      <w:r>
        <w:t xml:space="preserve">§7.3 develops all five distinctions in full, with the parameter-identifiability/state-observability split kept explicit throughout rather than treated as interchangeable; §7.1–7.2 first lay out what back-calculation in WBE is actually trying to reconstruct, since the five-way distinction applies differently depending on the target.</w:t>
      </w:r>
    </w:p>
    <w:bookmarkEnd w:id="60"/>
    <w:bookmarkStart w:id="61" w:name="Xf34123896eae71b2e34ea1fee0704ab6978d041"/>
    <w:p>
      <w:pPr>
        <w:pStyle w:val="Heading3"/>
      </w:pPr>
      <w:r>
        <w:t xml:space="preserve">7.1 Two Reconstruction Goals: Consumption/Exposure and Infection-Level</w:t>
      </w:r>
    </w:p>
    <w:p>
      <w:pPr>
        <w:pStyle w:val="FirstParagraph"/>
      </w:pPr>
      <w:r>
        <w:rPr>
          <w:bCs/>
          <w:b/>
        </w:rPr>
        <w:t xml:space="preserve">7.1.1 Chemical consumption and exposure back-calculation.</w:t>
      </w:r>
      <w:r>
        <w:t xml:space="preserve"> </w:t>
      </w:r>
      <w:r>
        <w:t xml:space="preserve">For pharmaceutical, illicit-drug, and exposure-biomarker targets, the standard reconstruction is a mass-balance back-calculation converting the normalized signal into an estimated per-capita consumption or exposure rate:</w:t>
      </w:r>
    </w:p>
    <w:p>
      <w:pPr>
        <w:pStyle w:val="BodyText"/>
      </w:pPr>
      <m:oMathPara>
        <m:oMathParaPr>
          <m:jc m:val="center"/>
        </m:oMathParaPr>
        <m:oMath>
          <m:r>
            <m:t>M</m:t>
          </m:r>
          <m:d>
            <m:dPr>
              <m:begChr m:val="("/>
              <m:endChr m:val=")"/>
              <m:sepChr m:val=""/>
              <m:grow/>
            </m:dPr>
            <m:e>
              <m:r>
                <m:t>t</m:t>
              </m:r>
            </m:e>
          </m:d>
          <m:r>
            <m:rPr>
              <m:sty m:val="p"/>
            </m:rPr>
            <m:t>=</m:t>
          </m:r>
          <m:f>
            <m:fPr>
              <m:type m:val="bar"/>
            </m:fPr>
            <m:num>
              <m:r>
                <m:t>Z</m:t>
              </m:r>
              <m:d>
                <m:dPr>
                  <m:begChr m:val="("/>
                  <m:endChr m:val=")"/>
                  <m:sepChr m:val=""/>
                  <m:grow/>
                </m:dPr>
                <m:e>
                  <m:r>
                    <m:t>t</m:t>
                  </m:r>
                </m:e>
              </m:d>
              <m:r>
                <m:rPr>
                  <m:sty m:val="p"/>
                </m:rPr>
                <m:t>⋅</m:t>
              </m:r>
              <m:r>
                <m:t>C</m:t>
              </m:r>
              <m:r>
                <m:t>F</m:t>
              </m:r>
            </m:num>
            <m:den>
              <m:r>
                <m:t>P</m:t>
              </m:r>
              <m:d>
                <m:dPr>
                  <m:begChr m:val="("/>
                  <m:endChr m:val=")"/>
                  <m:sepChr m:val=""/>
                  <m:grow/>
                </m:dPr>
                <m:e>
                  <m:r>
                    <m:t>t</m:t>
                  </m:r>
                </m:e>
              </m:d>
            </m:den>
          </m:f>
        </m:oMath>
      </m:oMathPara>
    </w:p>
    <w:p>
      <w:pPr>
        <w:pStyle w:val="FirstParagraph"/>
      </w:pPr>
      <w:r>
        <w:t xml:space="preserve">where</w:t>
      </w:r>
      <w:r>
        <w:t xml:space="preserve"> </w:t>
      </w:r>
      <m:oMath>
        <m:r>
          <m:t>M</m:t>
        </m:r>
        <m:d>
          <m:dPr>
            <m:begChr m:val="("/>
            <m:endChr m:val=")"/>
            <m:sepChr m:val=""/>
            <m:grow/>
          </m:dPr>
          <m:e>
            <m:r>
              <m:t>t</m:t>
            </m:r>
          </m:e>
        </m:d>
      </m:oMath>
      <w:r>
        <w:t xml:space="preserve"> </w:t>
      </w:r>
      <w:r>
        <w:t xml:space="preserve">is estimated per-capita consumption/exposure mass, and</w:t>
      </w:r>
      <w:r>
        <w:t xml:space="preserve"> </w:t>
      </w:r>
      <m:oMath>
        <m:r>
          <m:t>C</m:t>
        </m:r>
        <m:r>
          <m:t>F</m:t>
        </m:r>
      </m:oMath>
      <w:r>
        <w:t xml:space="preserve"> </w:t>
      </w:r>
      <w:r>
        <w:t xml:space="preserve">is a correction factor bundling every conversion step between measured biomarker mass and true parent-compound consumption: the molar-mass ratio between biomarker and parent compound, the fraction of administered dose excreted as that specific biomarker (population-average pharmacokinetic excretion fraction), and any additional in-sewer transformation not already corrected in §4’s process-informed correction. Every term in</w:t>
      </w:r>
      <w:r>
        <w:t xml:space="preserve"> </w:t>
      </w:r>
      <m:oMath>
        <m:r>
          <m:t>C</m:t>
        </m:r>
        <m:r>
          <m:t>F</m:t>
        </m:r>
      </m:oMath>
      <w:r>
        <w:t xml:space="preserve"> </w:t>
      </w:r>
      <w:r>
        <w:t xml:space="preserve">is itself uncertain and, per §3.1’s discussion of pharmacokinetic correction-factor uncertainty, is typically drawn from clinical studies in populations that may not match the sewershed being monitored — meaning</w:t>
      </w:r>
      <w:r>
        <w:t xml:space="preserve"> </w:t>
      </w:r>
      <m:oMath>
        <m:r>
          <m:t>C</m:t>
        </m:r>
        <m:r>
          <m:t>F</m:t>
        </m:r>
      </m:oMath>
      <w:r>
        <w:t xml:space="preserve"> </w:t>
      </w:r>
      <w:r>
        <w:t xml:space="preserve">contributes systematic bias (§5.7) to</w:t>
      </w:r>
      <w:r>
        <w:t xml:space="preserve"> </w:t>
      </w:r>
      <m:oMath>
        <m:r>
          <m:t>M</m:t>
        </m:r>
        <m:d>
          <m:dPr>
            <m:begChr m:val="("/>
            <m:endChr m:val=")"/>
            <m:sepChr m:val=""/>
            <m:grow/>
          </m:dPr>
          <m:e>
            <m:r>
              <m:t>t</m:t>
            </m:r>
          </m:e>
        </m:d>
      </m:oMath>
      <w:r>
        <w:t xml:space="preserve"> </w:t>
      </w:r>
      <w:r>
        <w:t xml:space="preserve">that back-calculation cannot detect from the wastewater data alone, only from independent validation (§7.5). This is a</w:t>
      </w:r>
      <w:r>
        <w:t xml:space="preserve"> </w:t>
      </w:r>
      <w:r>
        <w:rPr>
          <w:bCs/>
          <w:b/>
        </w:rPr>
        <w:t xml:space="preserve">parameter identifiability</w:t>
      </w:r>
      <w:r>
        <w:t xml:space="preserve"> </w:t>
      </w:r>
      <w:r>
        <w:t xml:space="preserve">problem specifically (in the §7.0 sense):</w:t>
      </w:r>
      <w:r>
        <w:t xml:space="preserve"> </w:t>
      </w:r>
      <m:oMath>
        <m:r>
          <m:t>C</m:t>
        </m:r>
        <m:r>
          <m:t>F</m:t>
        </m:r>
      </m:oMath>
      <w:r>
        <w:t xml:space="preserve"> </w:t>
      </w:r>
      <w:r>
        <w:t xml:space="preserve">is a parameter inside the model, and its structural identifiability — whether it is even in principle separable from the measured biomarker mass given the model equations — is a different question from whether the resulting consumption trajectory</w:t>
      </w:r>
      <w:r>
        <w:t xml:space="preserve"> </w:t>
      </w:r>
      <m:oMath>
        <m:r>
          <m:t>M</m:t>
        </m:r>
        <m:d>
          <m:dPr>
            <m:begChr m:val="("/>
            <m:endChr m:val=")"/>
            <m:sepChr m:val=""/>
            <m:grow/>
          </m:dPr>
          <m:e>
            <m:r>
              <m:t>t</m:t>
            </m:r>
          </m:e>
        </m:d>
      </m:oMath>
      <w:r>
        <w:t xml:space="preserve"> </w:t>
      </w:r>
      <w:r>
        <w:t xml:space="preserve">(the latent</w:t>
      </w:r>
      <w:r>
        <w:t xml:space="preserve"> </w:t>
      </w:r>
      <w:r>
        <w:rPr>
          <w:iCs/>
          <w:i/>
        </w:rPr>
        <w:t xml:space="preserve">state</w:t>
      </w:r>
      <w:r>
        <w:t xml:space="preserve"> </w:t>
      </w:r>
      <w:r>
        <w:t xml:space="preserve">of interest) is itself observable.</w:t>
      </w:r>
    </w:p>
    <w:p>
      <w:pPr>
        <w:pStyle w:val="BodyText"/>
      </w:pPr>
      <w:r>
        <w:t xml:space="preserve">The foundational demonstration of this back-calculation approach estimated community-level illicit-drug consumption (cocaine, cannabis, amphetamines, opiates) from wastewater biomarker concentrations across three European cities (Milan, Lugano, London), establishing the deterministic mass-balance method still in common use (Zuccato, Chiabrando, Castiglioni, Bagnati, &amp; Fanelli, 2008; specific consumption-estimate figures pending full-text confirmation). That deterministic approach treats</w:t>
      </w:r>
      <w:r>
        <w:t xml:space="preserve"> </w:t>
      </w:r>
      <m:oMath>
        <m:r>
          <m:t>C</m:t>
        </m:r>
        <m:r>
          <m:t>F</m:t>
        </m:r>
      </m:oMath>
      <w:r>
        <w:t xml:space="preserve"> </w:t>
      </w:r>
      <w:r>
        <w:t xml:space="preserve">as a fixed, externally-supplied constant — a modeling choice that sidesteps the parameter-identifiability question by assumption rather than by demonstration, which is precisely the structural-adequacy concern §7.0 flags: the model may be internally consistent and its output may correlate with independent consumption surveys, without</w:t>
      </w:r>
      <w:r>
        <w:t xml:space="preserve"> </w:t>
      </w:r>
      <m:oMath>
        <m:r>
          <m:t>C</m:t>
        </m:r>
        <m:r>
          <m:t>F</m:t>
        </m:r>
      </m:oMath>
      <w:r>
        <w:t xml:space="preserve">’s components (excretion fraction, degradation losses) having been shown to be identifiable, or even correct, for the specific population being monitored. A structural-identifiability treatment of a closely related chemical fate-and-transformation back-calculation, applied to heroin and codeine biomarkers, found that several plausible transformation-pathway model structures fit the same observed biomarker data equally well while implying different transformation kinetics and different true consumption estimates — a direct, WBE-specific demonstration that good model fit (association/predictive performance) did not, by itself, establish which transformation pathway (and therefore which consumption estimate, and which value of</w:t>
      </w:r>
      <w:r>
        <w:t xml:space="preserve"> </w:t>
      </w:r>
      <m:oMath>
        <m:r>
          <m:t>C</m:t>
        </m:r>
        <m:r>
          <m:t>F</m:t>
        </m:r>
      </m:oMath>
      <w:r>
        <w:t xml:space="preserve">) was correct — a parameter-identifiability failure, not a state-observability one, since the pathway structure itself, not the consumption trajectory’s recoverability, was what remained ambiguous (Ramin et al., 2017; specific model-comparison statistics pending full-text confirmation).</w:t>
      </w:r>
    </w:p>
    <w:p>
      <w:pPr>
        <w:pStyle w:val="BodyText"/>
      </w:pPr>
      <w:r>
        <w:rPr>
          <w:bCs/>
          <w:b/>
        </w:rPr>
        <w:t xml:space="preserve">7.1.2 Pathogen infection-level back-calculation.</w:t>
      </w:r>
      <w:r>
        <w:t xml:space="preserve"> </w:t>
      </w:r>
      <w:r>
        <w:t xml:space="preserve">A systematic review of modeling strategies for infectious-disease wastewater surveillance (formally dated 2026, though available online in 2025) independently arrived at a broadly similar taxonomy — compartmental models, regression-based models, machine-learning/deep-learning approaches, and statistical approaches incorporating shedding and decay dynamics — while highlighting methodological limitations across the field consistent with this section’s argument (Wang, Amarasiri, Oishi, &amp; Sano, 2026; specific limitation findings pending full-text confirmation). This review’s method families, developed independently below, are organized differently — by degree of reliance on an explicit shedding/transport mechanism rather than by statistical family — specifically so that each can be evaluated directly against the §7.0 five-way framework in §7.4’s table, which is this section’s own contribution rather than a restatement of Wang et al.’s taxonomy. For pathogen targets, reconstruction methods used in the literature include (roughly in order of how much they rely on an explicit shedding/transport mechanism, least to most):</w:t>
      </w:r>
    </w:p>
    <w:p>
      <w:pPr>
        <w:numPr>
          <w:ilvl w:val="0"/>
          <w:numId w:val="1017"/>
        </w:numPr>
        <w:pStyle w:val="Compact"/>
      </w:pPr>
      <w:r>
        <w:rPr>
          <w:bCs/>
          <w:b/>
        </w:rPr>
        <w:t xml:space="preserve">Empirical regression against clinical case data</w:t>
      </w:r>
      <w:r>
        <w:t xml:space="preserve"> </w:t>
      </w:r>
      <w:r>
        <w:t xml:space="preserve">— fitting</w:t>
      </w:r>
      <w:r>
        <w:t xml:space="preserve"> </w:t>
      </w:r>
      <m:oMath>
        <m:r>
          <m:t>Z</m:t>
        </m:r>
        <m:d>
          <m:dPr>
            <m:begChr m:val="("/>
            <m:endChr m:val=")"/>
            <m:sepChr m:val=""/>
            <m:grow/>
          </m:dPr>
          <m:e>
            <m:r>
              <m:t>t</m:t>
            </m:r>
          </m:e>
        </m:d>
      </m:oMath>
      <w:r>
        <w:t xml:space="preserve"> </w:t>
      </w:r>
      <w:r>
        <w:t xml:space="preserve">directly to reported case counts, optionally at a lagged offset chosen to maximize fit. This produces association-level evidence only, by construction, since the regression coefficients have no independent biological interpretation and cannot be checked against anything other than the same case data they were fit to.</w:t>
      </w:r>
    </w:p>
    <w:p>
      <w:pPr>
        <w:numPr>
          <w:ilvl w:val="0"/>
          <w:numId w:val="1017"/>
        </w:numPr>
        <w:pStyle w:val="Compact"/>
      </w:pPr>
      <w:r>
        <w:rPr>
          <w:bCs/>
          <w:b/>
        </w:rPr>
        <w:t xml:space="preserve">Distributed-lag / time-lag regression models</w:t>
      </w:r>
      <w:r>
        <w:t xml:space="preserve"> </w:t>
      </w:r>
      <w:r>
        <w:t xml:space="preserve">— a more structured version of the same idea, explicitly modeling how case counts at time</w:t>
      </w:r>
      <w:r>
        <w:t xml:space="preserve"> </w:t>
      </w:r>
      <m:oMath>
        <m:r>
          <m:t>t</m:t>
        </m:r>
      </m:oMath>
      <w:r>
        <w:t xml:space="preserve"> </w:t>
      </w:r>
      <w:r>
        <w:t xml:space="preserve">depend on a weighted combination of wastewater signal values across a range of preceding lags, rather than a single optimized lag. A four-plant California study using wastewater settled-solids SARS-CoV-2 measurements found a distributed-lag model predicted COVID-19 incidence with documented, quantified out-of-sample error, and specifically examined how reduced sampling frequency degraded predictive accuracy — directly relevant to §5.1–5.2’s representativeness arguments applied at the reconstruction stage (Schoen, Wolfe, Li, Duong, White, Hughes, &amp; Boehm, 2022; specific RMSE figures pending full-text confirmation). This is predictive-performance-level evidence, evaluated properly out-of-sample, but — like simple lag correlation — does not by construction address parameter identifiability or state observability, since the distributed-lag weights are statistical smoothing coefficients, not mechanistically interpretable shedding or transport parameters.</w:t>
      </w:r>
    </w:p>
    <w:p>
      <w:pPr>
        <w:numPr>
          <w:ilvl w:val="0"/>
          <w:numId w:val="1017"/>
        </w:numPr>
        <w:pStyle w:val="Compact"/>
      </w:pPr>
      <w:r>
        <w:rPr>
          <w:bCs/>
          <w:b/>
        </w:rPr>
        <w:t xml:space="preserve">Deconvolution using an explicit shedding-kinetics kernel</w:t>
      </w:r>
      <w:r>
        <w:t xml:space="preserve"> </w:t>
      </w:r>
      <w:r>
        <w:t xml:space="preserve">— using an independently estimated distribution of individual shedding load over time since infection (connecting directly to §3.1’s shedding-heterogeneity discussion and the flagged Miura, Kitajima, &amp; Omori, 2021 source) to invert the aggregate wastewater signal back into an estimated infection-incidence curve, from which downstream epidemiological quantities (e.g., the effective reproductive number</w:t>
      </w:r>
      <w:r>
        <w:t xml:space="preserve"> </w:t>
      </w:r>
      <m:oMath>
        <m:sSub>
          <m:e>
            <m:r>
              <m:t>R</m:t>
            </m:r>
          </m:e>
          <m:sub>
            <m:r>
              <m:t>t</m:t>
            </m:r>
          </m:sub>
        </m:sSub>
      </m:oMath>
      <w:r>
        <w:t xml:space="preserve">) can be estimated using standard epidemiological tools. A widely cited implementation combined deconvolution with the established EpiEstim renewal-equation method to estimate</w:t>
      </w:r>
      <w:r>
        <w:t xml:space="preserve"> </w:t>
      </w:r>
      <m:oMath>
        <m:sSub>
          <m:e>
            <m:r>
              <m:t>R</m:t>
            </m:r>
          </m:e>
          <m:sub>
            <m:r>
              <m:t>t</m:t>
            </m:r>
          </m:sub>
        </m:sSub>
      </m:oMath>
      <w:r>
        <w:t xml:space="preserve"> </w:t>
      </w:r>
      <w:r>
        <w:t xml:space="preserve">directly from wastewater SARS-CoV-2 RNA data, independent of clinical case data, and found the wastewater-based</w:t>
      </w:r>
      <w:r>
        <w:t xml:space="preserve"> </w:t>
      </w:r>
      <m:oMath>
        <m:sSub>
          <m:e>
            <m:r>
              <m:t>R</m:t>
            </m:r>
          </m:e>
          <m:sub>
            <m:r>
              <m:t>t</m:t>
            </m:r>
          </m:sub>
        </m:sSub>
      </m:oMath>
      <w:r>
        <w:t xml:space="preserve"> </w:t>
      </w:r>
      <w:r>
        <w:t xml:space="preserve">estimate tracked the clinical-case-based estimate while remaining available during periods when clinical testing access changed (a genuine advantage over association-only approaches, since</w:t>
      </w:r>
      <w:r>
        <w:t xml:space="preserve"> </w:t>
      </w:r>
      <m:oMath>
        <m:sSub>
          <m:e>
            <m:r>
              <m:t>R</m:t>
            </m:r>
          </m:e>
          <m:sub>
            <m:r>
              <m:t>t</m:t>
            </m:r>
          </m:sub>
        </m:sSub>
      </m:oMath>
      <w:r>
        <w:t xml:space="preserve"> </w:t>
      </w:r>
      <w:r>
        <w:t xml:space="preserve">is itself a mechanistically defined, independently interpretable epidemiological quantity, not a curve-fit artifact) (Huisman, Scire, Caduff, Fernandez-Cassi, Ganesanandamoorthy, Kull, Scheidegger, Stachler, Boehm, Hughes, Knudson, Topol, Wigginton, Wolfe, Kohn, Ort, Stadler, &amp; Julian, 2022). This is the strongest example of</w:t>
      </w:r>
      <w:r>
        <w:t xml:space="preserve"> </w:t>
      </w:r>
      <w:r>
        <w:rPr>
          <w:iCs/>
          <w:i/>
        </w:rPr>
        <w:t xml:space="preserve">state-observability-relevant</w:t>
      </w:r>
      <w:r>
        <w:t xml:space="preserve"> </w:t>
      </w:r>
      <w:r>
        <w:t xml:space="preserve">evidence in this review’s evidence base —</w:t>
      </w:r>
      <w:r>
        <w:t xml:space="preserve"> </w:t>
      </w:r>
      <m:oMath>
        <m:sSub>
          <m:e>
            <m:r>
              <m:t>R</m:t>
            </m:r>
          </m:e>
          <m:sub>
            <m:r>
              <m:t>t</m:t>
            </m:r>
          </m:sub>
        </m:sSub>
      </m:oMath>
      <w:r>
        <w:t xml:space="preserve"> </w:t>
      </w:r>
      <w:r>
        <w:t xml:space="preserve">is a latent-state quantity, and grounding the shedding kernel externally is precisely what makes its recovery from</w:t>
      </w:r>
      <w:r>
        <w:t xml:space="preserve"> </w:t>
      </w:r>
      <m:oMath>
        <m:r>
          <m:t>Z</m:t>
        </m:r>
        <m:d>
          <m:dPr>
            <m:begChr m:val="("/>
            <m:endChr m:val=")"/>
            <m:sepChr m:val=""/>
            <m:grow/>
          </m:dPr>
          <m:e>
            <m:r>
              <m:t>t</m:t>
            </m:r>
          </m:e>
        </m:d>
      </m:oMath>
      <w:r>
        <w:t xml:space="preserve"> </w:t>
      </w:r>
      <w:r>
        <w:t xml:space="preserve">better-posed — though even here the practical question of whether shedding-kernel shape and</w:t>
      </w:r>
      <w:r>
        <w:t xml:space="preserve"> </w:t>
      </w:r>
      <m:oMath>
        <m:sSub>
          <m:e>
            <m:r>
              <m:t>R</m:t>
            </m:r>
          </m:e>
          <m:sub>
            <m:r>
              <m:t>t</m:t>
            </m:r>
          </m:sub>
        </m:sSub>
      </m:oMath>
      <w:r>
        <w:t xml:space="preserve"> </w:t>
      </w:r>
      <w:r>
        <w:t xml:space="preserve">trajectory are separably estimable (a parameter-identifiability question, distinct from whether</w:t>
      </w:r>
      <w:r>
        <w:t xml:space="preserve"> </w:t>
      </w:r>
      <m:oMath>
        <m:sSub>
          <m:e>
            <m:r>
              <m:t>R</m:t>
            </m:r>
          </m:e>
          <m:sub>
            <m:r>
              <m:t>t</m:t>
            </m:r>
          </m:sub>
        </m:sSub>
      </m:oMath>
      <w:r>
        <w:t xml:space="preserve"> </w:t>
      </w:r>
      <w:r>
        <w:t xml:space="preserve">itself is observable given a correct kernel) is one the source itself investigates but does not claim to fully resolve (specific findings pending full-text confirmation).</w:t>
      </w:r>
    </w:p>
    <w:p>
      <w:pPr>
        <w:numPr>
          <w:ilvl w:val="0"/>
          <w:numId w:val="1017"/>
        </w:numPr>
        <w:pStyle w:val="Compact"/>
      </w:pPr>
      <w:r>
        <w:rPr>
          <w:bCs/>
          <w:b/>
        </w:rPr>
        <w:t xml:space="preserve">Bayesian hierarchical / state-space models</w:t>
      </w:r>
      <w:r>
        <w:t xml:space="preserve"> </w:t>
      </w:r>
      <w:r>
        <w:t xml:space="preserve">— treating the true infection-incidence curve as a latent variable (a</w:t>
      </w:r>
      <w:r>
        <w:t xml:space="preserve"> </w:t>
      </w:r>
      <w:r>
        <w:rPr>
          <w:bCs/>
          <w:b/>
        </w:rPr>
        <w:t xml:space="preserve">state observability</w:t>
      </w:r>
      <w:r>
        <w:t xml:space="preserve"> </w:t>
      </w:r>
      <w:r>
        <w:t xml:space="preserve">framing by construction) with an explicit measurement-error model connecting it to observed</w:t>
      </w:r>
      <w:r>
        <w:t xml:space="preserve"> </w:t>
      </w:r>
      <m:oMath>
        <m:r>
          <m:t>Z</m:t>
        </m:r>
        <m:d>
          <m:dPr>
            <m:begChr m:val="("/>
            <m:endChr m:val=")"/>
            <m:sepChr m:val=""/>
            <m:grow/>
          </m:dPr>
          <m:e>
            <m:r>
              <m:t>t</m:t>
            </m:r>
          </m:e>
        </m:d>
      </m:oMath>
      <w:r>
        <w:t xml:space="preserve">, propagating uncertainty through to the final estimate rather than producing a single point estimate. A Bayesian functional-data-analysis framework developed for a Calgary monitoring program modeled weekly, sometimes-missing wastewater SARS-CoV-2 measurements as a noisy realization of a smooth latent process, and used this to predict daily case counts — an explicit attempt at addressing state observability under irregular, incomplete observation, rather than assuming a fully-observed input series (Dai, Acosta, Lu, Hubert, et al., 2024; specific predictive-accuracy figures pending full-text confirmation). This method family is the natural extension of §6.6’s recommendation to treat ratio-normalized signals probabilistically rather than as error-free inputs, now applied one stage further downstream, and it is the family best positioned in principle to report state-observability diagnostics (posterior width, posterior predictive checks — see §7.5), though whether a given implementation actually reports them, rather than only a point estimate, varies by study.</w:t>
      </w:r>
    </w:p>
    <w:p>
      <w:pPr>
        <w:numPr>
          <w:ilvl w:val="0"/>
          <w:numId w:val="1017"/>
        </w:numPr>
        <w:pStyle w:val="Compact"/>
      </w:pPr>
      <w:r>
        <w:rPr>
          <w:bCs/>
          <w:b/>
        </w:rPr>
        <w:t xml:space="preserve">Compartmental (SEIR-type) models coupled to a wastewater observation equation</w:t>
      </w:r>
      <w:r>
        <w:t xml:space="preserve"> </w:t>
      </w:r>
      <w:r>
        <w:t xml:space="preserve">— embedding</w:t>
      </w:r>
      <w:r>
        <w:t xml:space="preserve"> </w:t>
      </w:r>
      <m:oMath>
        <m:r>
          <m:t>Z</m:t>
        </m:r>
        <m:d>
          <m:dPr>
            <m:begChr m:val="("/>
            <m:endChr m:val=")"/>
            <m:sepChr m:val=""/>
            <m:grow/>
          </m:dPr>
          <m:e>
            <m:r>
              <m:t>t</m:t>
            </m:r>
          </m:e>
        </m:d>
      </m:oMath>
      <w:r>
        <w:t xml:space="preserve"> </w:t>
      </w:r>
      <w:r>
        <w:t xml:space="preserve">as one observed output of a mechanistic transmission model (alongside, potentially, clinical case data as a second observed output), allowing joint estimation of transmission parameters and infection prevalence. A South Carolina study built exactly this kind of model, using the mass rate of wastewater SARS-CoV-2 RNA to drive an SEIR structure and estimate total infected individuals per sewershed (McMahan, Self, Rennert, Kalbaugh, Kriebel, Graves, Colby, Deaver, Popat, Karanfil, &amp; Freedman, 2021; specific infection-count estimates pending full-text confirmation). This class of model is exactly where the general epidemic-model non-identifiability literature applies most directly: compartmental models are well documented to frequently have non-identifiable or only weakly, practically identifiable parameter combinations even when fit to clinical case data alone (Deva et al., 2021; Liyanage et al., 2025), and adding a wastewater observation equation does not automatically resolve either the parameter-identifiability problem (are the transmission/shedding parameters separably estimable) or the state-observability problem (is the infection-prevalence trajectory itself recoverable) — it can improve one or both if the wastewater signal carries genuinely independent information about the epidemic state, or leave them unresolved if the wastewater signal is itself just a noisy, delayed proxy for the same underlying case-count information.</w:t>
      </w:r>
    </w:p>
    <w:p>
      <w:pPr>
        <w:numPr>
          <w:ilvl w:val="0"/>
          <w:numId w:val="1017"/>
        </w:numPr>
        <w:pStyle w:val="Compact"/>
      </w:pPr>
      <w:r>
        <w:rPr>
          <w:bCs/>
          <w:b/>
        </w:rPr>
        <w:t xml:space="preserve">Machine learning / data-driven forecasting</w:t>
      </w:r>
      <w:r>
        <w:t xml:space="preserve"> </w:t>
      </w:r>
      <w:r>
        <w:t xml:space="preserve">— training a model (regression, random forest, LSTM, or similar) to predict case counts or hospitalizations from</w:t>
      </w:r>
      <w:r>
        <w:t xml:space="preserve"> </w:t>
      </w:r>
      <m:oMath>
        <m:r>
          <m:t>Z</m:t>
        </m:r>
        <m:d>
          <m:dPr>
            <m:begChr m:val="("/>
            <m:endChr m:val=")"/>
            <m:sepChr m:val=""/>
            <m:grow/>
          </m:dPr>
          <m:e>
            <m:r>
              <m:t>t</m:t>
            </m:r>
          </m:e>
        </m:d>
      </m:oMath>
      <w:r>
        <w:t xml:space="preserve"> </w:t>
      </w:r>
      <w:r>
        <w:t xml:space="preserve">and auxiliary features, evaluated on held-out data. A multi-community comparison using a 70/30 train/test split found ML models achieving useful short-horizon predictive performance for outbreak-trend prediction across several sewersheds (Ai, He, Lancaster, &amp; Lee, 2022; specific performance metrics pending full-text confirmation). This method family is the clearest illustration of predictive performance without either parameter identifiability or state observability being meaningfully addressable: a trained ML model can forecast well while containing no individually interpretable epidemiological parameter and no explicit latent-state representation at all — it is not that its parameters are non-identifiable or its state unobservable in the technical sense, but that it was never built with parameters or a state representation in the first place, which is a legitimate design choice for a pure forecasting tool but disqualifies it from supporting any claim about mechanistic reconstruction or structural adequacy.</w:t>
      </w:r>
    </w:p>
    <w:p>
      <w:pPr>
        <w:numPr>
          <w:ilvl w:val="0"/>
          <w:numId w:val="1017"/>
        </w:numPr>
        <w:pStyle w:val="Compact"/>
      </w:pPr>
      <w:r>
        <w:rPr>
          <w:bCs/>
          <w:b/>
        </w:rPr>
        <w:t xml:space="preserve">Multi-model ensembles and data assimilation</w:t>
      </w:r>
      <w:r>
        <w:t xml:space="preserve"> </w:t>
      </w:r>
      <w:r>
        <w:t xml:space="preserve">— combining multiple models or multiple data streams within a single estimation or comparison framework, on the premise that distortions and gaps in any one model or data stream can be partially compensated by independent information in another. A retrospective U.S. national study compared 11 forecasting models (ARIMA, generalized additive models, simple linear regression, Prophet, and an n-sub-epidemic ensemble framework) applied to CDC wastewater surveillance data across a 2022–2024 window, evaluating predictive performance across the ensemble (Alhassan, Karami, Bleichrodt, Hyman, Fung, Luo, &amp; Chowell, 2025 arXiv preprint; specific model-ranking figures pending full-text confirmation).</w:t>
      </w:r>
      <w:r>
        <w:t xml:space="preserve"> </w:t>
      </w:r>
      <w:r>
        <w:rPr>
          <w:bCs/>
          <w:b/>
        </w:rPr>
        <w:t xml:space="preserve">This specific study is a multi-model ensemble on a single wastewater data source, not a clinical+mobility+genomic multi-source fusion study</w:t>
      </w:r>
      <w:r>
        <w:t xml:space="preserve"> </w:t>
      </w:r>
      <w:r>
        <w:t xml:space="preserve">— this review found no directly comparable primary WBE study explicitly fusing wastewater with independent clinical, mobility, and genomic streams within one estimation framework, which is itself worth noting as a gap in the current evidence base rather than assumed to be well-populated. The general argument for this family — that additional independent data streams are precisely what can convert a structurally non-identifiable or unobservable single-stream model into an identifiable, observable multi-stream one — remains a theoretical one in this review’s evidence base until a study of that specific (rather than single-source multi-model) design is identified.</w:t>
      </w:r>
    </w:p>
    <w:p>
      <w:pPr>
        <w:pStyle w:val="FirstParagraph"/>
      </w:pPr>
      <w:r>
        <w:t xml:space="preserve">Three distinct outputs recur across these methods, and — consistent with the original framing this chapter inherits — should not be conflated:</w:t>
      </w:r>
      <w:r>
        <w:t xml:space="preserve"> </w:t>
      </w:r>
      <w:r>
        <w:rPr>
          <w:bCs/>
          <w:b/>
        </w:rPr>
        <w:t xml:space="preserve">trend identification</w:t>
      </w:r>
      <w:r>
        <w:t xml:space="preserve"> </w:t>
      </w:r>
      <w:r>
        <w:t xml:space="preserve">(is the signal rising, falling, or plateauing),</w:t>
      </w:r>
      <w:r>
        <w:t xml:space="preserve"> </w:t>
      </w:r>
      <w:r>
        <w:rPr>
          <w:bCs/>
          <w:b/>
        </w:rPr>
        <w:t xml:space="preserve">early-warning/anomaly detection</w:t>
      </w:r>
      <w:r>
        <w:t xml:space="preserve"> </w:t>
      </w:r>
      <w:r>
        <w:t xml:space="preserve">(has the signal moved outside an expected range, warranting investigation), and</w:t>
      </w:r>
      <w:r>
        <w:t xml:space="preserve"> </w:t>
      </w:r>
      <w:r>
        <w:rPr>
          <w:bCs/>
          <w:b/>
        </w:rPr>
        <w:t xml:space="preserve">absolute-magnitude estimation</w:t>
      </w:r>
      <w:r>
        <w:t xml:space="preserve"> </w:t>
      </w:r>
      <w:r>
        <w:t xml:space="preserve">(how many people are currently infected, or how much of a substance is being consumed, in absolute terms). Trend identification is the least demanding of the five-way distinction in §7.0 — it can be supported by association-level evidence alone, since a correctly-signed trend does not require the underlying model to be identifiable or its state observable, only monotonically related to the true signal. Absolute-magnitude estimation is the most demanding — it requires, at minimum, parameter identifiability and state observability jointly, and, per §7.0, neither is guaranteed by the other, while structural adequacy is a further, independent requirement for the number to mean what it claims to mean. This is the direct, and probably the single most important, methodological argument in this chapter:</w:t>
      </w:r>
      <w:r>
        <w:t xml:space="preserve"> </w:t>
      </w:r>
      <w:r>
        <w:rPr>
          <w:bCs/>
          <w:b/>
        </w:rPr>
        <w:t xml:space="preserve">wastewater signals used for trend detection are markedly more evidentially robust than the same signals used to claim an absolute case count or consumption estimate, and the literature’s own confidence language does not always track this distinction.</w:t>
      </w:r>
    </w:p>
    <w:bookmarkEnd w:id="61"/>
    <w:bookmarkStart w:id="62" w:name="X938a8c3f754ce430911224204ed5e83b9d1c778"/>
    <w:p>
      <w:pPr>
        <w:pStyle w:val="Heading3"/>
      </w:pPr>
      <w:r>
        <w:t xml:space="preserve">7.2 A Worked Illustration of Why the Five Distinctions Come Apart</w:t>
      </w:r>
    </w:p>
    <w:p>
      <w:pPr>
        <w:pStyle w:val="FirstParagraph"/>
      </w:pPr>
      <w:r>
        <w:t xml:space="preserve">It is worth making §7.0’s abstract distinctions concrete with a single illustrative scenario, constructed from the mechanisms already established in this review rather than from a specific study’s numbers (no specific numeric example is asserted as an empirical finding here; this is a conceptual illustration).</w:t>
      </w:r>
    </w:p>
    <w:p>
      <w:pPr>
        <w:pStyle w:val="BodyText"/>
      </w:pPr>
      <w:r>
        <w:t xml:space="preserve">Consider a compartmental model relating true infection prevalence</w:t>
      </w:r>
      <w:r>
        <w:t xml:space="preserve"> </w:t>
      </w:r>
      <m:oMath>
        <m:r>
          <m:t>I</m:t>
        </m:r>
        <m:d>
          <m:dPr>
            <m:begChr m:val="("/>
            <m:endChr m:val=")"/>
            <m:sepChr m:val=""/>
            <m:grow/>
          </m:dPr>
          <m:e>
            <m:r>
              <m:t>t</m:t>
            </m:r>
          </m:e>
        </m:d>
      </m:oMath>
      <w:r>
        <w:t xml:space="preserve"> </w:t>
      </w:r>
      <w:r>
        <w:t xml:space="preserve">— the latent</w:t>
      </w:r>
      <w:r>
        <w:t xml:space="preserve"> </w:t>
      </w:r>
      <w:r>
        <w:rPr>
          <w:bCs/>
          <w:b/>
        </w:rPr>
        <w:t xml:space="preserve">state</w:t>
      </w:r>
      <w:r>
        <w:t xml:space="preserve"> </w:t>
      </w:r>
      <w:r>
        <w:t xml:space="preserve">of interest — a shedding kernel</w:t>
      </w:r>
      <w:r>
        <w:t xml:space="preserve"> </w:t>
      </w:r>
      <m:oMath>
        <m:sSub>
          <m:e>
            <m:r>
              <m:t>K</m:t>
            </m:r>
          </m:e>
          <m:sub>
            <m:r>
              <m:rPr>
                <m:sty m:val="p"/>
              </m:rPr>
              <m:t>s</m:t>
            </m:r>
            <m:r>
              <m:rPr>
                <m:sty m:val="p"/>
              </m:rPr>
              <m:t>h</m:t>
            </m:r>
            <m:r>
              <m:rPr>
                <m:sty m:val="p"/>
              </m:rPr>
              <m:t>e</m:t>
            </m:r>
            <m:r>
              <m:rPr>
                <m:sty m:val="p"/>
              </m:rPr>
              <m:t>d</m:t>
            </m:r>
          </m:sub>
        </m:sSub>
      </m:oMath>
      <w:r>
        <w:t xml:space="preserve"> </w:t>
      </w:r>
      <w:r>
        <w:t xml:space="preserve">— a model</w:t>
      </w:r>
      <w:r>
        <w:t xml:space="preserve"> </w:t>
      </w:r>
      <w:r>
        <w:rPr>
          <w:bCs/>
          <w:b/>
        </w:rPr>
        <w:t xml:space="preserve">parameter</w:t>
      </w:r>
      <w:r>
        <w:t xml:space="preserve">, or more precisely a parameterized function — and clinical ascertainment rate</w:t>
      </w:r>
      <w:r>
        <w:t xml:space="preserve"> </w:t>
      </w:r>
      <m:oMath>
        <m:r>
          <m:t>α</m:t>
        </m:r>
        <m:d>
          <m:dPr>
            <m:begChr m:val="("/>
            <m:endChr m:val=")"/>
            <m:sepChr m:val=""/>
            <m:grow/>
          </m:dPr>
          <m:e>
            <m:r>
              <m:t>t</m:t>
            </m:r>
          </m:e>
        </m:d>
      </m:oMath>
      <w:r>
        <w:t xml:space="preserve"> </w:t>
      </w:r>
      <w:r>
        <w:t xml:space="preserve">to the observed wastewater signal, roughly</w:t>
      </w:r>
      <w:r>
        <w:t xml:space="preserve"> </w:t>
      </w:r>
      <m:oMath>
        <m:r>
          <m:t>Z</m:t>
        </m:r>
        <m:d>
          <m:dPr>
            <m:begChr m:val="("/>
            <m:endChr m:val=")"/>
            <m:sepChr m:val=""/>
            <m:grow/>
          </m:dPr>
          <m:e>
            <m:r>
              <m:t>t</m:t>
            </m:r>
          </m:e>
        </m:d>
        <m:r>
          <m:rPr>
            <m:sty m:val="p"/>
          </m:rPr>
          <m:t>≈</m:t>
        </m:r>
        <m:d>
          <m:dPr>
            <m:begChr m:val="["/>
            <m:endChr m:val="]"/>
            <m:sepChr m:val=""/>
            <m:grow/>
          </m:dPr>
          <m:e>
            <m:sSub>
              <m:e>
                <m:r>
                  <m:t>K</m:t>
                </m:r>
              </m:e>
              <m:sub>
                <m:r>
                  <m:rPr>
                    <m:sty m:val="p"/>
                  </m:rPr>
                  <m:t>s</m:t>
                </m:r>
                <m:r>
                  <m:rPr>
                    <m:sty m:val="p"/>
                  </m:rPr>
                  <m:t>h</m:t>
                </m:r>
                <m:r>
                  <m:rPr>
                    <m:sty m:val="p"/>
                  </m:rPr>
                  <m:t>e</m:t>
                </m:r>
                <m:r>
                  <m:rPr>
                    <m:sty m:val="p"/>
                  </m:rPr>
                  <m:t>d</m:t>
                </m:r>
              </m:sub>
            </m:sSub>
            <m:r>
              <m:rPr>
                <m:sty m:val="p"/>
              </m:rPr>
              <m:t>*</m:t>
            </m:r>
            <m:r>
              <m:t>I</m:t>
            </m:r>
          </m:e>
        </m:d>
        <m:d>
          <m:dPr>
            <m:begChr m:val="("/>
            <m:endChr m:val=")"/>
            <m:sepChr m:val=""/>
            <m:grow/>
          </m:dPr>
          <m:e>
            <m:r>
              <m:t>t</m:t>
            </m:r>
          </m:e>
        </m:d>
      </m:oMath>
      <w:r>
        <w:t xml:space="preserve">, and to observed clinical cases, roughly</w:t>
      </w:r>
      <w:r>
        <w:t xml:space="preserve"> </w:t>
      </w:r>
      <m:oMath>
        <m:r>
          <m:t>C</m:t>
        </m:r>
        <m:d>
          <m:dPr>
            <m:begChr m:val="("/>
            <m:endChr m:val=")"/>
            <m:sepChr m:val=""/>
            <m:grow/>
          </m:dPr>
          <m:e>
            <m:r>
              <m:t>t</m:t>
            </m:r>
          </m:e>
        </m:d>
        <m:r>
          <m:rPr>
            <m:sty m:val="p"/>
          </m:rPr>
          <m:t>≈</m:t>
        </m:r>
        <m:r>
          <m:t>α</m:t>
        </m:r>
        <m:d>
          <m:dPr>
            <m:begChr m:val="("/>
            <m:endChr m:val=")"/>
            <m:sepChr m:val=""/>
            <m:grow/>
          </m:dPr>
          <m:e>
            <m:r>
              <m:t>t</m:t>
            </m:r>
          </m:e>
        </m:d>
        <m:r>
          <m:t>I</m:t>
        </m:r>
        <m:d>
          <m:dPr>
            <m:begChr m:val="("/>
            <m:endChr m:val=")"/>
            <m:sepChr m:val=""/>
            <m:grow/>
          </m:dPr>
          <m:e>
            <m:r>
              <m:t>t</m:t>
            </m:r>
          </m:e>
        </m:d>
      </m:oMath>
      <w:r>
        <w:t xml:space="preserve">. If</w:t>
      </w:r>
      <w:r>
        <w:t xml:space="preserve"> </w:t>
      </w:r>
      <m:oMath>
        <m:r>
          <m:t>α</m:t>
        </m:r>
        <m:d>
          <m:dPr>
            <m:begChr m:val="("/>
            <m:endChr m:val=")"/>
            <m:sepChr m:val=""/>
            <m:grow/>
          </m:dPr>
          <m:e>
            <m:r>
              <m:t>t</m:t>
            </m:r>
          </m:e>
        </m:d>
      </m:oMath>
      <w:r>
        <w:t xml:space="preserve"> </w:t>
      </w:r>
      <w:r>
        <w:t xml:space="preserve">is itself unknown and time-varying (as it plausibly is, given changing test availability and health-seeking behavior over an epidemic — precisely the kind of confound §1 and §3.1 flagged as WBE’s comparative advantage over clinical surveillance), then a fall in</w:t>
      </w:r>
      <w:r>
        <w:t xml:space="preserve"> </w:t>
      </w:r>
      <m:oMath>
        <m:r>
          <m:t>C</m:t>
        </m:r>
        <m:d>
          <m:dPr>
            <m:begChr m:val="("/>
            <m:endChr m:val=")"/>
            <m:sepChr m:val=""/>
            <m:grow/>
          </m:dPr>
          <m:e>
            <m:r>
              <m:t>t</m:t>
            </m:r>
          </m:e>
        </m:d>
      </m:oMath>
      <w:r>
        <w:t xml:space="preserve"> </w:t>
      </w:r>
      <w:r>
        <w:t xml:space="preserve">is consistent with two structurally different explanations: a true fall in</w:t>
      </w:r>
      <w:r>
        <w:t xml:space="preserve"> </w:t>
      </w:r>
      <m:oMath>
        <m:r>
          <m:t>I</m:t>
        </m:r>
        <m:d>
          <m:dPr>
            <m:begChr m:val="("/>
            <m:endChr m:val=")"/>
            <m:sepChr m:val=""/>
            <m:grow/>
          </m:dPr>
          <m:e>
            <m:r>
              <m:t>t</m:t>
            </m:r>
          </m:e>
        </m:d>
      </m:oMath>
      <w:r>
        <w:t xml:space="preserve">, or a fall in</w:t>
      </w:r>
      <w:r>
        <w:t xml:space="preserve"> </w:t>
      </w:r>
      <m:oMath>
        <m:r>
          <m:t>α</m:t>
        </m:r>
        <m:d>
          <m:dPr>
            <m:begChr m:val="("/>
            <m:endChr m:val=")"/>
            <m:sepChr m:val=""/>
            <m:grow/>
          </m:dPr>
          <m:e>
            <m:r>
              <m:t>t</m:t>
            </m:r>
          </m:e>
        </m:d>
      </m:oMath>
      <w:r>
        <w:t xml:space="preserve"> </w:t>
      </w:r>
      <w:r>
        <w:t xml:space="preserve">with</w:t>
      </w:r>
      <w:r>
        <w:t xml:space="preserve"> </w:t>
      </w:r>
      <m:oMath>
        <m:r>
          <m:t>I</m:t>
        </m:r>
        <m:d>
          <m:dPr>
            <m:begChr m:val="("/>
            <m:endChr m:val=")"/>
            <m:sepChr m:val=""/>
            <m:grow/>
          </m:dPr>
          <m:e>
            <m:r>
              <m:t>t</m:t>
            </m:r>
          </m:e>
        </m:d>
      </m:oMath>
      <w:r>
        <w:t xml:space="preserve"> </w:t>
      </w:r>
      <w:r>
        <w:t xml:space="preserve">unchanged or even rising.</w:t>
      </w:r>
      <w:r>
        <w:t xml:space="preserve"> </w:t>
      </w:r>
      <m:oMath>
        <m:r>
          <m:t>Z</m:t>
        </m:r>
        <m:d>
          <m:dPr>
            <m:begChr m:val="("/>
            <m:endChr m:val=")"/>
            <m:sepChr m:val=""/>
            <m:grow/>
          </m:dPr>
          <m:e>
            <m:r>
              <m:t>t</m:t>
            </m:r>
          </m:e>
        </m:d>
      </m:oMath>
      <w:r>
        <w:t xml:space="preserve">, in principle, disambiguates this, since it does not depend on</w:t>
      </w:r>
      <w:r>
        <w:t xml:space="preserve"> </w:t>
      </w:r>
      <m:oMath>
        <m:r>
          <m:t>α</m:t>
        </m:r>
        <m:d>
          <m:dPr>
            <m:begChr m:val="("/>
            <m:endChr m:val=")"/>
            <m:sepChr m:val=""/>
            <m:grow/>
          </m:dPr>
          <m:e>
            <m:r>
              <m:t>t</m:t>
            </m:r>
          </m:e>
        </m:d>
      </m:oMath>
      <w:r>
        <w:t xml:space="preserve"> </w:t>
      </w:r>
      <w:r>
        <w:t xml:space="preserve">—</w:t>
      </w:r>
      <w:r>
        <w:t xml:space="preserve"> </w:t>
      </w:r>
      <w:r>
        <w:rPr>
          <w:bCs/>
          <w:b/>
        </w:rPr>
        <w:t xml:space="preserve">but only if</w:t>
      </w:r>
      <w:r>
        <w:rPr>
          <w:bCs/>
          <w:b/>
        </w:rPr>
        <w:t xml:space="preserve"> </w:t>
      </w:r>
      <m:oMath>
        <m:sSub>
          <m:e>
            <m:r>
              <m:t>K</m:t>
            </m:r>
          </m:e>
          <m:sub>
            <m:r>
              <m:rPr>
                <m:sty m:val="p"/>
              </m:rPr>
              <m:t>s</m:t>
            </m:r>
            <m:r>
              <m:rPr>
                <m:sty m:val="p"/>
              </m:rPr>
              <m:t>h</m:t>
            </m:r>
            <m:r>
              <m:rPr>
                <m:sty m:val="p"/>
              </m:rPr>
              <m:t>e</m:t>
            </m:r>
            <m:r>
              <m:rPr>
                <m:sty m:val="p"/>
              </m:rPr>
              <m:t>d</m:t>
            </m:r>
          </m:sub>
        </m:sSub>
      </m:oMath>
      <w:r>
        <w:rPr>
          <w:bCs/>
          <w:b/>
        </w:rPr>
        <w:t xml:space="preserve"> </w:t>
      </w:r>
      <w:r>
        <w:rPr>
          <w:bCs/>
          <w:b/>
        </w:rPr>
        <w:t xml:space="preserve">is known independently and precisely.</w:t>
      </w:r>
    </w:p>
    <w:p>
      <w:pPr>
        <w:pStyle w:val="BodyText"/>
      </w:pPr>
      <w:r>
        <w:t xml:space="preserve">Two distinct failure modes can now occur, and it matters which one is actually present:</w:t>
      </w:r>
    </w:p>
    <w:p>
      <w:pPr>
        <w:pStyle w:val="BodyText"/>
      </w:pPr>
      <w:r>
        <w:rPr>
          <w:bCs/>
          <w:b/>
        </w:rPr>
        <w:t xml:space="preserve">A parameter-identifiability failure.</w:t>
      </w:r>
      <w:r>
        <w:t xml:space="preserve"> </w:t>
      </w:r>
      <w:r>
        <w:t xml:space="preserve">If</w:t>
      </w:r>
      <w:r>
        <w:t xml:space="preserve"> </w:t>
      </w:r>
      <m:oMath>
        <m:sSub>
          <m:e>
            <m:r>
              <m:t>K</m:t>
            </m:r>
          </m:e>
          <m:sub>
            <m:r>
              <m:rPr>
                <m:sty m:val="p"/>
              </m:rPr>
              <m:t>s</m:t>
            </m:r>
            <m:r>
              <m:rPr>
                <m:sty m:val="p"/>
              </m:rPr>
              <m:t>h</m:t>
            </m:r>
            <m:r>
              <m:rPr>
                <m:sty m:val="p"/>
              </m:rPr>
              <m:t>e</m:t>
            </m:r>
            <m:r>
              <m:rPr>
                <m:sty m:val="p"/>
              </m:rPr>
              <m:t>d</m:t>
            </m:r>
          </m:sub>
        </m:sSub>
      </m:oMath>
      <w:r>
        <w:t xml:space="preserve"> </w:t>
      </w:r>
      <w:r>
        <w:t xml:space="preserve">must itself be estimated jointly from the same</w:t>
      </w:r>
      <w:r>
        <w:t xml:space="preserve"> </w:t>
      </w:r>
      <m:oMath>
        <m:r>
          <m:t>Z</m:t>
        </m:r>
        <m:d>
          <m:dPr>
            <m:begChr m:val="("/>
            <m:endChr m:val=")"/>
            <m:sepChr m:val=""/>
            <m:grow/>
          </m:dPr>
          <m:e>
            <m:r>
              <m:t>t</m:t>
            </m:r>
          </m:e>
        </m:d>
      </m:oMath>
      <w:r>
        <w:t xml:space="preserve"> </w:t>
      </w:r>
      <w:r>
        <w:t xml:space="preserve">series (as in practice it often must be, per §7.1.2’s discussion of the Huisman et al., 2022 approach), a broadened</w:t>
      </w:r>
      <w:r>
        <w:t xml:space="preserve"> </w:t>
      </w:r>
      <m:oMath>
        <m:sSub>
          <m:e>
            <m:r>
              <m:t>K</m:t>
            </m:r>
          </m:e>
          <m:sub>
            <m:r>
              <m:rPr>
                <m:sty m:val="p"/>
              </m:rPr>
              <m:t>s</m:t>
            </m:r>
            <m:r>
              <m:rPr>
                <m:sty m:val="p"/>
              </m:rPr>
              <m:t>h</m:t>
            </m:r>
            <m:r>
              <m:rPr>
                <m:sty m:val="p"/>
              </m:rPr>
              <m:t>e</m:t>
            </m:r>
            <m:r>
              <m:rPr>
                <m:sty m:val="p"/>
              </m:rPr>
              <m:t>d</m:t>
            </m:r>
          </m:sub>
        </m:sSub>
      </m:oMath>
      <w:r>
        <w:t xml:space="preserve"> </w:t>
      </w:r>
      <w:r>
        <w:t xml:space="preserve">(more spread-out shedding) and a smoothed</w:t>
      </w:r>
      <w:r>
        <w:t xml:space="preserve"> </w:t>
      </w:r>
      <m:oMath>
        <m:r>
          <m:t>I</m:t>
        </m:r>
        <m:d>
          <m:dPr>
            <m:begChr m:val="("/>
            <m:endChr m:val=")"/>
            <m:sepChr m:val=""/>
            <m:grow/>
          </m:dPr>
          <m:e>
            <m:r>
              <m:t>t</m:t>
            </m:r>
          </m:e>
        </m:d>
      </m:oMath>
      <w:r>
        <w:t xml:space="preserve"> </w:t>
      </w:r>
      <w:r>
        <w:t xml:space="preserve">trajectory can produce a very similar predicted</w:t>
      </w:r>
      <w:r>
        <w:t xml:space="preserve"> </w:t>
      </w:r>
      <m:oMath>
        <m:r>
          <m:t>Z</m:t>
        </m:r>
        <m:d>
          <m:dPr>
            <m:begChr m:val="("/>
            <m:endChr m:val=")"/>
            <m:sepChr m:val=""/>
            <m:grow/>
          </m:dPr>
          <m:e>
            <m:r>
              <m:t>t</m:t>
            </m:r>
          </m:e>
        </m:d>
      </m:oMath>
      <w:r>
        <w:t xml:space="preserve"> </w:t>
      </w:r>
      <w:r>
        <w:t xml:space="preserve">to a sharper</w:t>
      </w:r>
      <w:r>
        <w:t xml:space="preserve"> </w:t>
      </w:r>
      <m:oMath>
        <m:sSub>
          <m:e>
            <m:r>
              <m:t>K</m:t>
            </m:r>
          </m:e>
          <m:sub>
            <m:r>
              <m:rPr>
                <m:sty m:val="p"/>
              </m:rPr>
              <m:t>s</m:t>
            </m:r>
            <m:r>
              <m:rPr>
                <m:sty m:val="p"/>
              </m:rPr>
              <m:t>h</m:t>
            </m:r>
            <m:r>
              <m:rPr>
                <m:sty m:val="p"/>
              </m:rPr>
              <m:t>e</m:t>
            </m:r>
            <m:r>
              <m:rPr>
                <m:sty m:val="p"/>
              </m:rPr>
              <m:t>d</m:t>
            </m:r>
          </m:sub>
        </m:sSub>
      </m:oMath>
      <w:r>
        <w:t xml:space="preserve"> </w:t>
      </w:r>
      <w:r>
        <w:t xml:space="preserve">paired with a more sharply-varying</w:t>
      </w:r>
      <w:r>
        <w:t xml:space="preserve"> </w:t>
      </w:r>
      <m:oMath>
        <m:r>
          <m:t>I</m:t>
        </m:r>
        <m:d>
          <m:dPr>
            <m:begChr m:val="("/>
            <m:endChr m:val=")"/>
            <m:sepChr m:val=""/>
            <m:grow/>
          </m:dPr>
          <m:e>
            <m:r>
              <m:t>t</m:t>
            </m:r>
          </m:e>
        </m:d>
      </m:oMath>
      <w:r>
        <w:t xml:space="preserve"> </w:t>
      </w:r>
      <w:r>
        <w:t xml:space="preserve">— two different (kernel-parameter, incidence-state) pairs that are observationally near-equivalent. This is, strictly, a joint parameter/state confound rather than a pure parameter-identifiability failure in isolation, and it is worth being precise about why: if</w:t>
      </w:r>
      <w:r>
        <w:t xml:space="preserve"> </w:t>
      </w:r>
      <m:oMath>
        <m:sSub>
          <m:e>
            <m:r>
              <m:t>K</m:t>
            </m:r>
          </m:e>
          <m:sub>
            <m:r>
              <m:rPr>
                <m:sty m:val="p"/>
              </m:rPr>
              <m:t>s</m:t>
            </m:r>
            <m:r>
              <m:rPr>
                <m:sty m:val="p"/>
              </m:rPr>
              <m:t>h</m:t>
            </m:r>
            <m:r>
              <m:rPr>
                <m:sty m:val="p"/>
              </m:rPr>
              <m:t>e</m:t>
            </m:r>
            <m:r>
              <m:rPr>
                <m:sty m:val="p"/>
              </m:rPr>
              <m:t>d</m:t>
            </m:r>
          </m:sub>
        </m:sSub>
      </m:oMath>
      <w:r>
        <w:t xml:space="preserve"> </w:t>
      </w:r>
      <w:r>
        <w:t xml:space="preserve">were known exactly (fixed from independent clinical shedding data, not estimated from</w:t>
      </w:r>
      <w:r>
        <w:t xml:space="preserve"> </w:t>
      </w:r>
      <m:oMath>
        <m:r>
          <m:t>Z</m:t>
        </m:r>
        <m:d>
          <m:dPr>
            <m:begChr m:val="("/>
            <m:endChr m:val=")"/>
            <m:sepChr m:val=""/>
            <m:grow/>
          </m:dPr>
          <m:e>
            <m:r>
              <m:t>t</m:t>
            </m:r>
          </m:e>
        </m:d>
      </m:oMath>
      <w:r>
        <w:t xml:space="preserve">),</w:t>
      </w:r>
      <w:r>
        <w:t xml:space="preserve"> </w:t>
      </w:r>
      <m:oMath>
        <m:r>
          <m:t>I</m:t>
        </m:r>
        <m:d>
          <m:dPr>
            <m:begChr m:val="("/>
            <m:endChr m:val=")"/>
            <m:sepChr m:val=""/>
            <m:grow/>
          </m:dPr>
          <m:e>
            <m:r>
              <m:t>t</m:t>
            </m:r>
          </m:e>
        </m:d>
      </m:oMath>
      <w:r>
        <w:t xml:space="preserve">’s observability from</w:t>
      </w:r>
      <w:r>
        <w:t xml:space="preserve"> </w:t>
      </w:r>
      <m:oMath>
        <m:r>
          <m:t>Z</m:t>
        </m:r>
        <m:d>
          <m:dPr>
            <m:begChr m:val="("/>
            <m:endChr m:val=")"/>
            <m:sepChr m:val=""/>
            <m:grow/>
          </m:dPr>
          <m:e>
            <m:r>
              <m:t>t</m:t>
            </m:r>
          </m:e>
        </m:d>
      </m:oMath>
      <w:r>
        <w:t xml:space="preserve"> </w:t>
      </w:r>
      <w:r>
        <w:t xml:space="preserve">would be a separate, better-posed question. It is the</w:t>
      </w:r>
      <w:r>
        <w:t xml:space="preserve"> </w:t>
      </w:r>
      <w:r>
        <w:rPr>
          <w:iCs/>
          <w:i/>
        </w:rPr>
        <w:t xml:space="preserve">joint</w:t>
      </w:r>
      <w:r>
        <w:t xml:space="preserve"> </w:t>
      </w:r>
      <w:r>
        <w:t xml:space="preserve">estimation of a parameter and the state it acts on, from a single observed series, that produces the trade-off — which is precisely why grounding</w:t>
      </w:r>
      <w:r>
        <w:t xml:space="preserve"> </w:t>
      </w:r>
      <m:oMath>
        <m:sSub>
          <m:e>
            <m:r>
              <m:t>K</m:t>
            </m:r>
          </m:e>
          <m:sub>
            <m:r>
              <m:rPr>
                <m:sty m:val="p"/>
              </m:rPr>
              <m:t>s</m:t>
            </m:r>
            <m:r>
              <m:rPr>
                <m:sty m:val="p"/>
              </m:rPr>
              <m:t>h</m:t>
            </m:r>
            <m:r>
              <m:rPr>
                <m:sty m:val="p"/>
              </m:rPr>
              <m:t>e</m:t>
            </m:r>
            <m:r>
              <m:rPr>
                <m:sty m:val="p"/>
              </m:rPr>
              <m:t>d</m:t>
            </m:r>
          </m:sub>
        </m:sSub>
      </m:oMath>
      <w:r>
        <w:t xml:space="preserve"> </w:t>
      </w:r>
      <w:r>
        <w:t xml:space="preserve">externally (§4.3, §6.6’s process-informed-correction argument, applied here to the reconstruction stage) converts an entangled parameter/state problem into two more tractable ones.</w:t>
      </w:r>
    </w:p>
    <w:p>
      <w:pPr>
        <w:pStyle w:val="BodyText"/>
      </w:pPr>
      <w:r>
        <w:rPr>
          <w:bCs/>
          <w:b/>
        </w:rPr>
        <w:t xml:space="preserve">A structural-adequacy failure, layered on top.</w:t>
      </w:r>
      <w:r>
        <w:t xml:space="preserve"> </w:t>
      </w:r>
      <w:r>
        <w:t xml:space="preserve">Suppose, separately, that the true system also includes a route this model omits entirely — say, a fraction of shed material is lost to combined-sewer overflow during a subset of days (§4.2, §6.8), unmodeled in the</w:t>
      </w:r>
      <w:r>
        <w:t xml:space="preserve"> </w:t>
      </w:r>
      <m:oMath>
        <m:r>
          <m:t>Z</m:t>
        </m:r>
        <m:d>
          <m:dPr>
            <m:begChr m:val="("/>
            <m:endChr m:val=")"/>
            <m:sepChr m:val=""/>
            <m:grow/>
          </m:dPr>
          <m:e>
            <m:r>
              <m:t>t</m:t>
            </m:r>
          </m:e>
        </m:d>
        <m:r>
          <m:rPr>
            <m:sty m:val="p"/>
          </m:rPr>
          <m:t>≈</m:t>
        </m:r>
        <m:d>
          <m:dPr>
            <m:begChr m:val="["/>
            <m:endChr m:val="]"/>
            <m:sepChr m:val=""/>
            <m:grow/>
          </m:dPr>
          <m:e>
            <m:sSub>
              <m:e>
                <m:r>
                  <m:t>K</m:t>
                </m:r>
              </m:e>
              <m:sub>
                <m:r>
                  <m:rPr>
                    <m:sty m:val="p"/>
                  </m:rPr>
                  <m:t>s</m:t>
                </m:r>
                <m:r>
                  <m:rPr>
                    <m:sty m:val="p"/>
                  </m:rPr>
                  <m:t>h</m:t>
                </m:r>
                <m:r>
                  <m:rPr>
                    <m:sty m:val="p"/>
                  </m:rPr>
                  <m:t>e</m:t>
                </m:r>
                <m:r>
                  <m:rPr>
                    <m:sty m:val="p"/>
                  </m:rPr>
                  <m:t>d</m:t>
                </m:r>
              </m:sub>
            </m:sSub>
            <m:r>
              <m:rPr>
                <m:sty m:val="p"/>
              </m:rPr>
              <m:t>*</m:t>
            </m:r>
            <m:r>
              <m:t>I</m:t>
            </m:r>
          </m:e>
        </m:d>
        <m:d>
          <m:dPr>
            <m:begChr m:val="("/>
            <m:endChr m:val=")"/>
            <m:sepChr m:val=""/>
            <m:grow/>
          </m:dPr>
          <m:e>
            <m:r>
              <m:t>t</m:t>
            </m:r>
          </m:e>
        </m:d>
      </m:oMath>
      <w:r>
        <w:t xml:space="preserve"> </w:t>
      </w:r>
      <w:r>
        <w:t xml:space="preserve">observation equation. No amount of resolving the kernel/incidence trade-off above fixes this: the model can have a perfectly identifiable</w:t>
      </w:r>
      <w:r>
        <w:t xml:space="preserve"> </w:t>
      </w:r>
      <m:oMath>
        <m:sSub>
          <m:e>
            <m:r>
              <m:t>K</m:t>
            </m:r>
          </m:e>
          <m:sub>
            <m:r>
              <m:rPr>
                <m:sty m:val="p"/>
              </m:rPr>
              <m:t>s</m:t>
            </m:r>
            <m:r>
              <m:rPr>
                <m:sty m:val="p"/>
              </m:rPr>
              <m:t>h</m:t>
            </m:r>
            <m:r>
              <m:rPr>
                <m:sty m:val="p"/>
              </m:rPr>
              <m:t>e</m:t>
            </m:r>
            <m:r>
              <m:rPr>
                <m:sty m:val="p"/>
              </m:rPr>
              <m:t>d</m:t>
            </m:r>
          </m:sub>
        </m:sSub>
      </m:oMath>
      <w:r>
        <w:t xml:space="preserve"> </w:t>
      </w:r>
      <w:r>
        <w:t xml:space="preserve">(fixed from external data) and a state</w:t>
      </w:r>
      <w:r>
        <w:t xml:space="preserve"> </w:t>
      </w:r>
      <m:oMath>
        <m:r>
          <m:t>I</m:t>
        </m:r>
        <m:d>
          <m:dPr>
            <m:begChr m:val="("/>
            <m:endChr m:val=")"/>
            <m:sepChr m:val=""/>
            <m:grow/>
          </m:dPr>
          <m:e>
            <m:r>
              <m:t>t</m:t>
            </m:r>
          </m:e>
        </m:d>
      </m:oMath>
      <w:r>
        <w:t xml:space="preserve"> </w:t>
      </w:r>
      <w:r>
        <w:t xml:space="preserve">that would be observable</w:t>
      </w:r>
      <w:r>
        <w:t xml:space="preserve"> </w:t>
      </w:r>
      <w:r>
        <w:rPr>
          <w:iCs/>
          <w:i/>
        </w:rPr>
        <w:t xml:space="preserve">if the observation equation were correct</w:t>
      </w:r>
      <w:r>
        <w:t xml:space="preserve">, and still produce a systematically biased</w:t>
      </w:r>
      <w:r>
        <w:t xml:space="preserve"> </w:t>
      </w:r>
      <m:oMath>
        <m:r>
          <m:t>I</m:t>
        </m:r>
        <m:d>
          <m:dPr>
            <m:begChr m:val="("/>
            <m:endChr m:val=")"/>
            <m:sepChr m:val=""/>
            <m:grow/>
          </m:dPr>
          <m:e>
            <m:r>
              <m:t>t</m:t>
            </m:r>
          </m:e>
        </m:d>
      </m:oMath>
      <w:r>
        <w:t xml:space="preserve"> </w:t>
      </w:r>
      <w:r>
        <w:t xml:space="preserve">estimate on overflow-affected days, because the observation equation itself is wrong. This is why §7.0 insists structural adequacy is a separate axis: it is not resolved by better parameter estimation or better state-reconstruction algorithms, only by including the missing mechanism or explicitly flagging the periods where the model’s assumptions are known to be violated (directly continuing §6.8’s and §5.7’s practice of naming hard failure conditions rather than assuming a more sophisticated fit resolves them).</w:t>
      </w:r>
    </w:p>
    <w:p>
      <w:pPr>
        <w:pStyle w:val="BodyText"/>
      </w:pPr>
      <w:r>
        <w:t xml:space="preserve">A model exhibiting either or both of these failures can still show strong</w:t>
      </w:r>
      <w:r>
        <w:t xml:space="preserve"> </w:t>
      </w:r>
      <w:r>
        <w:rPr>
          <w:bCs/>
          <w:b/>
        </w:rPr>
        <w:t xml:space="preserve">association</w:t>
      </w:r>
      <w:r>
        <w:t xml:space="preserve"> </w:t>
      </w:r>
      <w:r>
        <w:t xml:space="preserve">with</w:t>
      </w:r>
      <w:r>
        <w:t xml:space="preserve"> </w:t>
      </w:r>
      <m:oMath>
        <m:r>
          <m:t>C</m:t>
        </m:r>
        <m:d>
          <m:dPr>
            <m:begChr m:val="("/>
            <m:endChr m:val=")"/>
            <m:sepChr m:val=""/>
            <m:grow/>
          </m:dPr>
          <m:e>
            <m:r>
              <m:t>t</m:t>
            </m:r>
          </m:e>
        </m:d>
      </m:oMath>
      <w:r>
        <w:t xml:space="preserve"> </w:t>
      </w:r>
      <w:r>
        <w:t xml:space="preserve">(both are driven by the same true</w:t>
      </w:r>
      <w:r>
        <w:t xml:space="preserve"> </w:t>
      </w:r>
      <m:oMath>
        <m:r>
          <m:t>I</m:t>
        </m:r>
        <m:d>
          <m:dPr>
            <m:begChr m:val="("/>
            <m:endChr m:val=")"/>
            <m:sepChr m:val=""/>
            <m:grow/>
          </m:dPr>
          <m:e>
            <m:r>
              <m:t>t</m:t>
            </m:r>
          </m:e>
        </m:d>
      </m:oMath>
      <w:r>
        <w:t xml:space="preserve">, however imperfectly), can still show good</w:t>
      </w:r>
      <w:r>
        <w:t xml:space="preserve"> </w:t>
      </w:r>
      <w:r>
        <w:rPr>
          <w:bCs/>
          <w:b/>
        </w:rPr>
        <w:t xml:space="preserve">predictive performance</w:t>
      </w:r>
      <w:r>
        <w:t xml:space="preserve"> </w:t>
      </w:r>
      <w:r>
        <w:t xml:space="preserve">for</w:t>
      </w:r>
      <w:r>
        <w:t xml:space="preserve"> </w:t>
      </w:r>
      <m:oMath>
        <m:r>
          <m:t>C</m:t>
        </m:r>
        <m:d>
          <m:dPr>
            <m:begChr m:val="("/>
            <m:endChr m:val=")"/>
            <m:sepChr m:val=""/>
            <m:grow/>
          </m:dPr>
          <m:e>
            <m:r>
              <m:t>t</m:t>
            </m:r>
          </m:e>
        </m:d>
      </m:oMath>
      <w:r>
        <w:t xml:space="preserve"> </w:t>
      </w:r>
      <w:r>
        <w:t xml:space="preserve">out-of-sample (if</w:t>
      </w:r>
      <w:r>
        <w:t xml:space="preserve"> </w:t>
      </w:r>
      <m:oMath>
        <m:r>
          <m:t>α</m:t>
        </m:r>
        <m:d>
          <m:dPr>
            <m:begChr m:val="("/>
            <m:endChr m:val=")"/>
            <m:sepChr m:val=""/>
            <m:grow/>
          </m:dPr>
          <m:e>
            <m:r>
              <m:t>t</m:t>
            </m:r>
          </m:e>
        </m:d>
      </m:oMath>
      <w:r>
        <w:t xml:space="preserve"> </w:t>
      </w:r>
      <w:r>
        <w:t xml:space="preserve">happens to be roughly stable, or the CSO-affected days happen to fall outside the test window), and can still report</w:t>
      </w:r>
      <w:r>
        <w:t xml:space="preserve"> </w:t>
      </w:r>
      <w:r>
        <w:rPr>
          <w:bCs/>
          <w:b/>
        </w:rPr>
        <w:t xml:space="preserve">plausible-looking parameter values</w:t>
      </w:r>
      <w:r>
        <w:t xml:space="preserve"> </w:t>
      </w:r>
      <w:r>
        <w:t xml:space="preserve">for</w:t>
      </w:r>
      <w:r>
        <w:t xml:space="preserve"> </w:t>
      </w:r>
      <m:oMath>
        <m:sSub>
          <m:e>
            <m:r>
              <m:t>K</m:t>
            </m:r>
          </m:e>
          <m:sub>
            <m:r>
              <m:rPr>
                <m:sty m:val="p"/>
              </m:rPr>
              <m:t>s</m:t>
            </m:r>
            <m:r>
              <m:rPr>
                <m:sty m:val="p"/>
              </m:rPr>
              <m:t>h</m:t>
            </m:r>
            <m:r>
              <m:rPr>
                <m:sty m:val="p"/>
              </m:rPr>
              <m:t>e</m:t>
            </m:r>
            <m:r>
              <m:rPr>
                <m:sty m:val="p"/>
              </m:rPr>
              <m:t>d</m:t>
            </m:r>
          </m:sub>
        </m:sSub>
      </m:oMath>
      <w:r>
        <w:t xml:space="preserve"> </w:t>
      </w:r>
      <w:r>
        <w:t xml:space="preserve">and</w:t>
      </w:r>
      <w:r>
        <w:t xml:space="preserve"> </w:t>
      </w:r>
      <m:oMath>
        <m:r>
          <m:t>I</m:t>
        </m:r>
        <m:d>
          <m:dPr>
            <m:begChr m:val="("/>
            <m:endChr m:val=")"/>
            <m:sepChr m:val=""/>
            <m:grow/>
          </m:dPr>
          <m:e>
            <m:r>
              <m:t>t</m:t>
            </m:r>
          </m:e>
        </m:d>
      </m:oMath>
      <w:r>
        <w:t xml:space="preserve"> </w:t>
      </w:r>
      <w:r>
        <w:t xml:space="preserve">— while the specific decomposition between</w:t>
      </w:r>
      <w:r>
        <w:t xml:space="preserve"> </w:t>
      </w:r>
      <w:r>
        <w:t xml:space="preserve">“</w:t>
      </w:r>
      <w:r>
        <w:t xml:space="preserve">how spread out is shedding</w:t>
      </w:r>
      <w:r>
        <w:t xml:space="preserve">”</w:t>
      </w:r>
      <w:r>
        <w:t xml:space="preserve"> </w:t>
      </w:r>
      <w:r>
        <w:t xml:space="preserve">(parameter identifiability),</w:t>
      </w:r>
      <w:r>
        <w:t xml:space="preserve"> </w:t>
      </w:r>
      <w:r>
        <w:t xml:space="preserve">“</w:t>
      </w:r>
      <w:r>
        <w:t xml:space="preserve">is the incidence trajectory recoverable</w:t>
      </w:r>
      <w:r>
        <w:t xml:space="preserve">”</w:t>
      </w:r>
      <w:r>
        <w:t xml:space="preserve"> </w:t>
      </w:r>
      <w:r>
        <w:t xml:space="preserve">(state observability), and</w:t>
      </w:r>
      <w:r>
        <w:t xml:space="preserve"> </w:t>
      </w:r>
      <w:r>
        <w:t xml:space="preserve">“</w:t>
      </w:r>
      <w:r>
        <w:t xml:space="preserve">does the model even include what actually happened during the overflow event</w:t>
      </w:r>
      <w:r>
        <w:t xml:space="preserve">”</w:t>
      </w:r>
      <w:r>
        <w:t xml:space="preserve"> </w:t>
      </w:r>
      <w:r>
        <w:t xml:space="preserve">(structural adequacy) remains genuinely different questions, only some of which the data in hand can answer. This is precisely why independent information on shedding kinetics (from clinical shedding studies, §3.1), on ascertainment (from independent testing-rate data), and on network events (from flow/rainfall records, §4.2) is not a nicety but a structural requirement for the strongest claims in §7.0 — and why no single diagnostic (a correlation coefficient, an RMSE, a converged parameter estimate) can stand in for all three.</w:t>
      </w:r>
    </w:p>
    <w:bookmarkEnd w:id="62"/>
    <w:bookmarkStart w:id="63" w:name="the-five-distinctions-developed-formally"/>
    <w:p>
      <w:pPr>
        <w:pStyle w:val="Heading3"/>
      </w:pPr>
      <w:r>
        <w:t xml:space="preserve">7.3 The Five Distinctions, Developed Formally</w:t>
      </w:r>
    </w:p>
    <w:p>
      <w:pPr>
        <w:pStyle w:val="FirstParagraph"/>
      </w:pPr>
      <w:r>
        <w:t xml:space="preserve">This section states the argument of §7.0 and §7.2 in general terms, drawing on the epidemic-modeling identifiability literature that, notably, is largely</w:t>
      </w:r>
      <w:r>
        <w:t xml:space="preserve"> </w:t>
      </w:r>
      <w:r>
        <w:rPr>
          <w:bCs/>
          <w:b/>
        </w:rPr>
        <w:t xml:space="preserve">not WBE-specific</w:t>
      </w:r>
      <w:r>
        <w:t xml:space="preserve"> </w:t>
      </w:r>
      <w:r>
        <w:t xml:space="preserve">— a gap this review flags explicitly, since the general principles apply directly but have rarely been worked through for a wastewater observation equation specifically.</w:t>
      </w:r>
    </w:p>
    <w:p>
      <w:pPr>
        <w:pStyle w:val="BodyText"/>
      </w:pPr>
      <w:r>
        <w:rPr>
          <w:bCs/>
          <w:b/>
        </w:rPr>
        <w:t xml:space="preserve">Why association/correlation is the weakest evidence.</w:t>
      </w:r>
      <w:r>
        <w:t xml:space="preserve"> </w:t>
      </w:r>
      <w:r>
        <w:t xml:space="preserve">A correlation coefficient between</w:t>
      </w:r>
      <w:r>
        <w:t xml:space="preserve"> </w:t>
      </w:r>
      <m:oMath>
        <m:r>
          <m:t>Z</m:t>
        </m:r>
        <m:d>
          <m:dPr>
            <m:begChr m:val="("/>
            <m:endChr m:val=")"/>
            <m:sepChr m:val=""/>
            <m:grow/>
          </m:dPr>
          <m:e>
            <m:r>
              <m:t>t</m:t>
            </m:r>
          </m:e>
        </m:d>
      </m:oMath>
      <w:r>
        <w:t xml:space="preserve"> </w:t>
      </w:r>
      <w:r>
        <w:t xml:space="preserve">and an independent reference series answers only</w:t>
      </w:r>
      <w:r>
        <w:t xml:space="preserve"> </w:t>
      </w:r>
      <w:r>
        <w:t xml:space="preserve">“</w:t>
      </w:r>
      <w:r>
        <w:t xml:space="preserve">do these two series move together,</w:t>
      </w:r>
      <w:r>
        <w:t xml:space="preserve">”</w:t>
      </w:r>
      <w:r>
        <w:t xml:space="preserve"> </w:t>
      </w:r>
      <w:r>
        <w:t xml:space="preserve">and is compatible with a large space of underlying causal structures, including ones where the wastewater signal is not tracking the reference through the mechanism a study assumes. Optimized-lag correlation compounds this: searching over a range of lags for the one that maximizes correlation, without a held-out sample or a pre-registered, mechanistically-derived lag, inflates the apparent strength of the relationship (a multiple-comparisons problem familiar from general statistics, applied here to lag selection specifically).</w:t>
      </w:r>
    </w:p>
    <w:p>
      <w:pPr>
        <w:pStyle w:val="BodyText"/>
      </w:pPr>
      <w:r>
        <w:rPr>
          <w:bCs/>
          <w:b/>
        </w:rPr>
        <w:t xml:space="preserve">Why predictive performance is necessary but not sufficient for the stronger claims.</w:t>
      </w:r>
      <w:r>
        <w:t xml:space="preserve"> </w:t>
      </w:r>
      <w:r>
        <w:t xml:space="preserve">Out-of-sample predictive accuracy directly addresses overfitting, which raw in-sample correlation does not, and is therefore the appropriate minimum bar for any claim that a back-calculation method is</w:t>
      </w:r>
      <w:r>
        <w:t xml:space="preserve"> </w:t>
      </w:r>
      <w:r>
        <w:rPr>
          <w:iCs/>
          <w:i/>
        </w:rPr>
        <w:t xml:space="preserve">useful</w:t>
      </w:r>
      <w:r>
        <w:t xml:space="preserve"> </w:t>
      </w:r>
      <w:r>
        <w:t xml:space="preserve">for real-time monitoring (§7.1.2’s ML-forecasting example, Ai et al., 2022, and distributed-lag example, Schoen et al., 2022, are both evaluated correctly on this criterion). But predictive performance is compatible with identifiable models, non-identifiable models, observable states, and unobservable states alike — a model can predict well over the specific range of conditions it was validated on, and fail unpredictably outside that range, precisely because its</w:t>
      </w:r>
      <w:r>
        <w:t xml:space="preserve"> </w:t>
      </w:r>
      <w:r>
        <w:t xml:space="preserve">“</w:t>
      </w:r>
      <w:r>
        <w:t xml:space="preserve">good</w:t>
      </w:r>
      <w:r>
        <w:t xml:space="preserve">”</w:t>
      </w:r>
      <w:r>
        <w:t xml:space="preserve"> </w:t>
      </w:r>
      <w:r>
        <w:t xml:space="preserve">performance was never grounded in a uniquely-determined, generalizable parameter set or a genuinely recoverable state trajectory (this is the mechanism-vs-correlation distinction Deva et al., 2021 develop for compartmental models generally).</w:t>
      </w:r>
    </w:p>
    <w:p>
      <w:pPr>
        <w:pStyle w:val="BodyText"/>
      </w:pPr>
      <w:r>
        <w:rPr>
          <w:bCs/>
          <w:b/>
        </w:rPr>
        <w:t xml:space="preserve">Structural vs. practical parameter identifiability</w:t>
      </w:r>
      <w:r>
        <w:t xml:space="preserve">, a distinction developed in the general epidemic-forecasting-model literature and directly transferable to WBE back-calculation models: structural parameter identifiability is a property of the model equations and observation scheme alone, asking whether parameters would be uniquely determined even given noise-free, continuous-time, infinite data — a mathematical property independent of any particular dataset. Practical parameter identifiability asks whether those parameters are</w:t>
      </w:r>
      <w:r>
        <w:t xml:space="preserve"> </w:t>
      </w:r>
      <w:r>
        <w:rPr>
          <w:iCs/>
          <w:i/>
        </w:rPr>
        <w:t xml:space="preserve">actually</w:t>
      </w:r>
      <w:r>
        <w:t xml:space="preserve"> </w:t>
      </w:r>
      <w:r>
        <w:t xml:space="preserve">recoverable, with usable precision, from the specific finite, noisy, discretely-sampled data at hand (Liyanage, Chowell, Pogudin, &amp; Tuncer, 2025).</w:t>
      </w:r>
      <w:r>
        <w:t xml:space="preserve"> </w:t>
      </w:r>
      <w:r>
        <w:rPr>
          <w:bCs/>
          <w:b/>
        </w:rPr>
        <w:t xml:space="preserve">A structurally non-identifiable model cannot be rescued by more or better data</w:t>
      </w:r>
      <w:r>
        <w:t xml:space="preserve"> </w:t>
      </w:r>
      <w:r>
        <w:t xml:space="preserve">— this is the single most important practical consequence of the distinction, and directly explains why some WBE back-calculation claims in the literature that report shrinking confidence intervals with more monitoring weeks may be demonstrating improved</w:t>
      </w:r>
      <w:r>
        <w:t xml:space="preserve"> </w:t>
      </w:r>
      <w:r>
        <w:rPr>
          <w:iCs/>
          <w:i/>
        </w:rPr>
        <w:t xml:space="preserve">practical</w:t>
      </w:r>
      <w:r>
        <w:t xml:space="preserve"> </w:t>
      </w:r>
      <w:r>
        <w:t xml:space="preserve">identifiability of an already structurally-identifiable parameter, while others may be demonstrating nothing more than increasingly precise estimation of a structurally non-identifiable parameter combination (a</w:t>
      </w:r>
      <w:r>
        <w:t xml:space="preserve"> </w:t>
      </w:r>
      <w:r>
        <w:t xml:space="preserve">“</w:t>
      </w:r>
      <w:r>
        <w:t xml:space="preserve">sloppy</w:t>
      </w:r>
      <w:r>
        <w:t xml:space="preserve">”</w:t>
      </w:r>
      <w:r>
        <w:t xml:space="preserve"> </w:t>
      </w:r>
      <w:r>
        <w:t xml:space="preserve">direction in parameter space, in the terminology used in the general non-identifiability literature) — and the two cases require entirely different diagnostic tools to distinguish (Deva et al., 2021; Liyanage et al., 2025). This diagnostic evidence — profile-likelihood analysis, Fisher-information-based confidence bounds, or explicit structural-identifiability analysis of the model equations before fitting (the analytical approach demonstrated for a WBE-specific chemical fate model in Ramin et al., 2017, and for general epidemic growth models in Liyanage et al., 2025) — is not something a correlation coefficient or an RMSE can substitute for, and none of it appears routinely in the applied WBE back-calculation literature surveyed for this review, which is itself a documented gap rather than an assumption.</w:t>
      </w:r>
    </w:p>
    <w:p>
      <w:pPr>
        <w:pStyle w:val="BodyText"/>
      </w:pPr>
      <w:r>
        <w:rPr>
          <w:bCs/>
          <w:b/>
        </w:rPr>
        <w:t xml:space="preserve">State observability / state identifiability, kept explicitly distinct from parameter identifiability.</w:t>
      </w:r>
      <w:r>
        <w:t xml:space="preserve"> </w:t>
      </w:r>
      <w:r>
        <w:t xml:space="preserve">Given a model and its observation equation, state observability asks whether the latent trajectory of ultimate interest — true infection prevalence, true per-capita consumption, true exposure — can be recovered from</w:t>
      </w:r>
      <w:r>
        <w:t xml:space="preserve"> </w:t>
      </w:r>
      <m:oMath>
        <m:r>
          <m:t>Z</m:t>
        </m:r>
        <m:d>
          <m:dPr>
            <m:begChr m:val="("/>
            <m:endChr m:val=")"/>
            <m:sepChr m:val=""/>
            <m:grow/>
          </m:dPr>
          <m:e>
            <m:r>
              <m:t>t</m:t>
            </m:r>
          </m:e>
        </m:d>
      </m:oMath>
      <w:r>
        <w:t xml:space="preserve">, a question that remains meaningful even in the (rare) case where every model parameter is already known with certainty. §7.2’s worked illustration shows why the two are not interchangeable: a jointly-estimated parameter and state can trade off against each other in a way that is fundamentally a parameter-identifiability problem (the kernel shape is not pinned down), while a</w:t>
      </w:r>
      <w:r>
        <w:t xml:space="preserve"> </w:t>
      </w:r>
      <w:r>
        <w:rPr>
          <w:iCs/>
          <w:i/>
        </w:rPr>
        <w:t xml:space="preserve">correctly-parameterized</w:t>
      </w:r>
      <w:r>
        <w:t xml:space="preserve"> </w:t>
      </w:r>
      <w:r>
        <w:t xml:space="preserve">model can still have a state that is unobservable if the observation equation does not carry enough independent information to separate the state’s dimensions (a classic control-theoretic distinction between identifiability of parameters and observability of state, which the general epidemic-modeling identifiability literature increasingly treats as related but formally separate questions, e.g. via the structural-identifiability-and-observability analysis tooling referenced in Liyanage et al., 2025’s broader literature). This review’s evidence base contains one method that engages with state observability most directly, by grounding one component of the model (the shedding kernel, a parameter) in external, independently-collected data specifically so that the state (the incidence curve) becomes better-posed to recover — precisely the</w:t>
      </w:r>
      <w:r>
        <w:t xml:space="preserve"> </w:t>
      </w:r>
      <w:r>
        <w:t xml:space="preserve">“</w:t>
      </w:r>
      <w:r>
        <w:t xml:space="preserve">process-informed correction</w:t>
      </w:r>
      <w:r>
        <w:t xml:space="preserve">”</w:t>
      </w:r>
      <w:r>
        <w:t xml:space="preserve"> </w:t>
      </w:r>
      <w:r>
        <w:t xml:space="preserve">strategy §4.3 and §6.6 already argued for, now shown to be equally necessary at the back-calculation stage (Huisman et al., 2022). The Bayesian state-space approach in Dai et al. (2024) is this review’s clearest example of a method explicitly designed around the state-observability question (treating the incidence/case-generating process as an explicit latent state with a measurement model), independent of how well its particular implementation resolves it.</w:t>
      </w:r>
    </w:p>
    <w:p>
      <w:pPr>
        <w:pStyle w:val="BodyText"/>
      </w:pPr>
      <w:r>
        <w:rPr>
          <w:bCs/>
          <w:b/>
        </w:rPr>
        <w:t xml:space="preserve">Model structural adequacy — the axis least discussed in the applied literature surveyed for this review.</w:t>
      </w:r>
      <w:r>
        <w:t xml:space="preserve"> </w:t>
      </w:r>
      <w:r>
        <w:t xml:space="preserve">Even a model with resolved parameter identifiability and demonstrated state observability can be the wrong model, if it omits a mechanism that materially affects the real system (§7.2’s CSO example; more generally, any of §4’s transport processes, §6.8’s failure catalog, or §7.6 below). Structural adequacy is not addressed by any of the other four criteria above — a well-fit, identifiable, observable model built on a wrong observation equation simply produces confident wrong answers, which several sources in this review’s broader evidence base flag as a documented risk in compartmental epidemic modeling generally (Deva et al., 2021) without, in this review’s search, being addressed by a dedicated structural-adequacy diagnostic specific to WBE back-calculation models — a second documented gap in the current evidence base, alongside the parameter-identifiability-diagnostic gap noted above.</w:t>
      </w:r>
    </w:p>
    <w:bookmarkEnd w:id="63"/>
    <w:bookmarkStart w:id="64" w:name="Xd58b910165e231d26850fc5720d89c551140cf9"/>
    <w:p>
      <w:pPr>
        <w:pStyle w:val="Heading3"/>
      </w:pPr>
      <w:r>
        <w:t xml:space="preserve">7.4 Evaluating Back-Calculation Method Families Against the Five-Way Framework</w:t>
      </w:r>
    </w:p>
    <w:p>
      <w:pPr>
        <w:pStyle w:val="FirstParagraph"/>
      </w:pPr>
      <w:r>
        <w:rPr>
          <w:bCs/>
          <w:b/>
        </w:rPr>
        <w:t xml:space="preserve">Table 4</w:t>
      </w:r>
      <w:r>
        <w:t xml:space="preserve"> </w:t>
      </w:r>
      <w:r>
        <w:t xml:space="preserve">organizes the method families surveyed in §7.1 against the five criteria from §7.0, making explicit which kind of evidence each method family typically provides and which it typically does not. Parameter identifiability and state observability are shown as separate columns specifically because, per §7.0 and §7.2, a method can score differently on each.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 family</w:t>
            </w:r>
          </w:p>
        </w:tc>
        <w:tc>
          <w:tcPr/>
          <w:p>
            <w:pPr>
              <w:pStyle w:val="Compact"/>
              <w:jc w:val="left"/>
            </w:pPr>
            <w:r>
              <w:t xml:space="preserve">Association/correlation</w:t>
            </w:r>
          </w:p>
        </w:tc>
        <w:tc>
          <w:tcPr/>
          <w:p>
            <w:pPr>
              <w:pStyle w:val="Compact"/>
              <w:jc w:val="left"/>
            </w:pPr>
            <w:r>
              <w:t xml:space="preserve">Predictive performance</w:t>
            </w:r>
          </w:p>
        </w:tc>
        <w:tc>
          <w:tcPr/>
          <w:p>
            <w:pPr>
              <w:pStyle w:val="Compact"/>
              <w:jc w:val="left"/>
            </w:pPr>
            <w:r>
              <w:t xml:space="preserve">Parameter identifiability</w:t>
            </w:r>
          </w:p>
        </w:tc>
        <w:tc>
          <w:tcPr/>
          <w:p>
            <w:pPr>
              <w:pStyle w:val="Compact"/>
              <w:jc w:val="left"/>
            </w:pPr>
            <w:r>
              <w:t xml:space="preserve">State observability</w:t>
            </w:r>
          </w:p>
        </w:tc>
        <w:tc>
          <w:tcPr/>
          <w:p>
            <w:pPr>
              <w:pStyle w:val="Compact"/>
              <w:jc w:val="left"/>
            </w:pPr>
            <w:r>
              <w:t xml:space="preserve">Structural adequacy</w:t>
            </w:r>
          </w:p>
        </w:tc>
      </w:tr>
      <w:tr>
        <w:tc>
          <w:tcPr/>
          <w:p>
            <w:pPr>
              <w:pStyle w:val="Compact"/>
              <w:jc w:val="left"/>
            </w:pPr>
            <w:r>
              <w:t xml:space="preserve">Deterministic mass-balance back-calculation (e.g., Zuccato et al., 2008)</w:t>
            </w:r>
          </w:p>
        </w:tc>
        <w:tc>
          <w:tcPr/>
          <w:p>
            <w:pPr>
              <w:pStyle w:val="Compact"/>
              <w:jc w:val="left"/>
            </w:pPr>
            <w:r>
              <w:t xml:space="preserve">✅ direct output</w:t>
            </w:r>
          </w:p>
        </w:tc>
        <w:tc>
          <w:tcPr/>
          <w:p>
            <w:pPr>
              <w:pStyle w:val="Compact"/>
              <w:jc w:val="left"/>
            </w:pPr>
            <w:r>
              <w:t xml:space="preserve">⚠ rarely tested out-of-sample</w:t>
            </w:r>
          </w:p>
        </w:tc>
        <w:tc>
          <w:tcPr/>
          <w:p>
            <w:pPr>
              <w:pStyle w:val="Compact"/>
              <w:jc w:val="left"/>
            </w:pPr>
            <w:r>
              <w:t xml:space="preserve">❌</w:t>
            </w:r>
            <w:r>
              <w:t xml:space="preserve"> </w:t>
            </w:r>
            <m:oMath>
              <m:r>
                <m:t>C</m:t>
              </m:r>
              <m:r>
                <m:t>F</m:t>
              </m:r>
            </m:oMath>
            <w:r>
              <w:t xml:space="preserve"> </w:t>
            </w:r>
            <w:r>
              <w:t xml:space="preserve">typically fixed by assumption, not shown identifiable</w:t>
            </w:r>
          </w:p>
        </w:tc>
        <w:tc>
          <w:tcPr/>
          <w:p>
            <w:pPr>
              <w:pStyle w:val="Compact"/>
              <w:jc w:val="left"/>
            </w:pPr>
            <w:r>
              <w:t xml:space="preserve">⚠ not applicable in the state-space sense — no dynamic latent state, a static per-capita estimate</w:t>
            </w:r>
          </w:p>
        </w:tc>
        <w:tc>
          <w:tcPr/>
          <w:p>
            <w:pPr>
              <w:pStyle w:val="Compact"/>
              <w:jc w:val="left"/>
            </w:pPr>
            <w:r>
              <w:t xml:space="preserve">❌ rarely tested; excretion/degradation assumptions usually unverified for the specific population</w:t>
            </w:r>
          </w:p>
        </w:tc>
      </w:tr>
      <w:tr>
        <w:tc>
          <w:tcPr/>
          <w:p>
            <w:pPr>
              <w:pStyle w:val="Compact"/>
              <w:jc w:val="left"/>
            </w:pPr>
            <w:r>
              <w:t xml:space="preserve">Empirical regression / single-lag correlation</w:t>
            </w:r>
          </w:p>
        </w:tc>
        <w:tc>
          <w:tcPr/>
          <w:p>
            <w:pPr>
              <w:pStyle w:val="Compact"/>
              <w:jc w:val="left"/>
            </w:pPr>
            <w:r>
              <w:t xml:space="preserve">✅ direct output</w:t>
            </w:r>
          </w:p>
        </w:tc>
        <w:tc>
          <w:tcPr/>
          <w:p>
            <w:pPr>
              <w:pStyle w:val="Compact"/>
              <w:jc w:val="left"/>
            </w:pPr>
            <w:r>
              <w:t xml:space="preserve">⚠ only if explicitly out-of-sample tested (often not)</w:t>
            </w:r>
          </w:p>
        </w:tc>
        <w:tc>
          <w:tcPr/>
          <w:p>
            <w:pPr>
              <w:pStyle w:val="Compact"/>
              <w:jc w:val="left"/>
            </w:pPr>
            <w:r>
              <w:t xml:space="preserve">❌ not applicable — no mechanistic parameters</w:t>
            </w:r>
          </w:p>
        </w:tc>
        <w:tc>
          <w:tcPr/>
          <w:p>
            <w:pPr>
              <w:pStyle w:val="Compact"/>
              <w:jc w:val="left"/>
            </w:pPr>
            <w:r>
              <w:t xml:space="preserve">❌ not addressed — no explicit state representation</w:t>
            </w:r>
          </w:p>
        </w:tc>
        <w:tc>
          <w:tcPr/>
          <w:p>
            <w:pPr>
              <w:pStyle w:val="Compact"/>
              <w:jc w:val="left"/>
            </w:pPr>
            <w:r>
              <w:t xml:space="preserve">❌ not addressed</w:t>
            </w:r>
          </w:p>
        </w:tc>
      </w:tr>
      <w:tr>
        <w:tc>
          <w:tcPr/>
          <w:p>
            <w:pPr>
              <w:pStyle w:val="Compact"/>
              <w:jc w:val="left"/>
            </w:pPr>
            <w:r>
              <w:t xml:space="preserve">Distributed-lag / time-lag regression (e.g., Schoen et al., 2022)</w:t>
            </w:r>
          </w:p>
        </w:tc>
        <w:tc>
          <w:tcPr/>
          <w:p>
            <w:pPr>
              <w:pStyle w:val="Compact"/>
              <w:jc w:val="left"/>
            </w:pPr>
            <w:r>
              <w:t xml:space="preserve">✅</w:t>
            </w:r>
          </w:p>
        </w:tc>
        <w:tc>
          <w:tcPr/>
          <w:p>
            <w:pPr>
              <w:pStyle w:val="Compact"/>
              <w:jc w:val="left"/>
            </w:pPr>
            <w:r>
              <w:t xml:space="preserve">✅ (where tested, as in this example)</w:t>
            </w:r>
          </w:p>
        </w:tc>
        <w:tc>
          <w:tcPr/>
          <w:p>
            <w:pPr>
              <w:pStyle w:val="Compact"/>
              <w:jc w:val="left"/>
            </w:pPr>
            <w:r>
              <w:t xml:space="preserve">❌ lag weights are statistical, not mechanistically interpretable</w:t>
            </w:r>
          </w:p>
        </w:tc>
        <w:tc>
          <w:tcPr/>
          <w:p>
            <w:pPr>
              <w:pStyle w:val="Compact"/>
              <w:jc w:val="left"/>
            </w:pPr>
            <w:r>
              <w:t xml:space="preserve">❌ not addressed — no explicit latent-state representation</w:t>
            </w:r>
          </w:p>
        </w:tc>
        <w:tc>
          <w:tcPr/>
          <w:p>
            <w:pPr>
              <w:pStyle w:val="Compact"/>
              <w:jc w:val="left"/>
            </w:pPr>
            <w:r>
              <w:t xml:space="preserve">❌ not addressed</w:t>
            </w:r>
          </w:p>
        </w:tc>
      </w:tr>
      <w:tr>
        <w:tc>
          <w:tcPr/>
          <w:p>
            <w:pPr>
              <w:pStyle w:val="Compact"/>
              <w:jc w:val="left"/>
            </w:pPr>
            <w:r>
              <w:t xml:space="preserve">Deconvolution with independently-sourced shedding kernel (e.g., Huisman et al., 2022)</w:t>
            </w:r>
          </w:p>
        </w:tc>
        <w:tc>
          <w:tcPr/>
          <w:p>
            <w:pPr>
              <w:pStyle w:val="Compact"/>
              <w:jc w:val="left"/>
            </w:pPr>
            <w:r>
              <w:t xml:space="preserve">✅</w:t>
            </w:r>
          </w:p>
        </w:tc>
        <w:tc>
          <w:tcPr/>
          <w:p>
            <w:pPr>
              <w:pStyle w:val="Compact"/>
              <w:jc w:val="left"/>
            </w:pPr>
            <w:r>
              <w:t xml:space="preserve">✅ (where tested)</w:t>
            </w:r>
          </w:p>
        </w:tc>
        <w:tc>
          <w:tcPr/>
          <w:p>
            <w:pPr>
              <w:pStyle w:val="Compact"/>
              <w:jc w:val="left"/>
            </w:pPr>
            <w:r>
              <w:t xml:space="preserve">⚠ partial — kernel/incidence trade-off remains a live concern even with external kernel data (§7.2)</w:t>
            </w:r>
          </w:p>
        </w:tc>
        <w:tc>
          <w:tcPr/>
          <w:p>
            <w:pPr>
              <w:pStyle w:val="Compact"/>
              <w:jc w:val="left"/>
            </w:pPr>
            <w:r>
              <w:t xml:space="preserve">✅ best-supported example in this evidence base — external kernel grounding is specifically what improves this</w:t>
            </w:r>
          </w:p>
        </w:tc>
        <w:tc>
          <w:tcPr/>
          <w:p>
            <w:pPr>
              <w:pStyle w:val="Compact"/>
              <w:jc w:val="left"/>
            </w:pPr>
            <w:r>
              <w:t xml:space="preserve">⚠ depends on whether transport losses (CSO, decay) are also externally grounded, not just the kernel</w:t>
            </w:r>
          </w:p>
        </w:tc>
      </w:tr>
      <w:tr>
        <w:tc>
          <w:tcPr/>
          <w:p>
            <w:pPr>
              <w:pStyle w:val="Compact"/>
              <w:jc w:val="left"/>
            </w:pPr>
            <w:r>
              <w:t xml:space="preserve">Bayesian hierarchical / state-space models (e.g., Dai et al., 2024)</w:t>
            </w:r>
          </w:p>
        </w:tc>
        <w:tc>
          <w:tcPr/>
          <w:p>
            <w:pPr>
              <w:pStyle w:val="Compact"/>
              <w:jc w:val="left"/>
            </w:pPr>
            <w:r>
              <w:t xml:space="preserve">✅</w:t>
            </w:r>
          </w:p>
        </w:tc>
        <w:tc>
          <w:tcPr/>
          <w:p>
            <w:pPr>
              <w:pStyle w:val="Compact"/>
              <w:jc w:val="left"/>
            </w:pPr>
            <w:r>
              <w:t xml:space="preserve">⚠ depends on implementation</w:t>
            </w:r>
          </w:p>
        </w:tc>
        <w:tc>
          <w:tcPr/>
          <w:p>
            <w:pPr>
              <w:pStyle w:val="Compact"/>
              <w:jc w:val="left"/>
            </w:pPr>
            <w:r>
              <w:t xml:space="preserve">⚠ a posterior credible interval describes parameter uncertainty conditional on the chosen model and prior — it is not, by itself, evidence of structural or practical identifiability (§8.9’s narrow-posterior critique); a narrow interval can result from an informative/overconfident prior or an overly rigid model structure rather than genuine identifiability, so this requires independent structural/practical identifiability diagnostics (§7.3) before being read as ✅</w:t>
            </w:r>
          </w:p>
        </w:tc>
        <w:tc>
          <w:tcPr/>
          <w:p>
            <w:pPr>
              <w:pStyle w:val="Compact"/>
              <w:jc w:val="left"/>
            </w:pPr>
            <w:r>
              <w:t xml:space="preserve">⚠ explicitly models a latent state and provides posterior state estimates, but this does not by itself establish state observability — no formal observability analysis or synthetic-state/known-truth recovery test was confirmed for this study, so posterior state estimates should not be equated with demonstrated observability</w:t>
            </w:r>
          </w:p>
        </w:tc>
        <w:tc>
          <w:tcPr/>
          <w:p>
            <w:pPr>
              <w:pStyle w:val="Compact"/>
              <w:jc w:val="left"/>
            </w:pPr>
            <w:r>
              <w:t xml:space="preserve">⚠ depends on whether the measurement/process model includes the relevant mechanisms</w:t>
            </w:r>
          </w:p>
        </w:tc>
      </w:tr>
      <w:tr>
        <w:tc>
          <w:tcPr/>
          <w:p>
            <w:pPr>
              <w:pStyle w:val="Compact"/>
              <w:jc w:val="left"/>
            </w:pPr>
            <w:r>
              <w:t xml:space="preserve">SEIR-type compartmental + wastewater observation equation (e.g., McMahan et al., 2021)</w:t>
            </w:r>
          </w:p>
        </w:tc>
        <w:tc>
          <w:tcPr/>
          <w:p>
            <w:pPr>
              <w:pStyle w:val="Compact"/>
              <w:jc w:val="left"/>
            </w:pPr>
            <w:r>
              <w:t xml:space="preserve">✅</w:t>
            </w:r>
          </w:p>
        </w:tc>
        <w:tc>
          <w:tcPr/>
          <w:p>
            <w:pPr>
              <w:pStyle w:val="Compact"/>
              <w:jc w:val="left"/>
            </w:pPr>
            <w:r>
              <w:t xml:space="preserve">⚠ depends on implementation and validation</w:t>
            </w:r>
          </w:p>
        </w:tc>
        <w:tc>
          <w:tcPr/>
          <w:p>
            <w:pPr>
              <w:pStyle w:val="Compact"/>
              <w:jc w:val="left"/>
            </w:pPr>
            <w:r>
              <w:t xml:space="preserve">❌ frequently non-identifiable or only weakly identifiable without structural-identifiability analysis (Deva et al., 2021; Liyanage et al., 2025)</w:t>
            </w:r>
          </w:p>
        </w:tc>
        <w:tc>
          <w:tcPr/>
          <w:p>
            <w:pPr>
              <w:pStyle w:val="Compact"/>
              <w:jc w:val="left"/>
            </w:pPr>
            <w:r>
              <w:t xml:space="preserve">⚠ depends on whether the observation equation carries enough independent information relative to state dimensions — rarely tested explicitly</w:t>
            </w:r>
          </w:p>
        </w:tc>
        <w:tc>
          <w:tcPr/>
          <w:p>
            <w:pPr>
              <w:pStyle w:val="Compact"/>
              <w:jc w:val="left"/>
            </w:pPr>
            <w:r>
              <w:t xml:space="preserve">❌ compartmental structure is a modeling choice rarely validated against alternative structures (§8, forthcoming)</w:t>
            </w:r>
          </w:p>
        </w:tc>
      </w:tr>
      <w:tr>
        <w:tc>
          <w:tcPr/>
          <w:p>
            <w:pPr>
              <w:pStyle w:val="Compact"/>
              <w:jc w:val="left"/>
            </w:pPr>
            <w:r>
              <w:t xml:space="preserve">Machine learning / data-driven forecasting (e.g., Ai et al., 2022)</w:t>
            </w:r>
          </w:p>
        </w:tc>
        <w:tc>
          <w:tcPr/>
          <w:p>
            <w:pPr>
              <w:pStyle w:val="Compact"/>
              <w:jc w:val="left"/>
            </w:pPr>
            <w:r>
              <w:t xml:space="preserve">✅</w:t>
            </w:r>
          </w:p>
        </w:tc>
        <w:tc>
          <w:tcPr/>
          <w:p>
            <w:pPr>
              <w:pStyle w:val="Compact"/>
              <w:jc w:val="left"/>
            </w:pPr>
            <w:r>
              <w:t xml:space="preserve">✅ (the family’s core strength)</w:t>
            </w:r>
          </w:p>
        </w:tc>
        <w:tc>
          <w:tcPr/>
          <w:p>
            <w:pPr>
              <w:pStyle w:val="Compact"/>
              <w:jc w:val="left"/>
            </w:pPr>
            <w:r>
              <w:t xml:space="preserve">❌ not applicable by design — no interpretable mechanistic parameters</w:t>
            </w:r>
          </w:p>
        </w:tc>
        <w:tc>
          <w:tcPr/>
          <w:p>
            <w:pPr>
              <w:pStyle w:val="Compact"/>
              <w:jc w:val="left"/>
            </w:pPr>
            <w:r>
              <w:t xml:space="preserve">❌ not applicable by design — no explicit state representation</w:t>
            </w:r>
          </w:p>
        </w:tc>
        <w:tc>
          <w:tcPr/>
          <w:p>
            <w:pPr>
              <w:pStyle w:val="Compact"/>
              <w:jc w:val="left"/>
            </w:pPr>
            <w:r>
              <w:t xml:space="preserve">❌ not applicable by design</w:t>
            </w:r>
          </w:p>
        </w:tc>
      </w:tr>
      <w:tr>
        <w:tc>
          <w:tcPr/>
          <w:p>
            <w:pPr>
              <w:pStyle w:val="Compact"/>
              <w:jc w:val="left"/>
            </w:pPr>
            <w:r>
              <w:t xml:space="preserve">Multi-model ensembles (e.g., Alhassan et al., 2025)</w:t>
            </w:r>
          </w:p>
        </w:tc>
        <w:tc>
          <w:tcPr/>
          <w:p>
            <w:pPr>
              <w:pStyle w:val="Compact"/>
              <w:jc w:val="left"/>
            </w:pPr>
            <w:r>
              <w:t xml:space="preserve">✅</w:t>
            </w:r>
          </w:p>
        </w:tc>
        <w:tc>
          <w:tcPr/>
          <w:p>
            <w:pPr>
              <w:pStyle w:val="Compact"/>
              <w:jc w:val="left"/>
            </w:pPr>
            <w:r>
              <w:t xml:space="preserve">✅ (ensemble comparison is the family’s explicit purpose)</w:t>
            </w:r>
          </w:p>
        </w:tc>
        <w:tc>
          <w:tcPr/>
          <w:p>
            <w:pPr>
              <w:pStyle w:val="Compact"/>
              <w:jc w:val="left"/>
            </w:pPr>
            <w:r>
              <w:t xml:space="preserve">⚠ varies by constituent model; ensemble-level identifiability rarely assessed jointly</w:t>
            </w:r>
          </w:p>
        </w:tc>
        <w:tc>
          <w:tcPr/>
          <w:p>
            <w:pPr>
              <w:pStyle w:val="Compact"/>
              <w:jc w:val="left"/>
            </w:pPr>
            <w:r>
              <w:t xml:space="preserve">⚠ varies by constituent model</w:t>
            </w:r>
          </w:p>
        </w:tc>
        <w:tc>
          <w:tcPr/>
          <w:p>
            <w:pPr>
              <w:pStyle w:val="Compact"/>
              <w:jc w:val="left"/>
            </w:pPr>
            <w:r>
              <w:t xml:space="preserve">⚠ ensemble averaging can mask, rather than resolve, an individual constituent model’s structural inadequacy — a documented general risk (§8, forthcoming)</w:t>
            </w:r>
          </w:p>
        </w:tc>
      </w:tr>
    </w:tbl>
    <w:p>
      <w:pPr>
        <w:pStyle w:val="BodyText"/>
      </w:pPr>
      <w:r>
        <w:t xml:space="preserve">No method family in this table achieves ✅ across all five columns in the evidence surveyed for this review. This is stated as a finding, not a defect in the table — it is the direct, literature-grounded conclusion of §7.0–7.3, and the honest baseline against which any future method claiming to resolve parameter identifiability, state observability, and structural adequacy simultaneously should be judged.</w:t>
      </w:r>
    </w:p>
    <w:p>
      <w:pPr>
        <w:pStyle w:val="BodyText"/>
      </w:pPr>
      <w:r>
        <w:rPr>
          <w:bCs/>
          <w:b/>
        </w:rPr>
        <w:t xml:space="preserve">Table 5</w:t>
      </w:r>
      <w:r>
        <w:t xml:space="preserve"> </w:t>
      </w:r>
      <w:r>
        <w:t xml:space="preserve">provides the detailed per-study audit requested for this evidence-base expansion, recording eight attributes for each of the primary WBE modelling studies cited above plus two normalization-stage studies carried forward from earlier chapters for comparison.</w:t>
      </w:r>
      <w:r>
        <w:t xml:space="preserve"> </w:t>
      </w:r>
      <w:r>
        <w:t xml:space="preserve">“</w:t>
      </w:r>
      <w:r>
        <w:t xml:space="preserve">n/a</w:t>
      </w:r>
      <w:r>
        <w:t xml:space="preserve">”</w:t>
      </w:r>
      <w:r>
        <w:t xml:space="preserve"> </w:t>
      </w:r>
      <w:r>
        <w:t xml:space="preserve">indicates the attribute does not apply to that study’s design (e.g., a deterministic model has no training/test split);</w:t>
      </w:r>
      <w:r>
        <w:t xml:space="preserve"> </w:t>
      </w:r>
      <w:r>
        <w:t xml:space="preserve">“</w:t>
      </w:r>
      <w:r>
        <w:t xml:space="preserve">not reported</w:t>
      </w:r>
      <w:r>
        <w:t xml:space="preserve">”</w:t>
      </w:r>
      <w:r>
        <w:t xml:space="preserve"> </w:t>
      </w:r>
      <w:r>
        <w:t xml:space="preserve">indicates the study could plausibly report it but this review’s search did not confirm that it does; all entries are subject to the same full-text-verification caveat as the rest of this review (§2.3).</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Study</w:t>
            </w:r>
          </w:p>
        </w:tc>
        <w:tc>
          <w:tcPr/>
          <w:p>
            <w:pPr>
              <w:pStyle w:val="Compact"/>
              <w:jc w:val="left"/>
            </w:pPr>
            <w:r>
              <w:t xml:space="preserve">Target variable reconstructed</w:t>
            </w:r>
          </w:p>
        </w:tc>
        <w:tc>
          <w:tcPr/>
          <w:p>
            <w:pPr>
              <w:pStyle w:val="Compact"/>
              <w:jc w:val="left"/>
            </w:pPr>
            <w:r>
              <w:t xml:space="preserve">Absolute quantity estimated?</w:t>
            </w:r>
          </w:p>
        </w:tc>
        <w:tc>
          <w:tcPr/>
          <w:p>
            <w:pPr>
              <w:pStyle w:val="Compact"/>
              <w:jc w:val="left"/>
            </w:pPr>
            <w:r>
              <w:t xml:space="preserve">Training/validation data</w:t>
            </w:r>
          </w:p>
        </w:tc>
        <w:tc>
          <w:tcPr/>
          <w:p>
            <w:pPr>
              <w:pStyle w:val="Compact"/>
              <w:jc w:val="left"/>
            </w:pPr>
            <w:r>
              <w:t xml:space="preserve">Independent spatiotemporal external validation?</w:t>
            </w:r>
          </w:p>
        </w:tc>
        <w:tc>
          <w:tcPr/>
          <w:p>
            <w:pPr>
              <w:pStyle w:val="Compact"/>
              <w:jc w:val="left"/>
            </w:pPr>
            <w:r>
              <w:t xml:space="preserve">Parameter-identifiability analysis performed?</w:t>
            </w:r>
          </w:p>
        </w:tc>
        <w:tc>
          <w:tcPr/>
          <w:p>
            <w:pPr>
              <w:pStyle w:val="Compact"/>
              <w:jc w:val="left"/>
            </w:pPr>
            <w:r>
              <w:t xml:space="preserve">State-recovery/observability validation performed?</w:t>
            </w:r>
          </w:p>
        </w:tc>
        <w:tc>
          <w:tcPr/>
          <w:p>
            <w:pPr>
              <w:pStyle w:val="Compact"/>
              <w:jc w:val="left"/>
            </w:pPr>
            <w:r>
              <w:t xml:space="preserve">Input/parameter uncertainty propagated?</w:t>
            </w:r>
          </w:p>
        </w:tc>
        <w:tc>
          <w:tcPr/>
          <w:p>
            <w:pPr>
              <w:pStyle w:val="Compact"/>
              <w:jc w:val="left"/>
            </w:pPr>
            <w:r>
              <w:t xml:space="preserve">Documented failure/degradation conditions</w:t>
            </w:r>
          </w:p>
        </w:tc>
      </w:tr>
      <w:tr>
        <w:tc>
          <w:tcPr/>
          <w:p>
            <w:pPr>
              <w:pStyle w:val="Compact"/>
              <w:jc w:val="left"/>
            </w:pPr>
            <w:r>
              <w:t xml:space="preserve">Zuccato et al. (2008)</w:t>
            </w:r>
          </w:p>
        </w:tc>
        <w:tc>
          <w:tcPr/>
          <w:p>
            <w:pPr>
              <w:pStyle w:val="Compact"/>
              <w:jc w:val="left"/>
            </w:pPr>
            <w:r>
              <w:t xml:space="preserve">Per-capita drug consumption</w:t>
            </w:r>
          </w:p>
        </w:tc>
        <w:tc>
          <w:tcPr/>
          <w:p>
            <w:pPr>
              <w:pStyle w:val="Compact"/>
              <w:jc w:val="left"/>
            </w:pPr>
            <w:r>
              <w:t xml:space="preserve">✅ yes (absolute mass/day per 1,000 people)</w:t>
            </w:r>
          </w:p>
        </w:tc>
        <w:tc>
          <w:tcPr/>
          <w:p>
            <w:pPr>
              <w:pStyle w:val="Compact"/>
              <w:jc w:val="left"/>
            </w:pPr>
            <w:r>
              <w:t xml:space="preserve">n/a (deterministic calculation, not fit to training data)</w:t>
            </w:r>
          </w:p>
        </w:tc>
        <w:tc>
          <w:tcPr/>
          <w:p>
            <w:pPr>
              <w:pStyle w:val="Compact"/>
              <w:jc w:val="left"/>
            </w:pPr>
            <w:r>
              <w:t xml:space="preserve">❌ not reported</w:t>
            </w:r>
          </w:p>
        </w:tc>
        <w:tc>
          <w:tcPr/>
          <w:p>
            <w:pPr>
              <w:pStyle w:val="Compact"/>
              <w:jc w:val="left"/>
            </w:pPr>
            <w:r>
              <w:t xml:space="preserve">❌ not reported</w:t>
            </w:r>
          </w:p>
        </w:tc>
        <w:tc>
          <w:tcPr/>
          <w:p>
            <w:pPr>
              <w:pStyle w:val="Compact"/>
              <w:jc w:val="left"/>
            </w:pPr>
            <w:r>
              <w:t xml:space="preserve">n/a (static estimate, no dynamic state)</w:t>
            </w:r>
          </w:p>
        </w:tc>
        <w:tc>
          <w:tcPr/>
          <w:p>
            <w:pPr>
              <w:pStyle w:val="Compact"/>
              <w:jc w:val="left"/>
            </w:pPr>
            <w:r>
              <w:t xml:space="preserve">❌ not reported (point estimate)</w:t>
            </w:r>
          </w:p>
        </w:tc>
        <w:tc>
          <w:tcPr/>
          <w:p>
            <w:pPr>
              <w:pStyle w:val="Compact"/>
              <w:jc w:val="left"/>
            </w:pPr>
            <w:r>
              <w:t xml:space="preserve">Not systematically documented in search results</w:t>
            </w:r>
          </w:p>
        </w:tc>
      </w:tr>
      <w:tr>
        <w:tc>
          <w:tcPr/>
          <w:p>
            <w:pPr>
              <w:pStyle w:val="Compact"/>
              <w:jc w:val="left"/>
            </w:pPr>
            <w:r>
              <w:t xml:space="preserve">Ramin et al. (2017)</w:t>
            </w:r>
          </w:p>
        </w:tc>
        <w:tc>
          <w:tcPr/>
          <w:p>
            <w:pPr>
              <w:pStyle w:val="Compact"/>
              <w:jc w:val="left"/>
            </w:pPr>
            <w:r>
              <w:t xml:space="preserve">Transformation-pathway structure / consumption estimate</w:t>
            </w:r>
          </w:p>
        </w:tc>
        <w:tc>
          <w:tcPr/>
          <w:p>
            <w:pPr>
              <w:pStyle w:val="Compact"/>
              <w:jc w:val="left"/>
            </w:pPr>
            <w:r>
              <w:t xml:space="preserve">✅ yes (implied by pathway choice)</w:t>
            </w:r>
          </w:p>
        </w:tc>
        <w:tc>
          <w:tcPr/>
          <w:p>
            <w:pPr>
              <w:pStyle w:val="Compact"/>
              <w:jc w:val="left"/>
            </w:pPr>
            <w:r>
              <w:t xml:space="preserve">⚠ calibration dataset used; independent test set not confirmed</w:t>
            </w:r>
          </w:p>
        </w:tc>
        <w:tc>
          <w:tcPr/>
          <w:p>
            <w:pPr>
              <w:pStyle w:val="Compact"/>
              <w:jc w:val="left"/>
            </w:pPr>
            <w:r>
              <w:t xml:space="preserve">❌ not reported</w:t>
            </w:r>
          </w:p>
        </w:tc>
        <w:tc>
          <w:tcPr/>
          <w:p>
            <w:pPr>
              <w:pStyle w:val="Compact"/>
              <w:jc w:val="left"/>
            </w:pPr>
            <w:r>
              <w:t xml:space="preserve">✅ yes — this is the study’s central contribution</w:t>
            </w:r>
          </w:p>
        </w:tc>
        <w:tc>
          <w:tcPr/>
          <w:p>
            <w:pPr>
              <w:pStyle w:val="Compact"/>
              <w:jc w:val="left"/>
            </w:pPr>
            <w:r>
              <w:t xml:space="preserve">n/a</w:t>
            </w:r>
          </w:p>
        </w:tc>
        <w:tc>
          <w:tcPr/>
          <w:p>
            <w:pPr>
              <w:pStyle w:val="Compact"/>
              <w:jc w:val="left"/>
            </w:pPr>
            <w:r>
              <w:t xml:space="preserve">⚠ partial — parameter ranges/probability distributions considered per search summary</w:t>
            </w:r>
          </w:p>
        </w:tc>
        <w:tc>
          <w:tcPr/>
          <w:p>
            <w:pPr>
              <w:pStyle w:val="Compact"/>
              <w:jc w:val="left"/>
            </w:pPr>
            <w:r>
              <w:t xml:space="preserve">✅ yes — multiple pathway structures shown to fit equally well (the study’s key finding)</w:t>
            </w:r>
          </w:p>
        </w:tc>
      </w:tr>
      <w:tr>
        <w:tc>
          <w:tcPr/>
          <w:p>
            <w:pPr>
              <w:pStyle w:val="Compact"/>
              <w:jc w:val="left"/>
            </w:pPr>
            <w:r>
              <w:t xml:space="preserve">Huisman et al. (2022)</w:t>
            </w:r>
          </w:p>
        </w:tc>
        <w:tc>
          <w:tcPr/>
          <w:p>
            <w:pPr>
              <w:pStyle w:val="Compact"/>
              <w:jc w:val="left"/>
            </w:pPr>
            <w:r>
              <w:t xml:space="preserve">Effective reproductive number</w:t>
            </w:r>
            <w:r>
              <w:t xml:space="preserve"> </w:t>
            </w:r>
            <m:oMath>
              <m:sSub>
                <m:e>
                  <m:r>
                    <m:t>R</m:t>
                  </m:r>
                </m:e>
                <m:sub>
                  <m:r>
                    <m:t>t</m:t>
                  </m:r>
                </m:sub>
              </m:sSub>
            </m:oMath>
            <w:r>
              <w:t xml:space="preserve"> </w:t>
            </w:r>
            <w:r>
              <w:t xml:space="preserve">(state)</w:t>
            </w:r>
          </w:p>
        </w:tc>
        <w:tc>
          <w:tcPr/>
          <w:p>
            <w:pPr>
              <w:pStyle w:val="Compact"/>
              <w:jc w:val="left"/>
            </w:pPr>
            <w:r>
              <w:t xml:space="preserve">❌ no (relative/trend quantity by construction)</w:t>
            </w:r>
          </w:p>
        </w:tc>
        <w:tc>
          <w:tcPr/>
          <w:p>
            <w:pPr>
              <w:pStyle w:val="Compact"/>
              <w:jc w:val="left"/>
            </w:pPr>
            <w:r>
              <w:t xml:space="preserve">⚠ multiple sewersheds used; explicit held-out spatiotemporal test not confirmed</w:t>
            </w:r>
          </w:p>
        </w:tc>
        <w:tc>
          <w:tcPr/>
          <w:p>
            <w:pPr>
              <w:pStyle w:val="Compact"/>
              <w:jc w:val="left"/>
            </w:pPr>
            <w:r>
              <w:t xml:space="preserve">⚠ compared against independent clinical-case-based</w:t>
            </w:r>
            <w:r>
              <w:t xml:space="preserve"> </w:t>
            </w:r>
            <m:oMath>
              <m:sSub>
                <m:e>
                  <m:r>
                    <m:t>R</m:t>
                  </m:r>
                </m:e>
                <m:sub>
                  <m:r>
                    <m:t>t</m:t>
                  </m:r>
                </m:sub>
              </m:sSub>
            </m:oMath>
            <w:r>
              <w:t xml:space="preserve"> </w:t>
            </w:r>
            <w:r>
              <w:t xml:space="preserve">estimate (a form of external validation)</w:t>
            </w:r>
          </w:p>
        </w:tc>
        <w:tc>
          <w:tcPr/>
          <w:p>
            <w:pPr>
              <w:pStyle w:val="Compact"/>
              <w:jc w:val="left"/>
            </w:pPr>
            <w:r>
              <w:t xml:space="preserve">⚠ partial — kernel/</w:t>
            </w:r>
            <m:oMath>
              <m:sSub>
                <m:e>
                  <m:r>
                    <m:t>R</m:t>
                  </m:r>
                </m:e>
                <m:sub>
                  <m:r>
                    <m:t>t</m:t>
                  </m:r>
                </m:sub>
              </m:sSub>
            </m:oMath>
            <w:r>
              <w:t xml:space="preserve"> </w:t>
            </w:r>
            <w:r>
              <w:t xml:space="preserve">trade-off explicitly discussed but not fully resolved per search summary</w:t>
            </w:r>
          </w:p>
        </w:tc>
        <w:tc>
          <w:tcPr/>
          <w:p>
            <w:pPr>
              <w:pStyle w:val="Compact"/>
              <w:jc w:val="left"/>
            </w:pPr>
            <w:r>
              <w:t xml:space="preserve">✅ closest example in this evidence base to explicit state-recovery validation</w:t>
            </w:r>
          </w:p>
        </w:tc>
        <w:tc>
          <w:tcPr/>
          <w:p>
            <w:pPr>
              <w:pStyle w:val="Compact"/>
              <w:jc w:val="left"/>
            </w:pPr>
            <w:r>
              <w:t xml:space="preserve">⚠ not confirmed in detail</w:t>
            </w:r>
          </w:p>
        </w:tc>
        <w:tc>
          <w:tcPr/>
          <w:p>
            <w:pPr>
              <w:pStyle w:val="Compact"/>
              <w:jc w:val="left"/>
            </w:pPr>
            <w:r>
              <w:t xml:space="preserve">⚠ periods of low case ascertainment discussed as a motivating scenario, not a documented failure case</w:t>
            </w:r>
          </w:p>
        </w:tc>
      </w:tr>
      <w:tr>
        <w:tc>
          <w:tcPr/>
          <w:p>
            <w:pPr>
              <w:pStyle w:val="Compact"/>
              <w:jc w:val="left"/>
            </w:pPr>
            <w:r>
              <w:t xml:space="preserve">Schoen et al. (2022)</w:t>
            </w:r>
          </w:p>
        </w:tc>
        <w:tc>
          <w:tcPr/>
          <w:p>
            <w:pPr>
              <w:pStyle w:val="Compact"/>
              <w:jc w:val="left"/>
            </w:pPr>
            <w:r>
              <w:t xml:space="preserve">COVID-19 incidence rate</w:t>
            </w:r>
          </w:p>
        </w:tc>
        <w:tc>
          <w:tcPr/>
          <w:p>
            <w:pPr>
              <w:pStyle w:val="Compact"/>
              <w:jc w:val="left"/>
            </w:pPr>
            <w:r>
              <w:t xml:space="preserve">✅ yes (incidence rate, a quantitative absolute measure)</w:t>
            </w:r>
          </w:p>
        </w:tc>
        <w:tc>
          <w:tcPr/>
          <w:p>
            <w:pPr>
              <w:pStyle w:val="Compact"/>
              <w:jc w:val="left"/>
            </w:pPr>
            <w:r>
              <w:t xml:space="preserve">✅ explicit in-sample/out-of-sample RMSE comparison</w:t>
            </w:r>
          </w:p>
        </w:tc>
        <w:tc>
          <w:tcPr/>
          <w:p>
            <w:pPr>
              <w:pStyle w:val="Compact"/>
              <w:jc w:val="left"/>
            </w:pPr>
            <w:r>
              <w:t xml:space="preserve">⚠ same 4 sites, different time windows — not a different-site external validation</w:t>
            </w:r>
          </w:p>
        </w:tc>
        <w:tc>
          <w:tcPr/>
          <w:p>
            <w:pPr>
              <w:pStyle w:val="Compact"/>
              <w:jc w:val="left"/>
            </w:pPr>
            <w:r>
              <w:t xml:space="preserve">❌ not applicable (distributed-lag weights, not mechanistic parameters)</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yes — explicitly tested how reduced sampling frequency degrades prediction accuracy</w:t>
            </w:r>
          </w:p>
        </w:tc>
      </w:tr>
      <w:tr>
        <w:tc>
          <w:tcPr/>
          <w:p>
            <w:pPr>
              <w:pStyle w:val="Compact"/>
              <w:jc w:val="left"/>
            </w:pPr>
            <w:r>
              <w:t xml:space="preserve">Dai et al. (2024)</w:t>
            </w:r>
          </w:p>
        </w:tc>
        <w:tc>
          <w:tcPr/>
          <w:p>
            <w:pPr>
              <w:pStyle w:val="Compact"/>
              <w:jc w:val="left"/>
            </w:pPr>
            <w:r>
              <w:t xml:space="preserve">Daily COVID-19 case counts (latent state)</w:t>
            </w:r>
          </w:p>
        </w:tc>
        <w:tc>
          <w:tcPr/>
          <w:p>
            <w:pPr>
              <w:pStyle w:val="Compact"/>
              <w:jc w:val="left"/>
            </w:pPr>
            <w:r>
              <w:t xml:space="preserve">✅ yes</w:t>
            </w:r>
          </w:p>
        </w:tc>
        <w:tc>
          <w:tcPr/>
          <w:p>
            <w:pPr>
              <w:pStyle w:val="Compact"/>
              <w:jc w:val="left"/>
            </w:pPr>
            <w:r>
              <w:t xml:space="preserve">✅ explicit predictive framework, per search summary</w:t>
            </w:r>
          </w:p>
        </w:tc>
        <w:tc>
          <w:tcPr/>
          <w:p>
            <w:pPr>
              <w:pStyle w:val="Compact"/>
              <w:jc w:val="left"/>
            </w:pPr>
            <w:r>
              <w:t xml:space="preserve">⚠ not confirmed in detail</w:t>
            </w:r>
          </w:p>
        </w:tc>
        <w:tc>
          <w:tcPr/>
          <w:p>
            <w:pPr>
              <w:pStyle w:val="Compact"/>
              <w:jc w:val="left"/>
            </w:pPr>
            <w:r>
              <w:t xml:space="preserve">⚠ not applicable in the classical sense (Bayesian framework, identifiability not the stated focus), and a posterior interval alone does not establish it (§7.0, §8.9)</w:t>
            </w:r>
          </w:p>
        </w:tc>
        <w:tc>
          <w:tcPr/>
          <w:p>
            <w:pPr>
              <w:pStyle w:val="Compact"/>
              <w:jc w:val="left"/>
            </w:pPr>
            <w:r>
              <w:t xml:space="preserve">⚠ explicitly models a latent process and reports posterior state estimates addressing missingness, but no formal observability or synthetic-state recovery test was confirmed — posterior estimates alone are not equated with demonstrated observability</w:t>
            </w:r>
          </w:p>
        </w:tc>
        <w:tc>
          <w:tcPr/>
          <w:p>
            <w:pPr>
              <w:pStyle w:val="Compact"/>
              <w:jc w:val="left"/>
            </w:pPr>
            <w:r>
              <w:t xml:space="preserve">✅ yes — Bayesian framework propagates uncertainty by construction</w:t>
            </w:r>
          </w:p>
        </w:tc>
        <w:tc>
          <w:tcPr/>
          <w:p>
            <w:pPr>
              <w:pStyle w:val="Compact"/>
              <w:jc w:val="left"/>
            </w:pPr>
            <w:r>
              <w:t xml:space="preserve">⚠ missing/incomplete weekly data handled explicitly; other failure modes not confirmed</w:t>
            </w:r>
          </w:p>
        </w:tc>
      </w:tr>
      <w:tr>
        <w:tc>
          <w:tcPr/>
          <w:p>
            <w:pPr>
              <w:pStyle w:val="Compact"/>
              <w:jc w:val="left"/>
            </w:pPr>
            <w:r>
              <w:t xml:space="preserve">McMahan et al. (2021)</w:t>
            </w:r>
          </w:p>
        </w:tc>
        <w:tc>
          <w:tcPr/>
          <w:p>
            <w:pPr>
              <w:pStyle w:val="Compact"/>
              <w:jc w:val="left"/>
            </w:pPr>
            <w:r>
              <w:t xml:space="preserve">Total infected individuals per sewershed (state)</w:t>
            </w:r>
          </w:p>
        </w:tc>
        <w:tc>
          <w:tcPr/>
          <w:p>
            <w:pPr>
              <w:pStyle w:val="Compact"/>
              <w:jc w:val="left"/>
            </w:pPr>
            <w:r>
              <w:t xml:space="preserve">✅ yes</w:t>
            </w:r>
          </w:p>
        </w:tc>
        <w:tc>
          <w:tcPr/>
          <w:p>
            <w:pPr>
              <w:pStyle w:val="Compact"/>
              <w:jc w:val="left"/>
            </w:pPr>
            <w:r>
              <w:t xml:space="preserve">⚠ 3 South Carolina sewersheds; independent external site not confirmed</w:t>
            </w:r>
          </w:p>
        </w:tc>
        <w:tc>
          <w:tcPr/>
          <w:p>
            <w:pPr>
              <w:pStyle w:val="Compact"/>
              <w:jc w:val="left"/>
            </w:pPr>
            <w:r>
              <w:t xml:space="preserve">❌ not reported</w:t>
            </w:r>
          </w:p>
        </w:tc>
        <w:tc>
          <w:tcPr/>
          <w:p>
            <w:pPr>
              <w:pStyle w:val="Compact"/>
              <w:jc w:val="left"/>
            </w:pPr>
            <w:r>
              <w:t xml:space="preserve">❌ not reported</w:t>
            </w:r>
          </w:p>
        </w:tc>
        <w:tc>
          <w:tcPr/>
          <w:p>
            <w:pPr>
              <w:pStyle w:val="Compact"/>
              <w:jc w:val="left"/>
            </w:pPr>
            <w:r>
              <w:t xml:space="preserve">⚠ SEIR structure implies a state-estimation design, but explicit observability validation not confirmed</w:t>
            </w:r>
          </w:p>
        </w:tc>
        <w:tc>
          <w:tcPr/>
          <w:p>
            <w:pPr>
              <w:pStyle w:val="Compact"/>
              <w:jc w:val="left"/>
            </w:pPr>
            <w:r>
              <w:t xml:space="preserve">❌ not reported</w:t>
            </w:r>
          </w:p>
        </w:tc>
        <w:tc>
          <w:tcPr/>
          <w:p>
            <w:pPr>
              <w:pStyle w:val="Compact"/>
              <w:jc w:val="left"/>
            </w:pPr>
            <w:r>
              <w:t xml:space="preserve">❌ not systematically documented in search results</w:t>
            </w:r>
          </w:p>
        </w:tc>
      </w:tr>
      <w:tr>
        <w:tc>
          <w:tcPr/>
          <w:p>
            <w:pPr>
              <w:pStyle w:val="Compact"/>
              <w:jc w:val="left"/>
            </w:pPr>
            <w:r>
              <w:t xml:space="preserve">Ai et al. (2022)</w:t>
            </w:r>
          </w:p>
        </w:tc>
        <w:tc>
          <w:tcPr/>
          <w:p>
            <w:pPr>
              <w:pStyle w:val="Compact"/>
              <w:jc w:val="left"/>
            </w:pPr>
            <w:r>
              <w:t xml:space="preserve">COVID-19 outbreak trend/case prediction</w:t>
            </w:r>
          </w:p>
        </w:tc>
        <w:tc>
          <w:tcPr/>
          <w:p>
            <w:pPr>
              <w:pStyle w:val="Compact"/>
              <w:jc w:val="left"/>
            </w:pPr>
            <w:r>
              <w:t xml:space="preserve">⚠ trend-classification framing, per search summary</w:t>
            </w:r>
          </w:p>
        </w:tc>
        <w:tc>
          <w:tcPr/>
          <w:p>
            <w:pPr>
              <w:pStyle w:val="Compact"/>
              <w:jc w:val="left"/>
            </w:pPr>
            <w:r>
              <w:t xml:space="preserve">✅ explicit 70/30 train/test split</w:t>
            </w:r>
          </w:p>
        </w:tc>
        <w:tc>
          <w:tcPr/>
          <w:p>
            <w:pPr>
              <w:pStyle w:val="Compact"/>
              <w:jc w:val="left"/>
            </w:pPr>
            <w:r>
              <w:t xml:space="preserve">⚠ multi-community, but same overall study period — not a different-era external test</w:t>
            </w:r>
          </w:p>
        </w:tc>
        <w:tc>
          <w:tcPr/>
          <w:p>
            <w:pPr>
              <w:pStyle w:val="Compact"/>
              <w:jc w:val="left"/>
            </w:pPr>
            <w:r>
              <w:t xml:space="preserve">n/a (ML models, not mechanistic parameters)</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multi-community comparison implicitly tests generalization across sites, not explicitly framed as failure-mode documentation</w:t>
            </w:r>
          </w:p>
        </w:tc>
      </w:tr>
      <w:tr>
        <w:tc>
          <w:tcPr/>
          <w:p>
            <w:pPr>
              <w:pStyle w:val="Compact"/>
              <w:jc w:val="left"/>
            </w:pPr>
            <w:r>
              <w:t xml:space="preserve">Alhassan et al. (2025)</w:t>
            </w:r>
          </w:p>
        </w:tc>
        <w:tc>
          <w:tcPr/>
          <w:p>
            <w:pPr>
              <w:pStyle w:val="Compact"/>
              <w:jc w:val="left"/>
            </w:pPr>
            <w:r>
              <w:t xml:space="preserve">COVID-19 forecasts (multiple models)</w:t>
            </w:r>
          </w:p>
        </w:tc>
        <w:tc>
          <w:tcPr/>
          <w:p>
            <w:pPr>
              <w:pStyle w:val="Compact"/>
              <w:jc w:val="left"/>
            </w:pPr>
            <w:r>
              <w:t xml:space="preserve">✅ yes (case-count forecasts)</w:t>
            </w:r>
          </w:p>
        </w:tc>
        <w:tc>
          <w:tcPr/>
          <w:p>
            <w:pPr>
              <w:pStyle w:val="Compact"/>
              <w:jc w:val="left"/>
            </w:pPr>
            <w:r>
              <w:t xml:space="preserve">✅ retrospective weekly forecasts, 2022–2024, a rolling out-of-sample design</w:t>
            </w:r>
          </w:p>
        </w:tc>
        <w:tc>
          <w:tcPr/>
          <w:p>
            <w:pPr>
              <w:pStyle w:val="Compact"/>
              <w:jc w:val="left"/>
            </w:pPr>
            <w:r>
              <w:t xml:space="preserve">✅ yes — the explicit purpose is a multi-year retrospective comparison, the strongest external-validation design in this table</w:t>
            </w:r>
          </w:p>
        </w:tc>
        <w:tc>
          <w:tcPr/>
          <w:p>
            <w:pPr>
              <w:pStyle w:val="Compact"/>
              <w:jc w:val="left"/>
            </w:pPr>
            <w:r>
              <w:t xml:space="preserve">n/a (comparison study, not a single model’s parameters)</w:t>
            </w:r>
          </w:p>
        </w:tc>
        <w:tc>
          <w:tcPr/>
          <w:p>
            <w:pPr>
              <w:pStyle w:val="Compact"/>
              <w:jc w:val="left"/>
            </w:pPr>
            <w:r>
              <w:t xml:space="preserve">n/a</w:t>
            </w:r>
          </w:p>
        </w:tc>
        <w:tc>
          <w:tcPr/>
          <w:p>
            <w:pPr>
              <w:pStyle w:val="Compact"/>
              <w:jc w:val="left"/>
            </w:pPr>
            <w:r>
              <w:t xml:space="preserve">⚠ not confirmed in detail</w:t>
            </w:r>
          </w:p>
        </w:tc>
        <w:tc>
          <w:tcPr/>
          <w:p>
            <w:pPr>
              <w:pStyle w:val="Compact"/>
              <w:jc w:val="left"/>
            </w:pPr>
            <w:r>
              <w:t xml:space="preserve">✅ likely — multi-model comparison across a 2-year window is well-suited to surfacing model-specific degradation, though specific documented cases not confirmed</w:t>
            </w:r>
          </w:p>
        </w:tc>
      </w:tr>
      <w:tr>
        <w:tc>
          <w:tcPr/>
          <w:p>
            <w:pPr>
              <w:pStyle w:val="Compact"/>
              <w:jc w:val="left"/>
            </w:pPr>
            <w:r>
              <w:t xml:space="preserve">Rainey et al. (2023)</w:t>
            </w:r>
            <w:r>
              <w:t xml:space="preserve"> </w:t>
            </w:r>
            <w:r>
              <w:rPr>
                <w:iCs/>
                <w:i/>
              </w:rPr>
              <w:t xml:space="preserve">(carried forward from §4.3/§6.2 for comparison)</w:t>
            </w:r>
          </w:p>
        </w:tc>
        <w:tc>
          <w:tcPr/>
          <w:p>
            <w:pPr>
              <w:pStyle w:val="Compact"/>
              <w:jc w:val="left"/>
            </w:pPr>
            <w:r>
              <w:t xml:space="preserve">Normalized SARS-CoV-2 concentration vs. case correlation</w:t>
            </w:r>
          </w:p>
        </w:tc>
        <w:tc>
          <w:tcPr/>
          <w:p>
            <w:pPr>
              <w:pStyle w:val="Compact"/>
              <w:jc w:val="left"/>
            </w:pPr>
            <w:r>
              <w:t xml:space="preserve">❌ no (correlation study, not a reconstruction)</w:t>
            </w:r>
          </w:p>
        </w:tc>
        <w:tc>
          <w:tcPr/>
          <w:p>
            <w:pPr>
              <w:pStyle w:val="Compact"/>
              <w:jc w:val="left"/>
            </w:pPr>
            <w:r>
              <w:t xml:space="preserve">n/a</w:t>
            </w:r>
          </w:p>
        </w:tc>
        <w:tc>
          <w:tcPr/>
          <w:p>
            <w:pPr>
              <w:pStyle w:val="Compact"/>
              <w:jc w:val="left"/>
            </w:pPr>
            <w:r>
              <w:t xml:space="preserve">✅ yes — 182 communities, 6 states, a strong multi-site design</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yes — explicitly compares normalizer performance, implicitly documenting where flow/biomarker normalization under- or over-performs</w:t>
            </w:r>
          </w:p>
        </w:tc>
      </w:tr>
      <w:tr>
        <w:tc>
          <w:tcPr/>
          <w:p>
            <w:pPr>
              <w:pStyle w:val="Compact"/>
              <w:jc w:val="left"/>
            </w:pPr>
            <w:r>
              <w:t xml:space="preserve">Maal-Bared et al. (2023)</w:t>
            </w:r>
            <w:r>
              <w:t xml:space="preserve"> </w:t>
            </w:r>
            <w:r>
              <w:rPr>
                <w:iCs/>
                <w:i/>
              </w:rPr>
              <w:t xml:space="preserve">(carried forward from §6.4–6.5 for comparison)</w:t>
            </w:r>
          </w:p>
        </w:tc>
        <w:tc>
          <w:tcPr/>
          <w:p>
            <w:pPr>
              <w:pStyle w:val="Compact"/>
              <w:jc w:val="left"/>
            </w:pPr>
            <w:r>
              <w:t xml:space="preserve">Normalized SARS-CoV-2 concentration vs. case correlation/lead-time</w:t>
            </w:r>
          </w:p>
        </w:tc>
        <w:tc>
          <w:tcPr/>
          <w:p>
            <w:pPr>
              <w:pStyle w:val="Compact"/>
              <w:jc w:val="left"/>
            </w:pPr>
            <w:r>
              <w:t xml:space="preserve">❌ no</w:t>
            </w:r>
          </w:p>
        </w:tc>
        <w:tc>
          <w:tcPr/>
          <w:p>
            <w:pPr>
              <w:pStyle w:val="Compact"/>
              <w:jc w:val="left"/>
            </w:pPr>
            <w:r>
              <w:t xml:space="preserve">n/a</w:t>
            </w:r>
          </w:p>
        </w:tc>
        <w:tc>
          <w:tcPr/>
          <w:p>
            <w:pPr>
              <w:pStyle w:val="Compact"/>
              <w:jc w:val="left"/>
            </w:pPr>
            <w:r>
              <w:t xml:space="preserve">✅ yes — 12 Alberta systems</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yes — explicitly documents PMMoV failing to improve correlation at 10 of 12 systems</w:t>
            </w:r>
          </w:p>
        </w:tc>
      </w:tr>
    </w:tbl>
    <w:p>
      <w:pPr>
        <w:pStyle w:val="BodyText"/>
      </w:pPr>
      <w:r>
        <w:t xml:space="preserve">The pattern across Table 5, read as a whole, is itself a finding:</w:t>
      </w:r>
      <w:r>
        <w:t xml:space="preserve"> </w:t>
      </w:r>
      <w:r>
        <w:rPr>
          <w:bCs/>
          <w:b/>
        </w:rPr>
        <w:t xml:space="preserve">explicit parameter-identifiability analysis, explicit state-recovery validation, and explicit uncertainty propagation are each performed in only a minority of the studies surveyed, and no single study in this table performs all three alongside genuine cross-site or cross-era external validation.</w:t>
      </w:r>
      <w:r>
        <w:t xml:space="preserve"> </w:t>
      </w:r>
      <w:r>
        <w:t xml:space="preserve">This is consistent with, and provides more granular support for, Table 4’s conclusion that no method family achieves the full five-way framework in the evidence currently available.</w:t>
      </w:r>
    </w:p>
    <w:bookmarkEnd w:id="64"/>
    <w:bookmarkStart w:id="65" w:name="Xc49794df9950ff2f1f71f8ebe903407cb60d9aa"/>
    <w:p>
      <w:pPr>
        <w:pStyle w:val="Heading3"/>
      </w:pPr>
      <w:r>
        <w:t xml:space="preserve">7.5 Validation: What</w:t>
      </w:r>
      <w:r>
        <w:t xml:space="preserve"> </w:t>
      </w:r>
      <w:r>
        <w:t xml:space="preserve">“</w:t>
      </w:r>
      <w:r>
        <w:t xml:space="preserve">Validating</w:t>
      </w:r>
      <w:r>
        <w:t xml:space="preserve">”</w:t>
      </w:r>
      <w:r>
        <w:t xml:space="preserve"> </w:t>
      </w:r>
      <w:r>
        <w:t xml:space="preserve">a Back-Calculation Model Actually Requires</w:t>
      </w:r>
    </w:p>
    <w:p>
      <w:pPr>
        <w:pStyle w:val="FirstParagraph"/>
      </w:pPr>
      <w:r>
        <w:t xml:space="preserve">Three validation levels are conflated under the single word</w:t>
      </w:r>
      <w:r>
        <w:t xml:space="preserve"> </w:t>
      </w:r>
      <w:r>
        <w:t xml:space="preserve">“</w:t>
      </w:r>
      <w:r>
        <w:t xml:space="preserve">validation</w:t>
      </w:r>
      <w:r>
        <w:t xml:space="preserve">”</w:t>
      </w:r>
      <w:r>
        <w:t xml:space="preserve"> </w:t>
      </w:r>
      <w:r>
        <w:t xml:space="preserve">in much of the applied literature, and — consistent with this review’s practice in §5.5 and §6.1 of separating superficially similar concepts — are kept distinct here:</w:t>
      </w:r>
    </w:p>
    <w:p>
      <w:pPr>
        <w:numPr>
          <w:ilvl w:val="0"/>
          <w:numId w:val="1018"/>
        </w:numPr>
        <w:pStyle w:val="Compact"/>
      </w:pPr>
      <w:r>
        <w:rPr>
          <w:bCs/>
          <w:b/>
        </w:rPr>
        <w:t xml:space="preserve">Internal validation</w:t>
      </w:r>
      <w:r>
        <w:t xml:space="preserve"> </w:t>
      </w:r>
      <w:r>
        <w:t xml:space="preserve">— goodness of fit on the same data used to fit the model (an in-sample correlation or</w:t>
      </w:r>
      <w:r>
        <w:t xml:space="preserve"> </w:t>
      </w:r>
      <m:oMath>
        <m:sSup>
          <m:e>
            <m:r>
              <m:t>R</m:t>
            </m:r>
          </m:e>
          <m:sup>
            <m:r>
              <m:t>2</m:t>
            </m:r>
          </m:sup>
        </m:sSup>
      </m:oMath>
      <w:r>
        <w:t xml:space="preserve">). This is the weakest form, is trivially inflatable by adding parameters, and answers only whether the model</w:t>
      </w:r>
      <w:r>
        <w:t xml:space="preserve"> </w:t>
      </w:r>
      <w:r>
        <w:rPr>
          <w:iCs/>
          <w:i/>
        </w:rPr>
        <w:t xml:space="preserve">can</w:t>
      </w:r>
      <w:r>
        <w:t xml:space="preserve"> </w:t>
      </w:r>
      <w:r>
        <w:t xml:space="preserve">reproduce the data it was shown, not whether it will generalize or whether its parameters mean what they are assumed to mean.</w:t>
      </w:r>
    </w:p>
    <w:p>
      <w:pPr>
        <w:numPr>
          <w:ilvl w:val="0"/>
          <w:numId w:val="1018"/>
        </w:numPr>
        <w:pStyle w:val="Compact"/>
      </w:pPr>
      <w:r>
        <w:rPr>
          <w:bCs/>
          <w:b/>
        </w:rPr>
        <w:t xml:space="preserve">External / out-of-sample validation</w:t>
      </w:r>
      <w:r>
        <w:t xml:space="preserve"> </w:t>
      </w:r>
      <w:r>
        <w:t xml:space="preserve">— performance on data withheld from fitting, ideally spanning a genuinely different period, population, or site than the training data, following the same logic §6’s decision framework (§6.9, question 8) already applied to normalization: do not assume a method works, test it on data it has not seen. The train/test-split machine-learning comparison discussed in §7.1.2 (Ai et al., 2022) is a direct example of this level, applied specifically to predictive performance rather than parameter interpretation.</w:t>
      </w:r>
    </w:p>
    <w:p>
      <w:pPr>
        <w:numPr>
          <w:ilvl w:val="0"/>
          <w:numId w:val="1018"/>
        </w:numPr>
        <w:pStyle w:val="Compact"/>
      </w:pPr>
      <w:r>
        <w:rPr>
          <w:bCs/>
          <w:b/>
        </w:rPr>
        <w:t xml:space="preserve">Mechanistic / external-consistency validation</w:t>
      </w:r>
      <w:r>
        <w:t xml:space="preserve"> </w:t>
      </w:r>
      <w:r>
        <w:t xml:space="preserve">— checking whether a model’s</w:t>
      </w:r>
      <w:r>
        <w:t xml:space="preserve"> </w:t>
      </w:r>
      <w:r>
        <w:rPr>
          <w:iCs/>
          <w:i/>
        </w:rPr>
        <w:t xml:space="preserve">estimated parameters</w:t>
      </w:r>
      <w:r>
        <w:t xml:space="preserve">, not just its predictions, are consistent with independently established values (e.g., does an estimated shedding-duration parameter fall within the range separately measured in clinical shedding studies, §3.1; does an estimated pharmacokinetic excretion fraction match independently published values, §3.1/§7.1.1). This is the only one of the three levels that can speak to parameter identifiability and, indirectly, to state observability, because it tests whether the model’s internal decomposition of the signal corresponds to anything real rather than merely fitting the aggregate output.</w:t>
      </w:r>
    </w:p>
    <w:p>
      <w:pPr>
        <w:pStyle w:val="FirstParagraph"/>
      </w:pPr>
      <w:r>
        <w:t xml:space="preserve">A back-calculation claim supported only by internal validation should not be described, in this review’s terms, as</w:t>
      </w:r>
      <w:r>
        <w:t xml:space="preserve"> </w:t>
      </w:r>
      <w:r>
        <w:t xml:space="preserve">“</w:t>
      </w:r>
      <w:r>
        <w:t xml:space="preserve">validated</w:t>
      </w:r>
      <w:r>
        <w:t xml:space="preserve">”</w:t>
      </w:r>
      <w:r>
        <w:t xml:space="preserve"> </w:t>
      </w:r>
      <w:r>
        <w:t xml:space="preserve">at all; a claim supported by external predictive validation is validated</w:t>
      </w:r>
      <w:r>
        <w:t xml:space="preserve"> </w:t>
      </w:r>
      <w:r>
        <w:rPr>
          <w:iCs/>
          <w:i/>
        </w:rPr>
        <w:t xml:space="preserve">for prediction</w:t>
      </w:r>
      <w:r>
        <w:t xml:space="preserve">, a real and useful property, but not thereby validated</w:t>
      </w:r>
      <w:r>
        <w:t xml:space="preserve"> </w:t>
      </w:r>
      <w:r>
        <w:rPr>
          <w:iCs/>
          <w:i/>
        </w:rPr>
        <w:t xml:space="preserve">for mechanistic interpretation or absolute-magnitude estimation</w:t>
      </w:r>
      <w:r>
        <w:t xml:space="preserve"> </w:t>
      </w:r>
      <w:r>
        <w:t xml:space="preserve">— the distinction §7.1.2 closed with. Explicitly reporting which of these three levels (if any) supports a given back-calculated estimate is, in this review’s assessment, a minimum reporting standard on par with the sampling-location/mode/matrix reporting standard §5.7 argued for.</w:t>
      </w:r>
    </w:p>
    <w:bookmarkEnd w:id="65"/>
    <w:bookmarkStart w:id="66" w:name="X75c3680368919f3c12509786d9b8b4aed149e4b"/>
    <w:p>
      <w:pPr>
        <w:pStyle w:val="Heading3"/>
      </w:pPr>
      <w:r>
        <w:t xml:space="preserve">7.6 When State Observability Fails Regardless of Method</w:t>
      </w:r>
    </w:p>
    <w:p>
      <w:pPr>
        <w:pStyle w:val="FirstParagraph"/>
      </w:pPr>
      <w:r>
        <w:t xml:space="preserve">This section extends §5.7 and §6.8’s</w:t>
      </w:r>
      <w:r>
        <w:t xml:space="preserve"> </w:t>
      </w:r>
      <w:r>
        <w:t xml:space="preserve">“</w:t>
      </w:r>
      <w:r>
        <w:t xml:space="preserve">information loss</w:t>
      </w:r>
      <w:r>
        <w:t xml:space="preserve">”</w:t>
      </w:r>
      <w:r>
        <w:t xml:space="preserve"> </w:t>
      </w:r>
      <w:r>
        <w:t xml:space="preserve">/</w:t>
      </w:r>
      <w:r>
        <w:t xml:space="preserve"> </w:t>
      </w:r>
      <w:r>
        <w:t xml:space="preserve">“</w:t>
      </w:r>
      <w:r>
        <w:t xml:space="preserve">uncorrectable</w:t>
      </w:r>
      <w:r>
        <w:t xml:space="preserve">”</w:t>
      </w:r>
      <w:r>
        <w:t xml:space="preserve"> </w:t>
      </w:r>
      <w:r>
        <w:t xml:space="preserve">categories one stage further downstream, since some identifiability failures are properties of the reconstruction problem itself, not of any particular method’s implementation, and no amount of methodological sophistication resolves them:</w:t>
      </w:r>
    </w:p>
    <w:p>
      <w:pPr>
        <w:numPr>
          <w:ilvl w:val="0"/>
          <w:numId w:val="1019"/>
        </w:numPr>
        <w:pStyle w:val="Compact"/>
      </w:pPr>
      <w:r>
        <w:rPr>
          <w:bCs/>
          <w:b/>
        </w:rPr>
        <w:t xml:space="preserve">Confounded denominators.</w:t>
      </w:r>
      <w:r>
        <w:t xml:space="preserve"> </w:t>
      </w:r>
      <w:r>
        <w:t xml:space="preserve">Where ascertainment, testing behavior, or consumption-reporting bias (</w:t>
      </w:r>
      <m:oMath>
        <m:r>
          <m:t>α</m:t>
        </m:r>
        <m:d>
          <m:dPr>
            <m:begChr m:val="("/>
            <m:endChr m:val=")"/>
            <m:sepChr m:val=""/>
            <m:grow/>
          </m:dPr>
          <m:e>
            <m:r>
              <m:t>t</m:t>
            </m:r>
          </m:e>
        </m:d>
      </m:oMath>
      <w:r>
        <w:t xml:space="preserve"> </w:t>
      </w:r>
      <w:r>
        <w:t xml:space="preserve">in §7.2’s illustration) is itself unknown and time-varying, and no independent data source constrains it,</w:t>
      </w:r>
      <w:r>
        <w:t xml:space="preserve"> </w:t>
      </w:r>
      <m:oMath>
        <m:r>
          <m:t>I</m:t>
        </m:r>
        <m:d>
          <m:dPr>
            <m:begChr m:val="("/>
            <m:endChr m:val=")"/>
            <m:sepChr m:val=""/>
            <m:grow/>
          </m:dPr>
          <m:e>
            <m:r>
              <m:t>t</m:t>
            </m:r>
          </m:e>
        </m:d>
      </m:oMath>
      <w:r>
        <w:t xml:space="preserve"> </w:t>
      </w:r>
      <w:r>
        <w:t xml:space="preserve">and</w:t>
      </w:r>
      <w:r>
        <w:t xml:space="preserve"> </w:t>
      </w:r>
      <m:oMath>
        <m:r>
          <m:t>α</m:t>
        </m:r>
        <m:d>
          <m:dPr>
            <m:begChr m:val="("/>
            <m:endChr m:val=")"/>
            <m:sepChr m:val=""/>
            <m:grow/>
          </m:dPr>
          <m:e>
            <m:r>
              <m:t>t</m:t>
            </m:r>
          </m:e>
        </m:d>
      </m:oMath>
      <w:r>
        <w:t xml:space="preserve"> </w:t>
      </w:r>
      <w:r>
        <w:t xml:space="preserve">are not jointly identifiable from</w:t>
      </w:r>
      <w:r>
        <w:t xml:space="preserve"> </w:t>
      </w:r>
      <m:oMath>
        <m:r>
          <m:t>Z</m:t>
        </m:r>
        <m:d>
          <m:dPr>
            <m:begChr m:val="("/>
            <m:endChr m:val=")"/>
            <m:sepChr m:val=""/>
            <m:grow/>
          </m:dPr>
          <m:e>
            <m:r>
              <m:t>t</m:t>
            </m:r>
          </m:e>
        </m:d>
      </m:oMath>
      <w:r>
        <w:t xml:space="preserve"> </w:t>
      </w:r>
      <w:r>
        <w:t xml:space="preserve">and</w:t>
      </w:r>
      <w:r>
        <w:t xml:space="preserve"> </w:t>
      </w:r>
      <m:oMath>
        <m:r>
          <m:t>C</m:t>
        </m:r>
        <m:d>
          <m:dPr>
            <m:begChr m:val="("/>
            <m:endChr m:val=")"/>
            <m:sepChr m:val=""/>
            <m:grow/>
          </m:dPr>
          <m:e>
            <m:r>
              <m:t>t</m:t>
            </m:r>
          </m:e>
        </m:d>
      </m:oMath>
      <w:r>
        <w:t xml:space="preserve"> </w:t>
      </w:r>
      <w:r>
        <w:t xml:space="preserve">alone — this is a structural property of the two-equation system, not a data-quantity problem.</w:t>
      </w:r>
    </w:p>
    <w:p>
      <w:pPr>
        <w:numPr>
          <w:ilvl w:val="0"/>
          <w:numId w:val="1019"/>
        </w:numPr>
        <w:pStyle w:val="Compact"/>
      </w:pPr>
      <w:r>
        <w:rPr>
          <w:bCs/>
          <w:b/>
        </w:rPr>
        <w:t xml:space="preserve">Jointly estimated kernels and incidence curves.</w:t>
      </w:r>
      <w:r>
        <w:t xml:space="preserve"> </w:t>
      </w:r>
      <w:r>
        <w:t xml:space="preserve">As shown in §7.2 and flagged even for the strongest method in this review’s evidence base (Huisman et al., 2022), estimating a shedding/transport kernel and a source-signal trajectory simultaneously from one observed series is an ill-posed deconvolution problem in general, resolved only to the extent independent information constrains one side of the trade-off (§4.3’s process-informed correction argument, now applied to kernel estimation specifically).</w:t>
      </w:r>
    </w:p>
    <w:p>
      <w:pPr>
        <w:numPr>
          <w:ilvl w:val="0"/>
          <w:numId w:val="1019"/>
        </w:numPr>
        <w:pStyle w:val="Compact"/>
      </w:pPr>
      <w:r>
        <w:rPr>
          <w:bCs/>
          <w:b/>
        </w:rPr>
        <w:t xml:space="preserve">Aggregation across heterogeneous sub-populations.</w:t>
      </w:r>
      <w:r>
        <w:t xml:space="preserve"> </w:t>
      </w:r>
      <w:r>
        <w:t xml:space="preserve">Per §3.0 and §5.1’s spatial-distortion discussion, a single treatment-plant-level</w:t>
      </w:r>
      <w:r>
        <w:t xml:space="preserve"> </w:t>
      </w:r>
      <m:oMath>
        <m:r>
          <m:t>Z</m:t>
        </m:r>
        <m:d>
          <m:dPr>
            <m:begChr m:val="("/>
            <m:endChr m:val=")"/>
            <m:sepChr m:val=""/>
            <m:grow/>
          </m:dPr>
          <m:e>
            <m:r>
              <m:t>t</m:t>
            </m:r>
          </m:e>
        </m:d>
      </m:oMath>
      <w:r>
        <w:t xml:space="preserve"> </w:t>
      </w:r>
      <w:r>
        <w:t xml:space="preserve">cannot be decomposed back into sub-catchment-specific source signals without additional spatially-resolved data — no back-calculation method, however sophisticated, recovers information that was spatially aggregated away before it ever reached the model.</w:t>
      </w:r>
    </w:p>
    <w:p>
      <w:pPr>
        <w:numPr>
          <w:ilvl w:val="0"/>
          <w:numId w:val="1019"/>
        </w:numPr>
        <w:pStyle w:val="Compact"/>
      </w:pPr>
      <w:r>
        <w:rPr>
          <w:bCs/>
          <w:b/>
        </w:rPr>
        <w:t xml:space="preserve">Severely censored or sparse input data.</w:t>
      </w:r>
      <w:r>
        <w:t xml:space="preserve"> </w:t>
      </w:r>
      <w:r>
        <w:t xml:space="preserve">Per §5.5 and §5.7, LOD/LOQ-censored</w:t>
      </w:r>
      <w:r>
        <w:t xml:space="preserve"> </w:t>
      </w:r>
      <m:oMath>
        <m:acc>
          <m:accPr>
            <m:chr m:val="̂"/>
          </m:accPr>
          <m:e>
            <m:r>
              <m:t>Y</m:t>
            </m:r>
          </m:e>
        </m:acc>
        <m:d>
          <m:dPr>
            <m:begChr m:val="("/>
            <m:endChr m:val=")"/>
            <m:sepChr m:val=""/>
            <m:grow/>
          </m:dPr>
          <m:e>
            <m:r>
              <m:t>t</m:t>
            </m:r>
          </m:e>
        </m:d>
      </m:oMath>
      <w:r>
        <w:t xml:space="preserve"> </w:t>
      </w:r>
      <w:r>
        <w:t xml:space="preserve">values propagate into</w:t>
      </w:r>
      <w:r>
        <w:t xml:space="preserve"> </w:t>
      </w:r>
      <m:oMath>
        <m:r>
          <m:t>Z</m:t>
        </m:r>
        <m:d>
          <m:dPr>
            <m:begChr m:val="("/>
            <m:endChr m:val=")"/>
            <m:sepChr m:val=""/>
            <m:grow/>
          </m:dPr>
          <m:e>
            <m:r>
              <m:t>t</m:t>
            </m:r>
          </m:e>
        </m:d>
      </m:oMath>
      <w:r>
        <w:t xml:space="preserve"> </w:t>
      </w:r>
      <w:r>
        <w:t xml:space="preserve">and then into any back-calculated quantity; a back-calculation model fit predominantly on censored or nearly-censored data cannot produce a meaningfully precise absolute estimate regardless of model sophistication, only a wide, honestly-reported interval or a qualitative trend statement.</w:t>
      </w:r>
    </w:p>
    <w:p>
      <w:pPr>
        <w:numPr>
          <w:ilvl w:val="0"/>
          <w:numId w:val="1019"/>
        </w:numPr>
        <w:pStyle w:val="Compact"/>
      </w:pPr>
      <w:r>
        <w:rPr>
          <w:bCs/>
          <w:b/>
        </w:rPr>
        <w:t xml:space="preserve">Model-class misspecification treated as resolved by good fit.</w:t>
      </w:r>
      <w:r>
        <w:t xml:space="preserve"> </w:t>
      </w:r>
      <w:r>
        <w:t xml:space="preserve">Per §6.8’s structural-misspecification failure mode, a model that fits available data well because it is flexible enough to fit almost anything (an SEIR variant with enough free compartments, or an ML model with enough parameters) provides no evidence against misspecification, and can actively mask it — good fit under a misspecified model is, if anything, worse than poor fit, because it invites unwarranted confidence.</w:t>
      </w:r>
    </w:p>
    <w:p>
      <w:pPr>
        <w:pStyle w:val="FirstParagraph"/>
      </w:pPr>
      <w:r>
        <w:t xml:space="preserve">Consistent with §5.7 and §6.8’s practice, this section closes with the same discipline: where these conditions hold, the correct response is reporting a wider uncertainty interval or an explicit statement of non-identifiability in §8’s forthcoming uncertainty-propagation framework — not selecting a more elaborate model in the hope that sophistication substitutes for missing information.</w:t>
      </w:r>
    </w:p>
    <w:bookmarkEnd w:id="66"/>
    <w:bookmarkStart w:id="67" w:name="X0bf5c82cd9a3fbfcc0131e135fe4a35a11e5c6d"/>
    <w:p>
      <w:pPr>
        <w:pStyle w:val="Heading3"/>
      </w:pPr>
      <w:r>
        <w:t xml:space="preserve">7.7 Reporting Framework for Back-Calculated Estimates</w:t>
      </w:r>
    </w:p>
    <w:p>
      <w:pPr>
        <w:pStyle w:val="FirstParagraph"/>
      </w:pPr>
      <w:r>
        <w:t xml:space="preserve">Extending §6.9’s eight-question decision framework one stage downstream, any back-calculated estimate presented in this review’s spirit should be accompanied by explicit answers to:</w:t>
      </w:r>
    </w:p>
    <w:p>
      <w:pPr>
        <w:numPr>
          <w:ilvl w:val="0"/>
          <w:numId w:val="1020"/>
        </w:numPr>
        <w:pStyle w:val="Compact"/>
      </w:pPr>
      <w:r>
        <w:rPr>
          <w:bCs/>
          <w:b/>
        </w:rPr>
        <w:t xml:space="preserve">Which of the three outputs (§7.1.2) is being claimed</w:t>
      </w:r>
      <w:r>
        <w:t xml:space="preserve"> </w:t>
      </w:r>
      <w:r>
        <w:t xml:space="preserve">— trend, early warning, or absolute magnitude — since the evidentiary bar differs sharply between them?</w:t>
      </w:r>
    </w:p>
    <w:p>
      <w:pPr>
        <w:numPr>
          <w:ilvl w:val="0"/>
          <w:numId w:val="1020"/>
        </w:numPr>
        <w:pStyle w:val="Compact"/>
      </w:pPr>
      <w:r>
        <w:rPr>
          <w:bCs/>
          <w:b/>
        </w:rPr>
        <w:t xml:space="preserve">Which of the five criteria (§7.0) does the supporting evidence actually satisfy</w:t>
      </w:r>
      <w:r>
        <w:t xml:space="preserve"> </w:t>
      </w:r>
      <w:r>
        <w:t xml:space="preserve">— association/correlation, predictive performance, parameter identifiability (structural and/or practical), state observability, structural adequacy — reported explicitly rather than implied by confident language?</w:t>
      </w:r>
    </w:p>
    <w:p>
      <w:pPr>
        <w:numPr>
          <w:ilvl w:val="0"/>
          <w:numId w:val="1020"/>
        </w:numPr>
        <w:pStyle w:val="Compact"/>
      </w:pPr>
      <w:r>
        <w:rPr>
          <w:bCs/>
          <w:b/>
        </w:rPr>
        <w:t xml:space="preserve">If predictive performance is claimed, was it evaluated out-of-sample</w:t>
      </w:r>
      <w:r>
        <w:t xml:space="preserve">, on data genuinely independent of model fitting (§7.5)?</w:t>
      </w:r>
    </w:p>
    <w:p>
      <w:pPr>
        <w:numPr>
          <w:ilvl w:val="0"/>
          <w:numId w:val="1020"/>
        </w:numPr>
        <w:pStyle w:val="Compact"/>
      </w:pPr>
      <w:r>
        <w:rPr>
          <w:bCs/>
          <w:b/>
        </w:rPr>
        <w:t xml:space="preserve">If parameter identifiability is claimed, what diagnostic supports it</w:t>
      </w:r>
      <w:r>
        <w:t xml:space="preserve"> </w:t>
      </w:r>
      <w:r>
        <w:t xml:space="preserve">— profile likelihood, posterior width, structural-identifiability analysis — rather than the parameters simply having converged to some value during fitting? If state observability is claimed, what diagnostic supports it — posterior predictive checks, explicit observability analysis of the state-space formulation — rather than the reconstructed trajectory simply looking plausible?</w:t>
      </w:r>
    </w:p>
    <w:p>
      <w:pPr>
        <w:numPr>
          <w:ilvl w:val="0"/>
          <w:numId w:val="1020"/>
        </w:numPr>
        <w:pStyle w:val="Compact"/>
      </w:pPr>
      <w:r>
        <w:rPr>
          <w:bCs/>
          <w:b/>
        </w:rPr>
        <w:t xml:space="preserve">If a shedding kernel, transformation pathway, or transport model is jointly estimated with the source signal, is any part of it grounded in independent data</w:t>
      </w:r>
      <w:r>
        <w:t xml:space="preserve"> </w:t>
      </w:r>
      <w:r>
        <w:t xml:space="preserve">(§7.2, §7.6), or is the full decomposition estimated from the wastewater series alone?</w:t>
      </w:r>
    </w:p>
    <w:p>
      <w:pPr>
        <w:numPr>
          <w:ilvl w:val="0"/>
          <w:numId w:val="1020"/>
        </w:numPr>
        <w:pStyle w:val="Compact"/>
      </w:pPr>
      <w:r>
        <w:rPr>
          <w:bCs/>
          <w:b/>
        </w:rPr>
        <w:t xml:space="preserve">Has the specific correction factor</w:t>
      </w:r>
      <w:r>
        <w:rPr>
          <w:bCs/>
          <w:b/>
        </w:rPr>
        <w:t xml:space="preserve"> </w:t>
      </w:r>
      <m:oMath>
        <m:r>
          <m:t>C</m:t>
        </m:r>
        <m:r>
          <m:t>F</m:t>
        </m:r>
      </m:oMath>
      <w:r>
        <w:rPr>
          <w:bCs/>
          <w:b/>
        </w:rPr>
        <w:t xml:space="preserve"> </w:t>
      </w:r>
      <w:r>
        <w:rPr>
          <w:bCs/>
          <w:b/>
        </w:rPr>
        <w:t xml:space="preserve">(§7.1.1) or shedding kernel been checked against independently published values (§7.5’s mechanistic validation), and does the source population match the one those independent values were derived from?</w:t>
      </w:r>
    </w:p>
    <w:p>
      <w:pPr>
        <w:numPr>
          <w:ilvl w:val="0"/>
          <w:numId w:val="1020"/>
        </w:numPr>
        <w:pStyle w:val="Compact"/>
      </w:pPr>
      <w:r>
        <w:rPr>
          <w:bCs/>
          <w:b/>
        </w:rPr>
        <w:t xml:space="preserve">Are any of §7.6’s hard failure conditions present</w:t>
      </w:r>
      <w:r>
        <w:t xml:space="preserve"> </w:t>
      </w:r>
      <w:r>
        <w:t xml:space="preserve">(confounded denominators, jointly estimated kernel/incidence, spatial aggregation, severe censoring, flexible-model overfitting risk), and if so, is that reflected in the reported uncertainty rather than absorbed into a falsely precise point estimate?</w:t>
      </w:r>
    </w:p>
    <w:bookmarkEnd w:id="67"/>
    <w:bookmarkStart w:id="68" w:name="link-to-chapter-8"/>
    <w:p>
      <w:pPr>
        <w:pStyle w:val="Heading3"/>
      </w:pPr>
      <w:r>
        <w:t xml:space="preserve">7.8 Link to Chapter 8</w:t>
      </w:r>
    </w:p>
    <w:p>
      <w:pPr>
        <w:pStyle w:val="FirstParagraph"/>
      </w:pPr>
      <m:oMath>
        <m:r>
          <m:t>Z</m:t>
        </m:r>
        <m:d>
          <m:dPr>
            <m:begChr m:val="("/>
            <m:endChr m:val=")"/>
            <m:sepChr m:val=""/>
            <m:grow/>
          </m:dPr>
          <m:e>
            <m:r>
              <m:t>t</m:t>
            </m:r>
          </m:e>
        </m:d>
      </m:oMath>
      <w:r>
        <w:t xml:space="preserve"> </w:t>
      </w:r>
      <w:r>
        <w:t xml:space="preserve">entered this chapter as an intermediate, conditionally-valid signal (§6.10); it leaves this chapter as, at best, a trend estimate with correlational support, a validated short-horizon forecast, or — in the single most demanding and rarest case in this review’s evidence base — a parameter-identifiable, partially observable reconstruction of source-level epidemiological or consumption quantities, always accompanied by an explicit statement of which of §7.0’s five criteria were actually met.</w:t>
      </w:r>
      <w:r>
        <w:t xml:space="preserve"> </w:t>
      </w:r>
      <w:r>
        <w:rPr>
          <w:bCs/>
          <w:b/>
        </w:rPr>
        <w:t xml:space="preserve">Chapter 8 (not yet drafted) inherits the task of formally propagating every uncertainty source characterized since §3</w:t>
      </w:r>
      <w:r>
        <w:t xml:space="preserve"> </w:t>
      </w:r>
      <w:r>
        <w:t xml:space="preserve">— source-end variability (§3.1), transport distortion (§4), sampling/analytical error (§5.7’s systematic bias/random error/information loss), normalization uncertainty (§6.6’s ratio error propagation), and now back-calculation/identifiability uncertainty (§7.6) — into a single, defensible final confidence statement, rather than allowing any one stage’s uncertainty to be silently dropped on the way to a final reported number. Per this chapter’s central finding (§7.4’s Table 4 and Table 5), no current back-calculation method family or individual study fully closes the loop from raw wastewater signal to an identifiable, observable, structurally adequate source-state reconstruction; §8’s uncertainty-propagation framework is where that gap must be made explicit and quantified, not resolved by assumption.</w:t>
      </w:r>
    </w:p>
    <w:p>
      <w:r>
        <w:pict>
          <v:rect style="width:0;height:1.5pt" o:hralign="center" o:hrstd="t" o:hr="t"/>
        </w:pict>
      </w:r>
    </w:p>
    <w:bookmarkEnd w:id="68"/>
    <w:bookmarkEnd w:id="69"/>
    <w:bookmarkStart w:id="97" w:name="X1f06127dc004016bc9d7a6d4486dc2ba0dbdfb8"/>
    <w:p>
      <w:pPr>
        <w:pStyle w:val="Heading2"/>
      </w:pPr>
      <w:r>
        <w:t xml:space="preserve">8. Uncertainty Propagation in Wastewater-Based Epidemiology: From Source Variability to Decision Uncertainty</w:t>
      </w:r>
    </w:p>
    <w:p>
      <w:pPr>
        <w:pStyle w:val="FirstParagraph"/>
      </w:pPr>
      <w:r>
        <w:t xml:space="preserve">This chapter is this review’s third core methodological chapter, and is held to the same standard as Chapters 6 and 7: it is not a catalog of</w:t>
      </w:r>
      <w:r>
        <w:t xml:space="preserve"> </w:t>
      </w:r>
      <w:r>
        <w:t xml:space="preserve">“</w:t>
      </w:r>
      <w:r>
        <w:t xml:space="preserve">sources of uncertainty</w:t>
      </w:r>
      <w:r>
        <w:t xml:space="preserve">”</w:t>
      </w:r>
      <w:r>
        <w:t xml:space="preserve"> </w:t>
      </w:r>
      <w:r>
        <w:t xml:space="preserve">appended after the fact, but an account of how distinct errors</w:t>
      </w:r>
      <w:r>
        <w:t xml:space="preserve"> </w:t>
      </w:r>
      <w:r>
        <w:rPr>
          <w:iCs/>
          <w:i/>
        </w:rPr>
        <w:t xml:space="preserve">enter</w:t>
      </w:r>
      <w:r>
        <w:t xml:space="preserve"> </w:t>
      </w:r>
      <w:r>
        <w:t xml:space="preserve">the inverse pipeline at different stages,</w:t>
      </w:r>
      <w:r>
        <w:t xml:space="preserve"> </w:t>
      </w:r>
      <w:r>
        <w:rPr>
          <w:iCs/>
          <w:i/>
        </w:rPr>
        <w:t xml:space="preserve">interact</w:t>
      </w:r>
      <w:r>
        <w:t xml:space="preserve"> </w:t>
      </w:r>
      <w:r>
        <w:t xml:space="preserve">with one another rather than adding independently, and</w:t>
      </w:r>
      <w:r>
        <w:t xml:space="preserve"> </w:t>
      </w:r>
      <w:r>
        <w:rPr>
          <w:iCs/>
          <w:i/>
        </w:rPr>
        <w:t xml:space="preserve">propagate</w:t>
      </w:r>
      <w:r>
        <w:t xml:space="preserve"> </w:t>
      </w:r>
      <w:r>
        <w:t xml:space="preserve">forward to determine how much confidence a public health conclusion can actually claim.</w:t>
      </w:r>
    </w:p>
    <w:bookmarkStart w:id="70" w:name="Xe81df2e1a3673949310f78bc0d480759afc7145"/>
    <w:p>
      <w:pPr>
        <w:pStyle w:val="Heading3"/>
      </w:pPr>
      <w:r>
        <w:t xml:space="preserve">8.0 Uncertainty Within the Complete Inverse Pipeline</w:t>
      </w:r>
    </w:p>
    <w:p>
      <w:pPr>
        <w:pStyle w:val="FirstParagraph"/>
      </w:pPr>
      <w:r>
        <w:t xml:space="preserve">Every quantity this review has discussed since §3.0 —</w:t>
      </w:r>
      <w:r>
        <w:t xml:space="preserve"> </w:t>
      </w:r>
      <m:oMath>
        <m:r>
          <m:t>X</m:t>
        </m:r>
        <m:d>
          <m:dPr>
            <m:begChr m:val="("/>
            <m:endChr m:val=")"/>
            <m:sepChr m:val=""/>
            <m:grow/>
          </m:dPr>
          <m:e>
            <m:r>
              <m:t>τ</m:t>
            </m:r>
          </m:e>
        </m:d>
      </m:oMath>
      <w:r>
        <w:t xml:space="preserve">,</w:t>
      </w:r>
      <w:r>
        <w:t xml:space="preserve"> </w:t>
      </w:r>
      <m:oMath>
        <m:r>
          <m:t>Y</m:t>
        </m:r>
        <m:d>
          <m:dPr>
            <m:begChr m:val="("/>
            <m:endChr m:val=")"/>
            <m:sepChr m:val=""/>
            <m:grow/>
          </m:dPr>
          <m:e>
            <m:r>
              <m:t>t</m:t>
            </m:r>
          </m:e>
        </m:d>
      </m:oMath>
      <w:r>
        <w:t xml:space="preserve">,</w:t>
      </w:r>
      <w:r>
        <w:t xml:space="preserve"> </w:t>
      </w:r>
      <m:oMath>
        <m:acc>
          <m:accPr>
            <m:chr m:val="̂"/>
          </m:accPr>
          <m:e>
            <m:r>
              <m:t>Y</m:t>
            </m:r>
          </m:e>
        </m:acc>
        <m:d>
          <m:dPr>
            <m:begChr m:val="("/>
            <m:endChr m:val=")"/>
            <m:sepChr m:val=""/>
            <m:grow/>
          </m:dPr>
          <m:e>
            <m:r>
              <m:t>t</m:t>
            </m:r>
          </m:e>
        </m:d>
      </m:oMath>
      <w:r>
        <w:t xml:space="preserve">,</w:t>
      </w:r>
      <w:r>
        <w:t xml:space="preserve"> </w:t>
      </w:r>
      <m:oMath>
        <m:r>
          <m:t>Z</m:t>
        </m:r>
        <m:d>
          <m:dPr>
            <m:begChr m:val="("/>
            <m:endChr m:val=")"/>
            <m:sepChr m:val=""/>
            <m:grow/>
          </m:dPr>
          <m:e>
            <m:r>
              <m:t>t</m:t>
            </m:r>
          </m:e>
        </m:d>
      </m:oMath>
      <w:r>
        <w:t xml:space="preserve">, and the back-calculated reconstructions of Chapter 7 — is estimated, not observed directly. The formally correct statement of what</w:t>
      </w:r>
      <w:r>
        <w:t xml:space="preserve"> </w:t>
      </w:r>
      <w:r>
        <w:t xml:space="preserve">“</w:t>
      </w:r>
      <w:r>
        <w:t xml:space="preserve">uncertainty</w:t>
      </w:r>
      <w:r>
        <w:t xml:space="preserve">”</w:t>
      </w:r>
      <w:r>
        <w:t xml:space="preserve"> </w:t>
      </w:r>
      <w:r>
        <w:t xml:space="preserve">means for the source state</w:t>
      </w:r>
      <w:r>
        <w:t xml:space="preserve"> </w:t>
      </w:r>
      <m:oMath>
        <m:r>
          <m:t>X</m:t>
        </m:r>
      </m:oMath>
      <w:r>
        <w:t xml:space="preserve">, given everything actually available, is a full marginalization over every unknown parameter:</w:t>
      </w:r>
    </w:p>
    <w:p>
      <w:pPr>
        <w:pStyle w:val="BodyText"/>
      </w:pPr>
      <m:oMathPara>
        <m:oMathParaPr>
          <m:jc m:val="center"/>
        </m:oMathParaPr>
        <m:oMath>
          <m:r>
            <m:t>p</m:t>
          </m:r>
          <m:d>
            <m:dPr>
              <m:begChr m:val="("/>
              <m:endChr m:val=")"/>
              <m:sepChr m:val=""/>
              <m:grow/>
            </m:dPr>
            <m:e>
              <m:r>
                <m:t>X</m:t>
              </m:r>
              <m:r>
                <m:rPr>
                  <m:sty m:val="p"/>
                </m:rPr>
                <m:t>∣</m:t>
              </m:r>
              <m:r>
                <m:t>D</m:t>
              </m:r>
              <m:r>
                <m:rPr>
                  <m:sty m:val="p"/>
                </m:rPr>
                <m:t>,</m:t>
              </m:r>
              <m:r>
                <m:rPr>
                  <m:sty m:val="p"/>
                  <m:scr m:val="script"/>
                </m:rPr>
                <m:t>M</m:t>
              </m:r>
            </m:e>
          </m:d>
          <m:r>
            <m:rPr>
              <m:sty m:val="p"/>
            </m:rPr>
            <m:t>=</m:t>
          </m:r>
          <m:r>
            <m:rPr>
              <m:sty m:val="p"/>
            </m:rPr>
            <m:t>∫</m:t>
          </m:r>
          <m:r>
            <m:t>p</m:t>
          </m:r>
          <m:d>
            <m:dPr>
              <m:begChr m:val="("/>
              <m:endChr m:val=")"/>
              <m:sepChr m:val=""/>
              <m:grow/>
            </m:dPr>
            <m:e>
              <m:r>
                <m:t>X</m:t>
              </m:r>
              <m:r>
                <m:rPr>
                  <m:sty m:val="p"/>
                </m:rPr>
                <m:t>∣</m:t>
              </m:r>
              <m:r>
                <m:rPr>
                  <m:sty m:val="b"/>
                </m:rPr>
                <m:t>θ</m:t>
              </m:r>
              <m:r>
                <m:rPr>
                  <m:sty m:val="p"/>
                </m:rPr>
                <m:t>,</m:t>
              </m:r>
              <m:r>
                <m:t>D</m:t>
              </m:r>
              <m:r>
                <m:rPr>
                  <m:sty m:val="p"/>
                </m:rPr>
                <m:t>,</m:t>
              </m:r>
              <m:r>
                <m:rPr>
                  <m:sty m:val="p"/>
                  <m:scr m:val="script"/>
                </m:rPr>
                <m:t>M</m:t>
              </m:r>
            </m:e>
          </m:d>
          <m:r>
            <m:t> </m:t>
          </m:r>
          <m:r>
            <m:t>p</m:t>
          </m:r>
          <m:d>
            <m:dPr>
              <m:begChr m:val="("/>
              <m:endChr m:val=")"/>
              <m:sepChr m:val=""/>
              <m:grow/>
            </m:dPr>
            <m:e>
              <m:r>
                <m:rPr>
                  <m:sty m:val="b"/>
                </m:rPr>
                <m:t>θ</m:t>
              </m:r>
              <m:r>
                <m:rPr>
                  <m:sty m:val="p"/>
                </m:rPr>
                <m:t>∣</m:t>
              </m:r>
              <m:r>
                <m:t>D</m:t>
              </m:r>
              <m:r>
                <m:rPr>
                  <m:sty m:val="p"/>
                </m:rPr>
                <m:t>,</m:t>
              </m:r>
              <m:r>
                <m:rPr>
                  <m:sty m:val="p"/>
                  <m:scr m:val="script"/>
                </m:rPr>
                <m:t>M</m:t>
              </m:r>
            </m:e>
          </m:d>
          <m:r>
            <m:t> </m:t>
          </m:r>
          <m:r>
            <m:t>d</m:t>
          </m:r>
          <m:r>
            <m:rPr>
              <m:sty m:val="b"/>
            </m:rPr>
            <m:t>θ</m:t>
          </m:r>
        </m:oMath>
      </m:oMathPara>
    </w:p>
    <w:p>
      <w:pPr>
        <w:pStyle w:val="FirstParagraph"/>
      </w:pPr>
      <w:r>
        <w:t xml:space="preserve">where</w:t>
      </w:r>
      <w:r>
        <w:t xml:space="preserve"> </w:t>
      </w:r>
      <m:oMath>
        <m:r>
          <m:t>X</m:t>
        </m:r>
      </m:oMath>
      <w:r>
        <w:t xml:space="preserve"> </w:t>
      </w:r>
      <w:r>
        <w:t xml:space="preserve">is the source-end infection, consumption, or exposure state (§3.0);</w:t>
      </w:r>
      <w:r>
        <w:t xml:space="preserve"> </w:t>
      </w:r>
      <m:oMath>
        <m:r>
          <m:t>D</m:t>
        </m:r>
      </m:oMath>
      <w:r>
        <w:t xml:space="preserve"> </w:t>
      </w:r>
      <w:r>
        <w:t xml:space="preserve">is all observed data — wastewater concentrations, flow, population estimates, clinical case counts, meteorological records;</w:t>
      </w:r>
      <w:r>
        <w:t xml:space="preserve"> </w:t>
      </w:r>
      <m:oMath>
        <m:r>
          <m:rPr>
            <m:sty m:val="b"/>
          </m:rPr>
          <m:t>θ</m:t>
        </m:r>
      </m:oMath>
      <w:r>
        <w:t xml:space="preserve"> </w:t>
      </w:r>
      <w:r>
        <w:t xml:space="preserve">is the full vector of excretion, decay, hydraulic, recovery, and population parameters this review has introduced chapter by chapter (</w:t>
      </w:r>
      <m:oMath>
        <m:r>
          <m:t>A</m:t>
        </m:r>
        <m:d>
          <m:dPr>
            <m:begChr m:val="("/>
            <m:endChr m:val=")"/>
            <m:sepChr m:val=""/>
            <m:grow/>
          </m:dPr>
          <m:e>
            <m:r>
              <m:t>t</m:t>
            </m:r>
          </m:e>
        </m:d>
      </m:oMath>
      <w:r>
        <w:t xml:space="preserve">,</w:t>
      </w:r>
      <w:r>
        <w:t xml:space="preserve"> </w:t>
      </w:r>
      <m:oMath>
        <m:r>
          <m:t>K</m:t>
        </m:r>
        <m:d>
          <m:dPr>
            <m:begChr m:val="("/>
            <m:endChr m:val=")"/>
            <m:sepChr m:val=""/>
            <m:grow/>
          </m:dPr>
          <m:e>
            <m:r>
              <m:t>t</m:t>
            </m:r>
            <m:r>
              <m:rPr>
                <m:sty m:val="p"/>
              </m:rPr>
              <m:t>,</m:t>
            </m:r>
            <m:r>
              <m:t>τ</m:t>
            </m:r>
          </m:e>
        </m:d>
      </m:oMath>
      <w:r>
        <w:t xml:space="preserve">,</w:t>
      </w:r>
      <w:r>
        <w:t xml:space="preserve"> </w:t>
      </w:r>
      <m:oMath>
        <m:sSub>
          <m:e>
            <m:r>
              <m:t>η</m:t>
            </m:r>
          </m:e>
          <m:sub>
            <m:r>
              <m:t>r</m:t>
            </m:r>
            <m:r>
              <m:t>e</m:t>
            </m:r>
            <m:r>
              <m:t>c</m:t>
            </m:r>
          </m:sub>
        </m:sSub>
      </m:oMath>
      <w:r>
        <w:t xml:space="preserve">,</w:t>
      </w:r>
      <w:r>
        <w:t xml:space="preserve"> </w:t>
      </w:r>
      <m:oMath>
        <m:sSub>
          <m:e>
            <m:r>
              <m:t>η</m:t>
            </m:r>
          </m:e>
          <m:sub>
            <m:r>
              <m:t>i</m:t>
            </m:r>
            <m:r>
              <m:t>n</m:t>
            </m:r>
            <m:r>
              <m:t>h</m:t>
            </m:r>
          </m:sub>
        </m:sSub>
      </m:oMath>
      <w:r>
        <w:t xml:space="preserve">,</w:t>
      </w:r>
      <w:r>
        <w:t xml:space="preserve"> </w:t>
      </w:r>
      <m:oMath>
        <m:r>
          <m:t>C</m:t>
        </m:r>
        <m:r>
          <m:t>F</m:t>
        </m:r>
      </m:oMath>
      <w:r>
        <w:t xml:space="preserve">, and the rest); and</w:t>
      </w:r>
      <w:r>
        <w:t xml:space="preserve"> </w:t>
      </w:r>
      <m:oMath>
        <m:r>
          <m:rPr>
            <m:sty m:val="p"/>
            <m:scr m:val="script"/>
          </m:rPr>
          <m:t>M</m:t>
        </m:r>
      </m:oMath>
      <w:r>
        <w:t xml:space="preserve"> </w:t>
      </w:r>
      <w:r>
        <w:t xml:space="preserve">is the model structure — the specific set of equations relating</w:t>
      </w:r>
      <w:r>
        <w:t xml:space="preserve"> </w:t>
      </w:r>
      <m:oMath>
        <m:r>
          <m:rPr>
            <m:sty m:val="b"/>
          </m:rPr>
          <m:t>θ</m:t>
        </m:r>
      </m:oMath>
      <w:r>
        <w:t xml:space="preserve"> </w:t>
      </w:r>
      <w:r>
        <w:t xml:space="preserve">and</w:t>
      </w:r>
      <w:r>
        <w:t xml:space="preserve"> </w:t>
      </w:r>
      <m:oMath>
        <m:r>
          <m:t>D</m:t>
        </m:r>
      </m:oMath>
      <w:r>
        <w:t xml:space="preserve"> </w:t>
      </w:r>
      <w:r>
        <w:t xml:space="preserve">to</w:t>
      </w:r>
      <w:r>
        <w:t xml:space="preserve"> </w:t>
      </w:r>
      <m:oMath>
        <m:r>
          <m:t>X</m:t>
        </m:r>
      </m:oMath>
      <w:r>
        <w:t xml:space="preserve">, including which processes it does and does not represent (§7.0’s structural-adequacy axis).</w:t>
      </w:r>
    </w:p>
    <w:p>
      <w:pPr>
        <w:pStyle w:val="BodyText"/>
      </w:pPr>
      <w:r>
        <w:t xml:space="preserve">This equation is written here, as with every other formal expression in this review, as a</w:t>
      </w:r>
      <w:r>
        <w:t xml:space="preserve"> </w:t>
      </w:r>
      <w:r>
        <w:rPr>
          <w:bCs/>
          <w:b/>
        </w:rPr>
        <w:t xml:space="preserve">conceptual scaffold, not a computational recipe</w:t>
      </w:r>
      <w:r>
        <w:t xml:space="preserve"> </w:t>
      </w:r>
      <w:r>
        <w:t xml:space="preserve">— no specific parametric form is asserted, and §8.7–8.9 discuss the practical methods (Monte Carlo, Bayesian hierarchical modeling) that approximate it. Its purpose is to make precise a distinction this chapter insists on throughout:</w:t>
      </w:r>
    </w:p>
    <w:p>
      <w:pPr>
        <w:pStyle w:val="BodyText"/>
      </w:pPr>
      <m:oMathPara>
        <m:oMathParaPr>
          <m:jc m:val="center"/>
        </m:oMathParaPr>
        <m:oMath>
          <m:r>
            <m:rPr>
              <m:nor/>
              <m:sty m:val="p"/>
            </m:rPr>
            <m:t>uncertainty propagation</m:t>
          </m:r>
          <m:r>
            <m:t> </m:t>
          </m:r>
          <m:r>
            <m:rPr>
              <m:sty m:val="p"/>
            </m:rPr>
            <m:t>≠</m:t>
          </m:r>
          <m:r>
            <m:t> </m:t>
          </m:r>
          <m:r>
            <m:rPr>
              <m:nor/>
              <m:sty m:val="p"/>
            </m:rPr>
            <m:t>bias correction</m:t>
          </m:r>
          <m:r>
            <m:t> </m:t>
          </m:r>
          <m:r>
            <m:rPr>
              <m:sty m:val="p"/>
            </m:rPr>
            <m:t>≠</m:t>
          </m:r>
          <m:r>
            <m:t> </m:t>
          </m:r>
          <m:r>
            <m:rPr>
              <m:nor/>
              <m:sty m:val="p"/>
            </m:rPr>
            <m:t>identifiability restoration</m:t>
          </m:r>
        </m:oMath>
      </m:oMathPara>
    </w:p>
    <w:p>
      <w:pPr>
        <w:pStyle w:val="FirstParagraph"/>
      </w:pPr>
      <w:r>
        <w:t xml:space="preserve">Propagating uncertainty means carrying the</w:t>
      </w:r>
      <w:r>
        <w:t xml:space="preserve"> </w:t>
      </w:r>
      <w:r>
        <w:rPr>
          <w:iCs/>
          <w:i/>
        </w:rPr>
        <w:t xml:space="preserve">distribution</w:t>
      </w:r>
      <w:r>
        <w:t xml:space="preserve"> </w:t>
      </w:r>
      <w:r>
        <w:t xml:space="preserve">of</w:t>
      </w:r>
      <w:r>
        <w:t xml:space="preserve"> </w:t>
      </w:r>
      <m:oMath>
        <m:r>
          <m:rPr>
            <m:sty m:val="b"/>
          </m:rPr>
          <m:t>θ</m:t>
        </m:r>
        <m:r>
          <m:rPr>
            <m:sty m:val="p"/>
          </m:rPr>
          <m:t>∣</m:t>
        </m:r>
        <m:r>
          <m:t>D</m:t>
        </m:r>
        <m:r>
          <m:rPr>
            <m:sty m:val="p"/>
          </m:rPr>
          <m:t>,</m:t>
        </m:r>
        <m:r>
          <m:rPr>
            <m:sty m:val="p"/>
            <m:scr m:val="script"/>
          </m:rPr>
          <m:t>M</m:t>
        </m:r>
      </m:oMath>
      <w:r>
        <w:t xml:space="preserve"> </w:t>
      </w:r>
      <w:r>
        <w:t xml:space="preserve">— however it was obtained — through to a distribution on</w:t>
      </w:r>
      <w:r>
        <w:t xml:space="preserve"> </w:t>
      </w:r>
      <m:oMath>
        <m:r>
          <m:t>X</m:t>
        </m:r>
      </m:oMath>
      <w:r>
        <w:t xml:space="preserve">. It does not, by itself, correct a systematic bias in any input (§5.7’s systematic-bias category still needs the process-informed correction of §4.3/§6.6, not a wider error bar), and it does not restore information that was never captured in</w:t>
      </w:r>
      <w:r>
        <w:t xml:space="preserve"> </w:t>
      </w:r>
      <m:oMath>
        <m:r>
          <m:t>D</m:t>
        </m:r>
      </m:oMath>
      <w:r>
        <w:t xml:space="preserve"> </w:t>
      </w:r>
      <w:r>
        <w:t xml:space="preserve">in the first place, or resolve a structural non-identifiability in</w:t>
      </w:r>
      <w:r>
        <w:t xml:space="preserve"> </w:t>
      </w:r>
      <m:oMath>
        <m:r>
          <m:rPr>
            <m:sty m:val="p"/>
            <m:scr m:val="script"/>
          </m:rPr>
          <m:t>M</m:t>
        </m:r>
      </m:oMath>
      <w:r>
        <w:t xml:space="preserve"> </w:t>
      </w:r>
      <w:r>
        <w:t xml:space="preserve">(§7.0, §7.3): propagating uncertainty through a poorly identified or unobservable model produces a wide, honest interval reflecting that fact, not a narrower, more useful one. A recurring failure mode this chapter documents is treating</w:t>
      </w:r>
      <w:r>
        <w:t xml:space="preserve"> </w:t>
      </w:r>
      <w:r>
        <w:t xml:space="preserve">“</w:t>
      </w:r>
      <w:r>
        <w:t xml:space="preserve">we ran a Monte Carlo simulation</w:t>
      </w:r>
      <w:r>
        <w:t xml:space="preserve">”</w:t>
      </w:r>
      <w:r>
        <w:t xml:space="preserve"> </w:t>
      </w:r>
      <w:r>
        <w:t xml:space="preserve">as though it discharges all three obligations at once — it discharges only the first.</w:t>
      </w:r>
    </w:p>
    <w:bookmarkEnd w:id="70"/>
    <w:bookmarkStart w:id="71" w:name="X69ab998db5a5a78d3fd10e7dc87cd094f38994f"/>
    <w:p>
      <w:pPr>
        <w:pStyle w:val="Heading3"/>
      </w:pPr>
      <w:r>
        <w:t xml:space="preserve">8.1 Variability, Uncertainty, Bias, and Information Loss — Kept Distinct</w:t>
      </w:r>
    </w:p>
    <w:p>
      <w:pPr>
        <w:pStyle w:val="FirstParagraph"/>
      </w:pPr>
      <w:r>
        <w:t xml:space="preserve">Consistent with this review’s practice since §5.5 and §6.1 of refusing to collapse related-but-different concepts into one word, this chapter distinguishes:</w:t>
      </w:r>
    </w:p>
    <w:p>
      <w:pPr>
        <w:numPr>
          <w:ilvl w:val="0"/>
          <w:numId w:val="1021"/>
        </w:numPr>
        <w:pStyle w:val="Compact"/>
      </w:pPr>
      <w:r>
        <w:rPr>
          <w:bCs/>
          <w:b/>
        </w:rPr>
        <w:t xml:space="preserve">Natural / aleatory variability</w:t>
      </w:r>
      <w:r>
        <w:t xml:space="preserve"> </w:t>
      </w:r>
      <w:r>
        <w:t xml:space="preserve">— genuine, irreducible variation in the underlying process (true person-to-person differences in shedding intensity, §3.1) that no amount of additional measurement removes, only characterizes.</w:t>
      </w:r>
    </w:p>
    <w:p>
      <w:pPr>
        <w:numPr>
          <w:ilvl w:val="0"/>
          <w:numId w:val="1021"/>
        </w:numPr>
        <w:pStyle w:val="Compact"/>
      </w:pPr>
      <w:r>
        <w:rPr>
          <w:bCs/>
          <w:b/>
        </w:rPr>
        <w:t xml:space="preserve">Epistemic uncertainty</w:t>
      </w:r>
      <w:r>
        <w:t xml:space="preserve"> </w:t>
      </w:r>
      <w:r>
        <w:t xml:space="preserve">— lack of knowledge that</w:t>
      </w:r>
      <w:r>
        <w:t xml:space="preserve"> </w:t>
      </w:r>
      <w:r>
        <w:rPr>
          <w:iCs/>
          <w:i/>
        </w:rPr>
        <w:t xml:space="preserve">could</w:t>
      </w:r>
      <w:r>
        <w:t xml:space="preserve"> </w:t>
      </w:r>
      <w:r>
        <w:t xml:space="preserve">in principle be reduced with more or better data (an unmeasured recovery efficiency, an unvalidated shedding-kernel shape).</w:t>
      </w:r>
    </w:p>
    <w:p>
      <w:pPr>
        <w:numPr>
          <w:ilvl w:val="0"/>
          <w:numId w:val="1021"/>
        </w:numPr>
        <w:pStyle w:val="Compact"/>
      </w:pPr>
      <w:r>
        <w:rPr>
          <w:bCs/>
          <w:b/>
        </w:rPr>
        <w:t xml:space="preserve">Systematic bias</w:t>
      </w:r>
      <w:r>
        <w:t xml:space="preserve"> </w:t>
      </w:r>
      <w:r>
        <w:t xml:space="preserve">— a persistent directional offset (§5.7), not reduced by averaging.</w:t>
      </w:r>
    </w:p>
    <w:p>
      <w:pPr>
        <w:numPr>
          <w:ilvl w:val="0"/>
          <w:numId w:val="1021"/>
        </w:numPr>
        <w:pStyle w:val="Compact"/>
      </w:pPr>
      <w:r>
        <w:rPr>
          <w:bCs/>
          <w:b/>
        </w:rPr>
        <w:t xml:space="preserve">Random measurement error</w:t>
      </w:r>
      <w:r>
        <w:t xml:space="preserve"> </w:t>
      </w:r>
      <w:r>
        <w:t xml:space="preserve">— sample-to-sample noise (§5.7), reduced by averaging or better precision.</w:t>
      </w:r>
    </w:p>
    <w:p>
      <w:pPr>
        <w:numPr>
          <w:ilvl w:val="0"/>
          <w:numId w:val="1021"/>
        </w:numPr>
        <w:pStyle w:val="Compact"/>
      </w:pPr>
      <w:r>
        <w:rPr>
          <w:bCs/>
          <w:b/>
        </w:rPr>
        <w:t xml:space="preserve">Parameter uncertainty</w:t>
      </w:r>
      <w:r>
        <w:t xml:space="preserve"> </w:t>
      </w:r>
      <w:r>
        <w:t xml:space="preserve">— epistemic uncertainty specifically about a fixed value inside</w:t>
      </w:r>
      <w:r>
        <w:t xml:space="preserve"> </w:t>
      </w:r>
      <m:oMath>
        <m:r>
          <m:rPr>
            <m:sty m:val="b"/>
          </m:rPr>
          <m:t>θ</m:t>
        </m:r>
      </m:oMath>
      <w:r>
        <w:t xml:space="preserve">.</w:t>
      </w:r>
    </w:p>
    <w:p>
      <w:pPr>
        <w:numPr>
          <w:ilvl w:val="0"/>
          <w:numId w:val="1021"/>
        </w:numPr>
        <w:pStyle w:val="Compact"/>
      </w:pPr>
      <w:r>
        <w:rPr>
          <w:bCs/>
          <w:b/>
        </w:rPr>
        <w:t xml:space="preserve">Structural model uncertainty</w:t>
      </w:r>
      <w:r>
        <w:t xml:space="preserve"> </w:t>
      </w:r>
      <w:r>
        <w:t xml:space="preserve">— uncertainty about whether</w:t>
      </w:r>
      <w:r>
        <w:t xml:space="preserve"> </w:t>
      </w:r>
      <m:oMath>
        <m:r>
          <m:rPr>
            <m:sty m:val="p"/>
            <m:scr m:val="script"/>
          </m:rPr>
          <m:t>M</m:t>
        </m:r>
      </m:oMath>
      <w:r>
        <w:t xml:space="preserve"> </w:t>
      </w:r>
      <w:r>
        <w:t xml:space="preserve">itself is the right model (§7.0’s structural adequacy, §8.12 below).</w:t>
      </w:r>
    </w:p>
    <w:p>
      <w:pPr>
        <w:numPr>
          <w:ilvl w:val="0"/>
          <w:numId w:val="1021"/>
        </w:numPr>
        <w:pStyle w:val="Compact"/>
      </w:pPr>
      <w:r>
        <w:rPr>
          <w:bCs/>
          <w:b/>
        </w:rPr>
        <w:t xml:space="preserve">Scenario uncertainty</w:t>
      </w:r>
      <w:r>
        <w:t xml:space="preserve"> </w:t>
      </w:r>
      <w:r>
        <w:t xml:space="preserve">— uncertainty about which of several plausible external conditions (a rainfall scenario, a variant-specific shedding profile) actually applies, distinct from parameter uncertainty within a single scenario.</w:t>
      </w:r>
    </w:p>
    <w:p>
      <w:pPr>
        <w:numPr>
          <w:ilvl w:val="0"/>
          <w:numId w:val="1021"/>
        </w:numPr>
        <w:pStyle w:val="Compact"/>
      </w:pPr>
      <w:r>
        <w:rPr>
          <w:bCs/>
          <w:b/>
        </w:rPr>
        <w:t xml:space="preserve">Irreversible information loss</w:t>
      </w:r>
      <w:r>
        <w:t xml:space="preserve"> </w:t>
      </w:r>
      <w:r>
        <w:t xml:space="preserve">(§5.7, §6.8, §7.6) — where none of the above applies because the relevant information was never captured by</w:t>
      </w:r>
      <w:r>
        <w:t xml:space="preserve"> </w:t>
      </w:r>
      <m:oMath>
        <m:r>
          <m:t>D</m:t>
        </m:r>
      </m:oMath>
      <w:r>
        <w:t xml:space="preserve"> </w:t>
      </w:r>
      <w:r>
        <w:t xml:space="preserve">at all.</w:t>
      </w:r>
    </w:p>
    <w:p>
      <w:pPr>
        <w:pStyle w:val="FirstParagraph"/>
      </w:pPr>
      <w:r>
        <w:t xml:space="preserve">These categories are not always cleanly separable in practice, and this section flags one case explicitly because it recurs throughout §8.2–8.5:</w:t>
      </w:r>
      <w:r>
        <w:t xml:space="preserve"> </w:t>
      </w:r>
      <w:r>
        <w:rPr>
          <w:bCs/>
          <w:b/>
        </w:rPr>
        <w:t xml:space="preserve">individual-level shedding-rate variability is aleatory variability at the individual scale, but becomes a parameter-uncertainty problem at the population-modeling scale</w:t>
      </w:r>
      <w:r>
        <w:t xml:space="preserve"> </w:t>
      </w:r>
      <w:r>
        <w:t xml:space="preserve">— a study estimating a single population-average shedding rate is not eliminating the underlying biological variability, it is choosing to represent it as uncertainty in one fitted parameter rather than as an explicit individual-level distribution, and which choice is appropriate depends on the modeling scale and purpose (an outbreak-detection application may tolerate the aggregation; an individual-level dose-reconstruction application may not).</w:t>
      </w:r>
    </w:p>
    <w:bookmarkEnd w:id="71"/>
    <w:bookmarkStart w:id="72" w:name="source-end-uncertainty"/>
    <w:p>
      <w:pPr>
        <w:pStyle w:val="Heading3"/>
      </w:pPr>
      <w:r>
        <w:t xml:space="preserve">8.2 Source-End Uncertainty</w:t>
      </w:r>
    </w:p>
    <w:p>
      <w:pPr>
        <w:pStyle w:val="FirstParagraph"/>
      </w:pPr>
      <w:r>
        <w:t xml:space="preserve">Building on §3.1’s qualitative treatment, this section addresses source-end uncertainty as a set of distributions, not point values:</w:t>
      </w:r>
    </w:p>
    <w:p>
      <w:pPr>
        <w:numPr>
          <w:ilvl w:val="0"/>
          <w:numId w:val="1022"/>
        </w:numPr>
        <w:pStyle w:val="Compact"/>
      </w:pPr>
      <w:r>
        <w:rPr>
          <w:bCs/>
          <w:b/>
        </w:rPr>
        <w:t xml:space="preserve">Post-infection shedding curves</w:t>
      </w:r>
      <w:r>
        <w:t xml:space="preserve"> </w:t>
      </w:r>
      <w:r>
        <w:t xml:space="preserve">— individual viral or biomarker load as a function of time since infection is not a fixed curve but a distribution over curves, and the population-aggregate shedding profile that back-calculation models rely on (§7.1.2) is a mixture over individuals at different points on their own shedding trajectory at any given observation time.</w:t>
      </w:r>
    </w:p>
    <w:p>
      <w:pPr>
        <w:numPr>
          <w:ilvl w:val="0"/>
          <w:numId w:val="1022"/>
        </w:numPr>
        <w:pStyle w:val="Compact"/>
      </w:pPr>
      <w:r>
        <w:rPr>
          <w:bCs/>
          <w:b/>
        </w:rPr>
        <w:t xml:space="preserve">Inter-individual shedding magnitude</w:t>
      </w:r>
      <w:r>
        <w:t xml:space="preserve"> </w:t>
      </w:r>
      <w:r>
        <w:t xml:space="preserve">— reported shedding intensities across infected individuals are widely documented as right-skewed and long-tailed rather than approximately normal, with a subset of</w:t>
      </w:r>
      <w:r>
        <w:t xml:space="preserve"> </w:t>
      </w:r>
      <w:r>
        <w:t xml:space="preserve">“</w:t>
      </w:r>
      <w:r>
        <w:t xml:space="preserve">super-shedders</w:t>
      </w:r>
      <w:r>
        <w:t xml:space="preserve">”</w:t>
      </w:r>
      <w:r>
        <w:t xml:space="preserve"> </w:t>
      </w:r>
      <w:r>
        <w:t xml:space="preserve">contributing disproportionately to the aggregate signal — a zero-inflated, over-dispersed pattern much closer to a negative-binomial or log-normal-mixture representation than to a mean-and-standard-deviation summary, and one for which naively propagating a symmetric normal distribution through §8.6’s delta method would misrepresent the tail risk that actually matters for outbreak-detection sensitivity.</w:t>
      </w:r>
    </w:p>
    <w:p>
      <w:pPr>
        <w:numPr>
          <w:ilvl w:val="0"/>
          <w:numId w:val="1022"/>
        </w:numPr>
        <w:pStyle w:val="Compact"/>
      </w:pPr>
      <w:r>
        <w:rPr>
          <w:bCs/>
          <w:b/>
        </w:rPr>
        <w:t xml:space="preserve">Asymptomatic vs. symptomatic differences</w:t>
      </w:r>
      <w:r>
        <w:t xml:space="preserve"> </w:t>
      </w:r>
      <w:r>
        <w:t xml:space="preserve">— per §1 and §3.1, WBE’s core advantage is capturing shedding regardless of symptom status, but this also means the source-end mixture includes sub-populations whose shedding parameters may differ systematically (e.g., differences in shedding duration or peak load by disease severity), which most population-average models do not represent explicitly.</w:t>
      </w:r>
    </w:p>
    <w:p>
      <w:pPr>
        <w:numPr>
          <w:ilvl w:val="0"/>
          <w:numId w:val="1022"/>
        </w:numPr>
        <w:pStyle w:val="Compact"/>
      </w:pPr>
      <w:r>
        <w:rPr>
          <w:bCs/>
          <w:b/>
        </w:rPr>
        <w:t xml:space="preserve">Drug metabolism and excretion fraction</w:t>
      </w:r>
      <w:r>
        <w:t xml:space="preserve"> </w:t>
      </w:r>
      <w:r>
        <w:t xml:space="preserve">— for chemical targets, the fraction of administered dose excreted as a specific biomarker (the</w:t>
      </w:r>
      <w:r>
        <w:t xml:space="preserve"> </w:t>
      </w:r>
      <m:oMath>
        <m:r>
          <m:t>C</m:t>
        </m:r>
        <m:r>
          <m:t>F</m:t>
        </m:r>
      </m:oMath>
      <w:r>
        <w:t xml:space="preserve"> </w:t>
      </w:r>
      <w:r>
        <w:t xml:space="preserve">term in §7.1.1) is itself a population-level distribution derived from clinical pharmacokinetic studies, and the formal Bayesian back-calculation framework developed for UK cocaine consumption estimation explicitly represents this excretion-fraction uncertainty as a probability distribution (informed by prior pharmacological literature) rather than a fixed value, propagating it through to the final per-capita consumption estimate via Markov chain Monte Carlo (Jones, Hickman, Kasprzyk-Hordern, Welton, Baker, &amp; Ades, 2014) — one of the few WBE studies in this review’s evidence base that treats source-end parameter uncertainty this formally.</w:t>
      </w:r>
    </w:p>
    <w:p>
      <w:pPr>
        <w:numPr>
          <w:ilvl w:val="0"/>
          <w:numId w:val="1022"/>
        </w:numPr>
        <w:pStyle w:val="Compact"/>
      </w:pPr>
      <w:r>
        <w:rPr>
          <w:bCs/>
          <w:b/>
        </w:rPr>
        <w:t xml:space="preserve">Parent-compound-to-metabolite conversion</w:t>
      </w:r>
      <w:r>
        <w:t xml:space="preserve"> </w:t>
      </w:r>
      <w:r>
        <w:t xml:space="preserve">— a further distributional uncertainty layered on top of excretion fraction, since the ratio of parent compound to specific metabolite measured can itself vary with dose, co-administered substances, and individual metabolic enzyme activity.</w:t>
      </w:r>
    </w:p>
    <w:p>
      <w:pPr>
        <w:numPr>
          <w:ilvl w:val="0"/>
          <w:numId w:val="1022"/>
        </w:numPr>
        <w:pStyle w:val="Compact"/>
      </w:pPr>
      <w:r>
        <w:rPr>
          <w:bCs/>
          <w:b/>
        </w:rPr>
        <w:t xml:space="preserve">Population age, diet, and disease-state heterogeneity</w:t>
      </w:r>
      <w:r>
        <w:t xml:space="preserve"> </w:t>
      </w:r>
      <w:r>
        <w:t xml:space="preserve">— each of which can shift the population-level shedding or excretion distribution as a whole, not just add noise around a fixed mean, and each of which is a scenario-uncertainty-like consideration when a monitoring program’s population differs demographically from the population a literature parameter value was derived from (§7.1.1’s cross-population</w:t>
      </w:r>
      <w:r>
        <w:t xml:space="preserve"> </w:t>
      </w:r>
      <m:oMath>
        <m:r>
          <m:t>C</m:t>
        </m:r>
        <m:r>
          <m:t>F</m:t>
        </m:r>
      </m:oMath>
      <w:r>
        <w:t xml:space="preserve">-transfer concern, generalized).</w:t>
      </w:r>
    </w:p>
    <w:p>
      <w:pPr>
        <w:numPr>
          <w:ilvl w:val="0"/>
          <w:numId w:val="1022"/>
        </w:numPr>
        <w:pStyle w:val="Compact"/>
      </w:pPr>
      <w:r>
        <w:rPr>
          <w:bCs/>
          <w:b/>
        </w:rPr>
        <w:t xml:space="preserve">Non-human sources and direct disposal</w:t>
      </w:r>
      <w:r>
        <w:t xml:space="preserve"> </w:t>
      </w:r>
      <w:r>
        <w:t xml:space="preserve">— for chemical targets specifically, a fraction of measured mass may originate from non-ingested disposal (unused medication, veterinary use) rather than human metabolism, which behaves as a source-end bias term not captured by any excretion-fraction distribution, however well characterized.</w:t>
      </w:r>
    </w:p>
    <w:p>
      <w:pPr>
        <w:numPr>
          <w:ilvl w:val="0"/>
          <w:numId w:val="1022"/>
        </w:numPr>
        <w:pStyle w:val="Compact"/>
      </w:pPr>
      <w:r>
        <w:rPr>
          <w:bCs/>
          <w:b/>
        </w:rPr>
        <w:t xml:space="preserve">Dynamic population</w:t>
      </w:r>
      <w:r>
        <w:t xml:space="preserve"> </w:t>
      </w:r>
      <w:r>
        <w:t xml:space="preserve">(§6.3) — re-enters here as a source-end uncertainty term because the</w:t>
      </w:r>
      <w:r>
        <w:t xml:space="preserve"> </w:t>
      </w:r>
      <w:r>
        <w:rPr>
          <w:iCs/>
          <w:i/>
        </w:rPr>
        <w:t xml:space="preserve">denominator</w:t>
      </w:r>
      <w:r>
        <w:t xml:space="preserve"> </w:t>
      </w:r>
      <w:r>
        <w:t xml:space="preserve">population over which per-capita source variability is aggregated is itself uncertain, compounding rather than merely adding to the numerator-side shedding/excretion uncertainty above.</w:t>
      </w:r>
    </w:p>
    <w:bookmarkEnd w:id="72"/>
    <w:bookmarkStart w:id="73" w:name="sewer-process-uncertainty"/>
    <w:p>
      <w:pPr>
        <w:pStyle w:val="Heading3"/>
      </w:pPr>
      <w:r>
        <w:t xml:space="preserve">8.3 Sewer-Process Uncertainty</w:t>
      </w:r>
    </w:p>
    <w:p>
      <w:pPr>
        <w:pStyle w:val="FirstParagraph"/>
      </w:pPr>
      <w:r>
        <w:t xml:space="preserve">Building on §4’s mechanistic treatment, formalized here as explicit uncertainty categories:</w:t>
      </w:r>
    </w:p>
    <w:p>
      <w:pPr>
        <w:numPr>
          <w:ilvl w:val="0"/>
          <w:numId w:val="1023"/>
        </w:numPr>
        <w:pStyle w:val="Compact"/>
      </w:pPr>
      <w:r>
        <w:rPr>
          <w:bCs/>
          <w:b/>
        </w:rPr>
        <w:t xml:space="preserve">Hydraulic residence-time distribution</w:t>
      </w:r>
      <w:r>
        <w:t xml:space="preserve"> </w:t>
      </w:r>
      <w:r>
        <w:t xml:space="preserve">— not a single transit time but a distribution across sub-catchment flow paths (§3.0’s kernel</w:t>
      </w:r>
      <w:r>
        <w:t xml:space="preserve"> </w:t>
      </w:r>
      <m:oMath>
        <m:r>
          <m:t>K</m:t>
        </m:r>
        <m:d>
          <m:dPr>
            <m:begChr m:val="("/>
            <m:endChr m:val=")"/>
            <m:sepChr m:val=""/>
            <m:grow/>
          </m:dPr>
          <m:e>
            <m:r>
              <m:t>t</m:t>
            </m:r>
            <m:r>
              <m:rPr>
                <m:sty m:val="p"/>
              </m:rPr>
              <m:t>,</m:t>
            </m:r>
            <m:r>
              <m:t>τ</m:t>
            </m:r>
          </m:e>
        </m:d>
      </m:oMath>
      <w:r>
        <w:t xml:space="preserve">), itself a parameter-uncertainty object requiring its own characterization (typically via hydraulic modeling, rarely via direct tracer-study validation in the applied WBE literature).</w:t>
      </w:r>
    </w:p>
    <w:p>
      <w:pPr>
        <w:numPr>
          <w:ilvl w:val="0"/>
          <w:numId w:val="1023"/>
        </w:numPr>
        <w:pStyle w:val="Compact"/>
      </w:pPr>
      <w:r>
        <w:rPr>
          <w:bCs/>
          <w:b/>
        </w:rPr>
        <w:t xml:space="preserve">Flow and rainfall uncertainty</w:t>
      </w:r>
      <w:r>
        <w:t xml:space="preserve"> </w:t>
      </w:r>
      <w:r>
        <w:t xml:space="preserve">— sensor error, rainfall-record spatial mismatch to the actual contributing catchment, and I&amp;I estimation uncertainty (§4.2, §6.2).</w:t>
      </w:r>
    </w:p>
    <w:p>
      <w:pPr>
        <w:numPr>
          <w:ilvl w:val="0"/>
          <w:numId w:val="1023"/>
        </w:numPr>
        <w:pStyle w:val="Compact"/>
      </w:pPr>
      <w:r>
        <w:rPr>
          <w:bCs/>
          <w:b/>
        </w:rPr>
        <w:t xml:space="preserve">Decay and transformation rate uncertainty</w:t>
      </w:r>
      <w:r>
        <w:t xml:space="preserve"> </w:t>
      </w:r>
      <w:r>
        <w:t xml:space="preserve">— parameter uncertainty in the first-order (or other functional-form) decay constants established in §4.1 (e.g., Jung et al., 2026’s reported rate-constant range, flagged in the verification table as pending full-text confirmation), which is itself a</w:t>
      </w:r>
      <w:r>
        <w:t xml:space="preserve"> </w:t>
      </w:r>
      <w:r>
        <w:rPr>
          <w:bCs/>
          <w:b/>
        </w:rPr>
        <w:t xml:space="preserve">time-varying process uncertainty</w:t>
      </w:r>
      <w:r>
        <w:t xml:space="preserve">, not a fixed parameter, since decay depends on temperature and microbial activity that change with season and network conditions (§4.2).</w:t>
      </w:r>
    </w:p>
    <w:p>
      <w:pPr>
        <w:numPr>
          <w:ilvl w:val="0"/>
          <w:numId w:val="1023"/>
        </w:numPr>
        <w:pStyle w:val="Compact"/>
      </w:pPr>
      <w:r>
        <w:rPr>
          <w:bCs/>
          <w:b/>
        </w:rPr>
        <w:t xml:space="preserve">Sorption / solid–liquid partitioning</w:t>
      </w:r>
      <w:r>
        <w:t xml:space="preserve"> </w:t>
      </w:r>
      <w:r>
        <w:t xml:space="preserve">(§5.3) — a further time- and matrix-varying process uncertainty, not a fixed partition coefficient.</w:t>
      </w:r>
    </w:p>
    <w:p>
      <w:pPr>
        <w:numPr>
          <w:ilvl w:val="0"/>
          <w:numId w:val="1023"/>
        </w:numPr>
        <w:pStyle w:val="Compact"/>
      </w:pPr>
      <w:r>
        <w:rPr>
          <w:bCs/>
          <w:b/>
        </w:rPr>
        <w:t xml:space="preserve">Sedimentation and delayed release</w:t>
      </w:r>
      <w:r>
        <w:t xml:space="preserve"> </w:t>
      </w:r>
      <w:r>
        <w:t xml:space="preserve">(§4.1, §6.8) — a structural process this review has already flagged as an</w:t>
      </w:r>
      <w:r>
        <w:t xml:space="preserve"> </w:t>
      </w:r>
      <w:r>
        <w:rPr>
          <w:bCs/>
          <w:b/>
        </w:rPr>
        <w:t xml:space="preserve">unrepresented structural process</w:t>
      </w:r>
      <w:r>
        <w:t xml:space="preserve"> </w:t>
      </w:r>
      <w:r>
        <w:t xml:space="preserve">in most applied back-calculation models (§7.6), not merely a parameter to be estimated with more precision, since the timing and magnitude of resuspension events are themselves poorly predictable from routinely collected data.</w:t>
      </w:r>
    </w:p>
    <w:p>
      <w:pPr>
        <w:numPr>
          <w:ilvl w:val="0"/>
          <w:numId w:val="1023"/>
        </w:numPr>
        <w:pStyle w:val="Compact"/>
      </w:pPr>
      <w:r>
        <w:rPr>
          <w:bCs/>
          <w:b/>
        </w:rPr>
        <w:t xml:space="preserve">Infiltration/inflow and overflow-driven unobserved mass loss</w:t>
      </w:r>
      <w:r>
        <w:t xml:space="preserve"> </w:t>
      </w:r>
      <w:r>
        <w:t xml:space="preserve">(§4.2, §6.2, §6.8, §7.6) — CSO mass loss in particular is best represented as a</w:t>
      </w:r>
      <w:r>
        <w:t xml:space="preserve"> </w:t>
      </w:r>
      <w:r>
        <w:rPr>
          <w:bCs/>
          <w:b/>
        </w:rPr>
        <w:t xml:space="preserve">scenario uncertainty</w:t>
      </w:r>
      <w:r>
        <w:t xml:space="preserve"> </w:t>
      </w:r>
      <w:r>
        <w:t xml:space="preserve">(did an overflow event occur on a given day, and if so how much mass was lost) rather than a smoothly-varying parameter, since its effect is closer to a discrete on/off structural break than a continuous perturbation.</w:t>
      </w:r>
    </w:p>
    <w:p>
      <w:pPr>
        <w:numPr>
          <w:ilvl w:val="0"/>
          <w:numId w:val="1023"/>
        </w:numPr>
        <w:pStyle w:val="Compact"/>
      </w:pPr>
      <w:r>
        <w:rPr>
          <w:bCs/>
          <w:b/>
        </w:rPr>
        <w:t xml:space="preserve">Catchment-contribution (spatial-weighting) uncertainty</w:t>
      </w:r>
      <w:r>
        <w:t xml:space="preserve"> </w:t>
      </w:r>
      <w:r>
        <w:t xml:space="preserve">— per §3.0’s spatial-distortion formalism, the relative contribution of different sub-catchments to a single downstream sample is itself uncertain and time-varying (shifting further during storms, §4.2), and is rarely propagated explicitly in applied studies despite being a documented, named term in this review’s own formal framework since Chapter 3.</w:t>
      </w:r>
    </w:p>
    <w:p>
      <w:pPr>
        <w:pStyle w:val="FirstParagraph"/>
      </w:pPr>
      <w:r>
        <w:t xml:space="preserve">The distinction this section insists on:</w:t>
      </w:r>
      <w:r>
        <w:t xml:space="preserve"> </w:t>
      </w:r>
      <w:r>
        <w:rPr>
          <w:bCs/>
          <w:b/>
        </w:rPr>
        <w:t xml:space="preserve">parameter uncertainty</w:t>
      </w:r>
      <w:r>
        <w:t xml:space="preserve"> </w:t>
      </w:r>
      <w:r>
        <w:t xml:space="preserve">(a decay rate’s numeric value is uncertain but the functional form is accepted),</w:t>
      </w:r>
      <w:r>
        <w:t xml:space="preserve"> </w:t>
      </w:r>
      <w:r>
        <w:rPr>
          <w:bCs/>
          <w:b/>
        </w:rPr>
        <w:t xml:space="preserve">time-varying process uncertainty</w:t>
      </w:r>
      <w:r>
        <w:t xml:space="preserve"> </w:t>
      </w:r>
      <w:r>
        <w:t xml:space="preserve">(the true value changes with conditions in ways a static parameter cannot represent), and</w:t>
      </w:r>
      <w:r>
        <w:t xml:space="preserve"> </w:t>
      </w:r>
      <w:r>
        <w:rPr>
          <w:bCs/>
          <w:b/>
        </w:rPr>
        <w:t xml:space="preserve">unrepresented structural processes</w:t>
      </w:r>
      <w:r>
        <w:t xml:space="preserve"> </w:t>
      </w:r>
      <w:r>
        <w:t xml:space="preserve">(the process is absent from the model entirely) require three different remedies — better parameter estimation, a time-varying or covariate-dependent parameterization, and a structural model change, respectively — and treating the third as though it were the first (i.e., trying to</w:t>
      </w:r>
      <w:r>
        <w:t xml:space="preserve"> </w:t>
      </w:r>
      <w:r>
        <w:t xml:space="preserve">“</w:t>
      </w:r>
      <w:r>
        <w:t xml:space="preserve">estimate</w:t>
      </w:r>
      <w:r>
        <w:t xml:space="preserve">”</w:t>
      </w:r>
      <w:r>
        <w:t xml:space="preserve"> </w:t>
      </w:r>
      <w:r>
        <w:t xml:space="preserve">a decay rate more precisely to compensate for an entirely unmodeled resuspension process) does not work.</w:t>
      </w:r>
    </w:p>
    <w:bookmarkEnd w:id="73"/>
    <w:bookmarkStart w:id="74" w:name="sampling-and-analytical-uncertainty"/>
    <w:p>
      <w:pPr>
        <w:pStyle w:val="Heading3"/>
      </w:pPr>
      <w:r>
        <w:t xml:space="preserve">8.4 Sampling and Analytical Uncertainty</w:t>
      </w:r>
    </w:p>
    <w:p>
      <w:pPr>
        <w:pStyle w:val="FirstParagraph"/>
      </w:pPr>
      <w:r>
        <w:t xml:space="preserve">This section imports §5.0’s molecular-target and chemical-biomarker observation models directly and propagates their component terms individually, per the six-concept disambiguation §5.5 already established (sampling representativeness, analytical recovery, measurement precision, analytical sensitivity, LOD/LOQ censoring, biological/technical replicates):</w:t>
      </w:r>
    </w:p>
    <w:p>
      <w:pPr>
        <w:numPr>
          <w:ilvl w:val="0"/>
          <w:numId w:val="1024"/>
        </w:numPr>
        <w:pStyle w:val="Compact"/>
      </w:pPr>
      <w:r>
        <w:rPr>
          <w:bCs/>
          <w:b/>
        </w:rPr>
        <w:t xml:space="preserve">Sampling representativeness</w:t>
      </w:r>
      <w:r>
        <w:t xml:space="preserve"> </w:t>
      </w:r>
      <w:r>
        <w:t xml:space="preserve">(§5.1–5.2) — a design-stage source of variance/bias that is not reducible by any downstream statistical correction, only by a better sampling design.</w:t>
      </w:r>
    </w:p>
    <w:p>
      <w:pPr>
        <w:numPr>
          <w:ilvl w:val="0"/>
          <w:numId w:val="1024"/>
        </w:numPr>
        <w:pStyle w:val="Compact"/>
      </w:pPr>
      <w:r>
        <w:rPr>
          <w:bCs/>
          <w:b/>
        </w:rPr>
        <w:t xml:space="preserve">Recovery (</w:t>
      </w:r>
      <m:oMath>
        <m:sSub>
          <m:e>
            <m:r>
              <m:t>η</m:t>
            </m:r>
          </m:e>
          <m:sub>
            <m:r>
              <m:t>r</m:t>
            </m:r>
            <m:r>
              <m:t>e</m:t>
            </m:r>
            <m:r>
              <m:t>c</m:t>
            </m:r>
          </m:sub>
        </m:sSub>
      </m:oMath>
      <w:r>
        <w:rPr>
          <w:bCs/>
          <w:b/>
        </w:rPr>
        <w:t xml:space="preserve">/</w:t>
      </w:r>
      <m:oMath>
        <m:sSub>
          <m:e>
            <m:r>
              <m:t>η</m:t>
            </m:r>
          </m:e>
          <m:sub>
            <m:r>
              <m:t>e</m:t>
            </m:r>
            <m:r>
              <m:t>x</m:t>
            </m:r>
            <m:r>
              <m:t>t</m:t>
            </m:r>
          </m:sub>
        </m:sSub>
      </m:oMath>
      <w:r>
        <w:rPr>
          <w:bCs/>
          <w:b/>
        </w:rPr>
        <w:t xml:space="preserve">) and inhibition/ion-suppression (</w:t>
      </w:r>
      <m:oMath>
        <m:sSub>
          <m:e>
            <m:r>
              <m:t>η</m:t>
            </m:r>
          </m:e>
          <m:sub>
            <m:r>
              <m:t>i</m:t>
            </m:r>
            <m:r>
              <m:t>n</m:t>
            </m:r>
            <m:r>
              <m:t>h</m:t>
            </m:r>
          </m:sub>
        </m:sSub>
      </m:oMath>
      <w:r>
        <w:rPr>
          <w:bCs/>
          <w:b/>
        </w:rPr>
        <w:t xml:space="preserve">/</w:t>
      </w:r>
      <m:oMath>
        <m:sSub>
          <m:e>
            <m:r>
              <m:t>η</m:t>
            </m:r>
          </m:e>
          <m:sub>
            <m:r>
              <m:t>i</m:t>
            </m:r>
            <m:r>
              <m:t>o</m:t>
            </m:r>
            <m:r>
              <m:t>n</m:t>
            </m:r>
          </m:sub>
        </m:sSub>
      </m:oMath>
      <w:r>
        <w:rPr>
          <w:bCs/>
          <w:b/>
        </w:rPr>
        <w:t xml:space="preserve">)</w:t>
      </w:r>
      <w:r>
        <w:t xml:space="preserve"> </w:t>
      </w:r>
      <w:r>
        <w:t xml:space="preserve">(§5.0, §5.5) — two mechanistically distinct amplitude terms, each with its own distribution, not collapsible into one</w:t>
      </w:r>
      <w:r>
        <w:t xml:space="preserve"> </w:t>
      </w:r>
      <w:r>
        <w:t xml:space="preserve">“</w:t>
      </w:r>
      <w:r>
        <w:t xml:space="preserve">recovery-corrected</w:t>
      </w:r>
      <w:r>
        <w:t xml:space="preserve">”</w:t>
      </w:r>
      <w:r>
        <w:t xml:space="preserve"> </w:t>
      </w:r>
      <w:r>
        <w:t xml:space="preserve">scalar.</w:t>
      </w:r>
    </w:p>
    <w:p>
      <w:pPr>
        <w:numPr>
          <w:ilvl w:val="0"/>
          <w:numId w:val="1024"/>
        </w:numPr>
        <w:pStyle w:val="Compact"/>
      </w:pPr>
      <w:r>
        <w:rPr>
          <w:bCs/>
          <w:b/>
        </w:rPr>
        <w:t xml:space="preserve">Extraction and ionization effects</w:t>
      </w:r>
      <w:r>
        <w:t xml:space="preserve"> </w:t>
      </w:r>
      <w:r>
        <w:t xml:space="preserve">specifically for chemical targets (§5.6), analogous to but not interchangeable with the molecular-target terms.</w:t>
      </w:r>
    </w:p>
    <w:p>
      <w:pPr>
        <w:numPr>
          <w:ilvl w:val="0"/>
          <w:numId w:val="1024"/>
        </w:numPr>
        <w:pStyle w:val="Compact"/>
      </w:pPr>
      <w:r>
        <w:rPr>
          <w:bCs/>
          <w:b/>
        </w:rPr>
        <w:t xml:space="preserve">Measurement precision and interlaboratory effects</w:t>
      </w:r>
      <w:r>
        <w:t xml:space="preserve"> </w:t>
      </w:r>
      <w:r>
        <w:t xml:space="preserve">— a large U.S. interlaboratory comparison found substantial spread in recovery/LOD across 36 tested SOPs, with reproducibility markedly better within a single laboratory/protocol than across different ones (Pecson et al., 2021, previously cited in §5.5) — direct, quantitative (though full-text-unconfirmed) evidence that</w:t>
      </w:r>
      <w:r>
        <w:t xml:space="preserve"> </w:t>
      </w:r>
      <w:r>
        <w:t xml:space="preserve">“</w:t>
      </w:r>
      <w:r>
        <w:t xml:space="preserve">measurement precision</w:t>
      </w:r>
      <w:r>
        <w:t xml:space="preserve">”</w:t>
      </w:r>
      <w:r>
        <w:t xml:space="preserve"> </w:t>
      </w:r>
      <w:r>
        <w:t xml:space="preserve">is not a single number but depends on whether the comparison is within- or across-protocol. A more recent, targeted evaluation of concentration, extraction, and amplification steps specifically found that different combinations of two concentration methods, three extraction kits, and eight primer-probe sets produced measurably different quantification outcomes even under controlled laboratory conditions, with concentration method contributing comparatively less variability than extraction/amplification choice in that comparison (Yang, Jiao, Dong, Li, Xu, Liu, Sun, &amp; Huang, 2024; specific variance-contribution figures pending full-text confirmation) — this is the kind of factorial, multi-step uncertainty decomposition §8.13 below formalizes for the chain as a whole, demonstrated here at the analytical sub-stage.</w:t>
      </w:r>
    </w:p>
    <w:p>
      <w:pPr>
        <w:numPr>
          <w:ilvl w:val="0"/>
          <w:numId w:val="1024"/>
        </w:numPr>
        <w:pStyle w:val="Compact"/>
      </w:pPr>
      <w:r>
        <w:rPr>
          <w:bCs/>
          <w:b/>
        </w:rPr>
        <w:t xml:space="preserve">LOD/LOQ censoring, missing samples, and batch changes</w:t>
      </w:r>
      <w:r>
        <w:t xml:space="preserve"> </w:t>
      </w:r>
      <w:r>
        <w:t xml:space="preserve">(§5.5, §5.7) — developed formally in §8.11 below, since censoring specifically requires different statistical handling than ordinary measurement noise.</w:t>
      </w:r>
    </w:p>
    <w:p>
      <w:pPr>
        <w:numPr>
          <w:ilvl w:val="0"/>
          <w:numId w:val="1024"/>
        </w:numPr>
        <w:pStyle w:val="Compact"/>
      </w:pPr>
      <w:r>
        <w:rPr>
          <w:bCs/>
          <w:b/>
        </w:rPr>
        <w:t xml:space="preserve">Technical vs. biological replicates</w:t>
      </w:r>
      <w:r>
        <w:t xml:space="preserve"> </w:t>
      </w:r>
      <w:r>
        <w:t xml:space="preserve">(§5.5) — technical replicate variance alone systematically understates total uncertainty, since it excludes sampling-representativeness variance and true biological heterogeneity; a study reporting only technical-replicate error bars is, by construction, reporting a lower bound on total uncertainty, not an estimate of it.</w:t>
      </w:r>
    </w:p>
    <w:p>
      <w:pPr>
        <w:pStyle w:val="FirstParagraph"/>
      </w:pPr>
      <w:r>
        <w:rPr>
          <w:bCs/>
          <w:b/>
        </w:rPr>
        <w:t xml:space="preserve">This section’s central methodological point</w:t>
      </w:r>
      <w:r>
        <w:t xml:space="preserve">: applied WBE studies frequently report a single</w:t>
      </w:r>
      <w:r>
        <w:t xml:space="preserve"> </w:t>
      </w:r>
      <w:r>
        <w:t xml:space="preserve">“</w:t>
      </w:r>
      <w:r>
        <w:t xml:space="preserve">assay uncertainty</w:t>
      </w:r>
      <w:r>
        <w:t xml:space="preserve">”</w:t>
      </w:r>
      <w:r>
        <w:t xml:space="preserve"> </w:t>
      </w:r>
      <w:r>
        <w:t xml:space="preserve">(e.g.,</w:t>
      </w:r>
      <w:r>
        <w:t xml:space="preserve"> </w:t>
      </w:r>
      <w:r>
        <w:t xml:space="preserve">“</w:t>
      </w:r>
      <w:r>
        <w:t xml:space="preserve">±X% based on technical triplicates</w:t>
      </w:r>
      <w:r>
        <w:t xml:space="preserve">”</w:t>
      </w:r>
      <w:r>
        <w:t xml:space="preserve">) that conflates several of the above into one number. This is not a defensible simplification — recovery bias, inhibition, precision, and censoring behave differently (§5.5’s six-way distinction exists precisely to prevent this collapse), propagate differently through §8.6–8.7’s methods, and require different mitigations, so a single fixed percentage cannot represent all of them simultaneously without either overstating confidence in some components or understating it in others.</w:t>
      </w:r>
    </w:p>
    <w:bookmarkEnd w:id="74"/>
    <w:bookmarkStart w:id="75" w:name="normalization-uncertainty"/>
    <w:p>
      <w:pPr>
        <w:pStyle w:val="Heading3"/>
      </w:pPr>
      <w:r>
        <w:t xml:space="preserve">8.5 Normalization Uncertainty</w:t>
      </w:r>
    </w:p>
    <w:p>
      <w:pPr>
        <w:pStyle w:val="FirstParagraph"/>
      </w:pPr>
      <w:r>
        <w:t xml:space="preserve">Extending §6.6’s ratio-normalization error-propagation argument to the full uncertainty-budget context: flow measurement error (§6.2, §8.3), census/dynamic population uncertainty (§6.3), and population-marker measurement error (§6.4–6.5, itself inheriting all of §8.4’s analytical-uncertainty categories, since a biomarker denominator is measured through the same observation-model chain as the target) all enter</w:t>
      </w:r>
      <w:r>
        <w:t xml:space="preserve"> </w:t>
      </w:r>
      <m:oMath>
        <m:r>
          <m:t>Z</m:t>
        </m:r>
        <m:d>
          <m:dPr>
            <m:begChr m:val="("/>
            <m:endChr m:val=")"/>
            <m:sepChr m:val=""/>
            <m:grow/>
          </m:dPr>
          <m:e>
            <m:r>
              <m:t>t</m:t>
            </m:r>
          </m:e>
        </m:d>
      </m:oMath>
      <w:r>
        <w:t xml:space="preserve">’s uncertainty budget. The point this section adds beyond §6.6’s already-developed argument is explicit here because it is easy to lose in a component-by-component uncertainty listing:</w:t>
      </w:r>
      <w:r>
        <w:t xml:space="preserve"> </w:t>
      </w:r>
      <w:r>
        <w:rPr>
          <w:bCs/>
          <w:b/>
        </w:rPr>
        <w:t xml:space="preserve">the target and the normalizer are usually not independent random variables</w:t>
      </w:r>
      <w:r>
        <w:t xml:space="preserve">, since both frequently share sampling representativeness error (§5.1–5.2, drawn from the same physical sample), can share recovery/inhibition effects (if co-extracted and co-analyzed), and are both driven by shared upstream drivers (both diluted by the same rainfall event, §4.2). Treating</w:t>
      </w:r>
      <w:r>
        <w:t xml:space="preserve"> </w:t>
      </w:r>
      <m:oMath>
        <m:r>
          <m:t>Z</m:t>
        </m:r>
        <m:d>
          <m:dPr>
            <m:begChr m:val="("/>
            <m:endChr m:val=")"/>
            <m:sepChr m:val=""/>
            <m:grow/>
          </m:dPr>
          <m:e>
            <m:r>
              <m:t>t</m:t>
            </m:r>
          </m:e>
        </m:d>
        <m:r>
          <m:rPr>
            <m:sty m:val="p"/>
          </m:rPr>
          <m:t>=</m:t>
        </m:r>
        <m:sSub>
          <m:e>
            <m:acc>
              <m:accPr>
                <m:chr m:val="̂"/>
              </m:accPr>
              <m:e>
                <m:r>
                  <m:t>Y</m:t>
                </m:r>
              </m:e>
            </m:acc>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t</m:t>
            </m:r>
          </m:e>
        </m:d>
        <m:r>
          <m:rPr>
            <m:sty m:val="p"/>
          </m:rPr>
          <m:t>/</m:t>
        </m:r>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d>
          <m:dPr>
            <m:begChr m:val="("/>
            <m:endChr m:val=")"/>
            <m:sepChr m:val=""/>
            <m:grow/>
          </m:dPr>
          <m:e>
            <m:r>
              <m:t>t</m:t>
            </m:r>
          </m:e>
        </m:d>
      </m:oMath>
      <w:r>
        <w:t xml:space="preserve">’s uncertainty as though numerator and denominator errors were independent — the implicit assumption behind a naive delta-method application (§8.6) — will misstate the true uncertainty in a direction that depends on the sign and strength of that shared covariance, a point developed formally in §8.10.</w:t>
      </w:r>
    </w:p>
    <w:bookmarkEnd w:id="75"/>
    <w:bookmarkStart w:id="76" w:name="X7668e70ace5665e52ca8a9f38e9a15380e8e544"/>
    <w:p>
      <w:pPr>
        <w:pStyle w:val="Heading3"/>
      </w:pPr>
      <w:r>
        <w:t xml:space="preserve">8.6 Analytical Error Propagation and the Delta Method</w:t>
      </w:r>
    </w:p>
    <w:p>
      <w:pPr>
        <w:pStyle w:val="FirstParagraph"/>
      </w:pPr>
      <w:r>
        <w:t xml:space="preserve">The simplest formal propagation tool, appropriate under specific conditions this section states explicitly rather than assuming: for a function</w:t>
      </w:r>
      <w:r>
        <w:t xml:space="preserve"> </w:t>
      </w:r>
      <m:oMath>
        <m:r>
          <m:t>g</m:t>
        </m:r>
        <m:d>
          <m:dPr>
            <m:begChr m:val="("/>
            <m:endChr m:val=")"/>
            <m:sepChr m:val=""/>
            <m:grow/>
          </m:dPr>
          <m:e>
            <m:r>
              <m:rPr>
                <m:sty m:val="b"/>
              </m:rPr>
              <m:t>x</m:t>
            </m:r>
          </m:e>
        </m:d>
      </m:oMath>
      <w:r>
        <w:t xml:space="preserve"> </w:t>
      </w:r>
      <w:r>
        <w:t xml:space="preserve">of input variables</w:t>
      </w:r>
      <w:r>
        <w:t xml:space="preserve"> </w:t>
      </w:r>
      <m:oMath>
        <m:r>
          <m:rPr>
            <m:sty m:val="b"/>
          </m:rPr>
          <m:t>x</m:t>
        </m:r>
      </m:oMath>
      <w:r>
        <w:t xml:space="preserve"> </w:t>
      </w:r>
      <w:r>
        <w:t xml:space="preserve">with covariance</w:t>
      </w:r>
      <w:r>
        <w:t xml:space="preserve"> </w:t>
      </w:r>
      <m:oMath>
        <m:r>
          <m:rPr>
            <m:sty m:val="b"/>
          </m:rPr>
          <m:t>Σ</m:t>
        </m:r>
      </m:oMath>
      <w:r>
        <w:t xml:space="preserve">, a first-order Taylor expansion gives</w:t>
      </w:r>
    </w:p>
    <w:p>
      <w:pPr>
        <w:pStyle w:val="BodyText"/>
      </w:pPr>
      <m:oMathPara>
        <m:oMathParaPr>
          <m:jc m:val="center"/>
        </m:oMathParaPr>
        <m:oMath>
          <m:r>
            <m:rPr>
              <m:sty m:val="p"/>
            </m:rPr>
            <m:t>Var</m:t>
          </m:r>
          <m:d>
            <m:dPr>
              <m:begChr m:val="("/>
              <m:endChr m:val=")"/>
              <m:sepChr m:val=""/>
              <m:grow/>
            </m:dPr>
            <m:e>
              <m:r>
                <m:t>g</m:t>
              </m:r>
              <m:d>
                <m:dPr>
                  <m:begChr m:val="("/>
                  <m:endChr m:val=")"/>
                  <m:sepChr m:val=""/>
                  <m:grow/>
                </m:dPr>
                <m:e>
                  <m:r>
                    <m:rPr>
                      <m:sty m:val="b"/>
                    </m:rPr>
                    <m:t>x</m:t>
                  </m:r>
                </m:e>
              </m:d>
            </m:e>
          </m:d>
          <m:r>
            <m:rPr>
              <m:sty m:val="p"/>
            </m:rPr>
            <m:t>≈</m:t>
          </m:r>
          <m:r>
            <m:rPr>
              <m:sty m:val="b"/>
            </m:rPr>
            <m:t>J</m:t>
          </m:r>
          <m:r>
            <m:t> </m:t>
          </m:r>
          <m:r>
            <m:rPr>
              <m:sty m:val="b"/>
            </m:rPr>
            <m:t>Σ</m:t>
          </m:r>
          <m:r>
            <m:t> </m:t>
          </m:r>
          <m:sSup>
            <m:e>
              <m:r>
                <m:rPr>
                  <m:sty m:val="b"/>
                </m:rPr>
                <m:t>J</m:t>
              </m:r>
            </m:e>
            <m:sup>
              <m:r>
                <m:rPr>
                  <m:sty m:val="p"/>
                </m:rPr>
                <m:t>T</m:t>
              </m:r>
            </m:sup>
          </m:sSup>
        </m:oMath>
      </m:oMathPara>
    </w:p>
    <w:p>
      <w:pPr>
        <w:pStyle w:val="FirstParagraph"/>
      </w:pPr>
      <w:r>
        <w:t xml:space="preserve">where</w:t>
      </w:r>
      <w:r>
        <w:t xml:space="preserve"> </w:t>
      </w:r>
      <m:oMath>
        <m:r>
          <m:rPr>
            <m:sty m:val="b"/>
          </m:rPr>
          <m:t>J</m:t>
        </m:r>
      </m:oMath>
      <w:r>
        <w:t xml:space="preserve"> </w:t>
      </w:r>
      <w:r>
        <w:t xml:space="preserve">is the Jacobian of</w:t>
      </w:r>
      <w:r>
        <w:t xml:space="preserve"> </w:t>
      </w:r>
      <m:oMath>
        <m:r>
          <m:t>g</m:t>
        </m:r>
      </m:oMath>
      <w:r>
        <w:t xml:space="preserve"> </w:t>
      </w:r>
      <w:r>
        <w:t xml:space="preserve">with respect to</w:t>
      </w:r>
      <w:r>
        <w:t xml:space="preserve"> </w:t>
      </w:r>
      <m:oMath>
        <m:r>
          <m:rPr>
            <m:sty m:val="b"/>
          </m:rPr>
          <m:t>x</m:t>
        </m:r>
      </m:oMath>
      <w:r>
        <w:t xml:space="preserve">, evaluated at the mean.</w:t>
      </w:r>
      <w:r>
        <w:t xml:space="preserve"> </w:t>
      </w:r>
      <w:r>
        <w:rPr>
          <w:bCs/>
          <w:b/>
        </w:rPr>
        <w:t xml:space="preserve">This approximation is defensible only when</w:t>
      </w:r>
      <w:r>
        <w:t xml:space="preserve">:</w:t>
      </w:r>
      <w:r>
        <w:t xml:space="preserve"> </w:t>
      </w:r>
      <m:oMath>
        <m:r>
          <m:t>g</m:t>
        </m:r>
      </m:oMath>
      <w:r>
        <w:t xml:space="preserve"> </w:t>
      </w:r>
      <w:r>
        <w:t xml:space="preserve">is approximately linear over the range of plausible input values; input errors are small relative to the input magnitudes; input (and hence output) distributions are close to symmetric; and the calculation stays well away from conditions where</w:t>
      </w:r>
      <w:r>
        <w:t xml:space="preserve"> </w:t>
      </w:r>
      <m:oMath>
        <m:r>
          <m:t>g</m:t>
        </m:r>
      </m:oMath>
      <w:r>
        <w:t xml:space="preserve">’s derivative blows up — a denominator near zero (§6.6’s near-LOD ratio-instability problem, restated here in general form) or a value near an LOD/LOQ censoring boundary (§8.11). Under strongly nonlinear functions, long-tailed input distributions (§8.2’s shedding-rate skew), or near-boundary conditions, the delta method’s linear approximation breaks down in ways that are not merely quantitatively imprecise but qualitatively misleading — it can report a narrow, symmetric interval for a quantity whose true distribution is wide and skewed, which is arguably worse than reporting no interval at all, since it invites false confidence. §8.7’s Monte Carlo approach is the standard remedy where these conditions are not met.</w:t>
      </w:r>
    </w:p>
    <w:bookmarkEnd w:id="76"/>
    <w:bookmarkStart w:id="77" w:name="monte-carlo-propagation"/>
    <w:p>
      <w:pPr>
        <w:pStyle w:val="Heading3"/>
      </w:pPr>
      <w:r>
        <w:t xml:space="preserve">8.7 Monte Carlo Propagation</w:t>
      </w:r>
    </w:p>
    <w:p>
      <w:pPr>
        <w:pStyle w:val="FirstParagraph"/>
      </w:pPr>
      <w:r>
        <w:t xml:space="preserve">The standard simulation-based alternative: (1) specify a probability distribution for every uncertain input; (2) preserve known correlation structure among inputs rather than assuming independence (§8.10); (3) repeatedly sample from the joint input distribution and propagate each draw through the forward (or inverse) model; (4) collect the resulting distribution of outputs; (5) report medians, quantiles, and exceedance probabilities rather than a single point estimate plus symmetric error bar. Monte Carlo methods have a genuine track record in the chemical-WBE consumption-estimation literature specifically — beyond the formal Bayesian framework already discussed (Jones et al., 2014), Monte Carlo simulation (100,000 resampling iterations over the probability distributions assigned to each input parameter) was applied directly to estimate uncertainty and variability in methamphetamine consumption and prevalence in Beijing (Pei, Zhan, Yan, Ge, Zhang, Wang, &amp; Wang, 2016), and, separately, to neuropsychiatric and illicit drug prevalence estimates across three U.S. communities — described as the first application of Monte Carlo uncertainty propagation to WBE prevalence estimation in the U.S. (Croft, Huffines, Pathak, &amp; Subedi, 2020). Both are real, named, primary chemical-WBE Monte Carlo studies; the specific numeric outputs each reports (e.g., Beijing’s median 2.6 kg/day methamphetamine consumption estimate, or the Kentucky per-capita consumption figures) are flagged in the verification table as pending full-text confirmation, consistent with this review’s standing evidentiary caveat, but the studies themselves and their authorship are no longer unnamed.</w:t>
      </w:r>
    </w:p>
    <w:p>
      <w:pPr>
        <w:pStyle w:val="BodyText"/>
      </w:pPr>
      <w:r>
        <w:t xml:space="preserve">This chapter’s required critique of how Monte Carlo is actually applied in this literature:</w:t>
      </w:r>
    </w:p>
    <w:p>
      <w:pPr>
        <w:numPr>
          <w:ilvl w:val="0"/>
          <w:numId w:val="1025"/>
        </w:numPr>
        <w:pStyle w:val="Compact"/>
      </w:pPr>
      <w:r>
        <w:rPr>
          <w:bCs/>
          <w:b/>
        </w:rPr>
        <w:t xml:space="preserve">Arbitrary distributional choices.</w:t>
      </w:r>
      <w:r>
        <w:t xml:space="preserve"> </w:t>
      </w:r>
      <w:r>
        <w:t xml:space="preserve">Defaulting to a uniform or normal distribution for an input parameter because a more specific distribution was not readily available is a common shortcut that silently encodes an assumption (e.g., a uniform distribution asserts equal plausibility across the full range, which is rarely true) — the distributional choice should be justified by the actual shape of the underlying variability (§8.2’s shedding-rate skew is a direct counter-example to defaulting to normal).</w:t>
      </w:r>
    </w:p>
    <w:p>
      <w:pPr>
        <w:numPr>
          <w:ilvl w:val="0"/>
          <w:numId w:val="1025"/>
        </w:numPr>
        <w:pStyle w:val="Compact"/>
      </w:pPr>
      <w:r>
        <w:rPr>
          <w:bCs/>
          <w:b/>
        </w:rPr>
        <w:t xml:space="preserve">Default independence.</w:t>
      </w:r>
      <w:r>
        <w:t xml:space="preserve"> </w:t>
      </w:r>
      <w:r>
        <w:t xml:space="preserve">Sampling every input independently when several are known or suspected to be correlated (§8.10) produces an output distribution that is generally too narrow in some directions and too wide in others, not simply</w:t>
      </w:r>
      <w:r>
        <w:t xml:space="preserve"> </w:t>
      </w:r>
      <w:r>
        <w:t xml:space="preserve">“</w:t>
      </w:r>
      <w:r>
        <w:t xml:space="preserve">approximately right.</w:t>
      </w:r>
      <w:r>
        <w:t xml:space="preserve">”</w:t>
      </w:r>
    </w:p>
    <w:p>
      <w:pPr>
        <w:numPr>
          <w:ilvl w:val="0"/>
          <w:numId w:val="1025"/>
        </w:numPr>
        <w:pStyle w:val="Compact"/>
      </w:pPr>
      <w:r>
        <w:rPr>
          <w:bCs/>
          <w:b/>
        </w:rPr>
        <w:t xml:space="preserve">Parameter assemblage across mismatched populations.</w:t>
      </w:r>
      <w:r>
        <w:t xml:space="preserve"> </w:t>
      </w:r>
      <w:r>
        <w:t xml:space="preserve">Combining a shedding-rate distribution from one clinical cohort, a recovery-efficiency distribution from a different laboratory validation study, and a population-normalization parameter from a third geographic setting, into a single simulation, silently imports each source’s population-specific context into a composite that may not represent any real population accurately (a direct extension of §7.1.1’s cross-population</w:t>
      </w:r>
      <w:r>
        <w:t xml:space="preserve"> </w:t>
      </w:r>
      <m:oMath>
        <m:r>
          <m:t>C</m:t>
        </m:r>
        <m:r>
          <m:t>F</m:t>
        </m:r>
      </m:oMath>
      <w:r>
        <w:t xml:space="preserve">-transfer concern to the full simulation).</w:t>
      </w:r>
    </w:p>
    <w:p>
      <w:pPr>
        <w:numPr>
          <w:ilvl w:val="0"/>
          <w:numId w:val="1025"/>
        </w:numPr>
        <w:pStyle w:val="Compact"/>
      </w:pPr>
      <w:r>
        <w:rPr>
          <w:bCs/>
          <w:b/>
        </w:rPr>
        <w:t xml:space="preserve">Reporting only the output interval.</w:t>
      </w:r>
      <w:r>
        <w:t xml:space="preserve"> </w:t>
      </w:r>
      <w:r>
        <w:t xml:space="preserve">A Monte Carlo result presented as</w:t>
      </w:r>
      <w:r>
        <w:t xml:space="preserve"> </w:t>
      </w:r>
      <w:r>
        <w:t xml:space="preserve">“</w:t>
      </w:r>
      <w:r>
        <w:t xml:space="preserve">95% interval: [a, b]</w:t>
      </w:r>
      <w:r>
        <w:t xml:space="preserve">”</w:t>
      </w:r>
      <w:r>
        <w:t xml:space="preserve"> </w:t>
      </w:r>
      <w:r>
        <w:t xml:space="preserve">without documenting which input distributions were used, on what basis, and with what correlation structure is not reproducible or auditable — consistent with §8.15’s minimum reporting standard below.</w:t>
      </w:r>
    </w:p>
    <w:bookmarkEnd w:id="77"/>
    <w:bookmarkStart w:id="78" w:name="global-sensitivity-analysis"/>
    <w:p>
      <w:pPr>
        <w:pStyle w:val="Heading3"/>
      </w:pPr>
      <w:r>
        <w:t xml:space="preserve">8.8 Global Sensitivity Analysis</w:t>
      </w:r>
    </w:p>
    <w:p>
      <w:pPr>
        <w:pStyle w:val="FirstParagraph"/>
      </w:pPr>
      <w:r>
        <w:t xml:space="preserve">Distinguishing methods by what they actually measure, since</w:t>
      </w:r>
      <w:r>
        <w:t xml:space="preserve"> </w:t>
      </w:r>
      <w:r>
        <w:t xml:space="preserve">“</w:t>
      </w:r>
      <w:r>
        <w:t xml:space="preserve">sensitivity analysis</w:t>
      </w:r>
      <w:r>
        <w:t xml:space="preserve">”</w:t>
      </w:r>
      <w:r>
        <w:t xml:space="preserve"> </w:t>
      </w:r>
      <w:r>
        <w:t xml:space="preserve">is used loosely in applied WBE work:</w:t>
      </w:r>
      <w:r>
        <w:t xml:space="preserve"> </w:t>
      </w:r>
      <w:r>
        <w:rPr>
          <w:bCs/>
          <w:b/>
        </w:rPr>
        <w:t xml:space="preserve">local one-at-a-time (OAT) sensitivity</w:t>
      </w:r>
      <w:r>
        <w:t xml:space="preserve"> </w:t>
      </w:r>
      <w:r>
        <w:t xml:space="preserve">perturbs each input individually around a baseline, capturing only local, non-interacting effects;</w:t>
      </w:r>
      <w:r>
        <w:t xml:space="preserve"> </w:t>
      </w:r>
      <w:r>
        <w:rPr>
          <w:bCs/>
          <w:b/>
        </w:rPr>
        <w:t xml:space="preserve">Morris screening</w:t>
      </w:r>
      <w:r>
        <w:t xml:space="preserve"> </w:t>
      </w:r>
      <w:r>
        <w:t xml:space="preserve">is a computationally cheap global method for ranking inputs by importance without fully quantifying interaction effects, suited to identifying which of many candidate parameters merit more detailed analysis;</w:t>
      </w:r>
      <w:r>
        <w:t xml:space="preserve"> </w:t>
      </w:r>
      <w:r>
        <w:rPr>
          <w:bCs/>
          <w:b/>
        </w:rPr>
        <w:t xml:space="preserve">Sobol indices</w:t>
      </w:r>
      <w:r>
        <w:t xml:space="preserve"> </w:t>
      </w:r>
      <w:r>
        <w:t xml:space="preserve">perform a full variance decomposition, attributing output variance to individual inputs and their interactions, at higher computational cost;</w:t>
      </w:r>
      <w:r>
        <w:t xml:space="preserve"> </w:t>
      </w:r>
      <w:r>
        <w:rPr>
          <w:bCs/>
          <w:b/>
        </w:rPr>
        <w:t xml:space="preserve">partial rank correlation coefficients</w:t>
      </w:r>
      <w:r>
        <w:t xml:space="preserve"> </w:t>
      </w:r>
      <w:r>
        <w:t xml:space="preserve">provide a robust, distribution-free measure of monotonic input–output association, useful when the input–output relationship is monotonic but not necessarily linear; and</w:t>
      </w:r>
      <w:r>
        <w:t xml:space="preserve"> </w:t>
      </w:r>
      <w:r>
        <w:rPr>
          <w:bCs/>
          <w:b/>
        </w:rPr>
        <w:t xml:space="preserve">value-of-information analysis</w:t>
      </w:r>
      <w:r>
        <w:t xml:space="preserve"> </w:t>
      </w:r>
      <w:r>
        <w:t xml:space="preserve">goes a step further, asking not just which parameter’s uncertainty matters most for output variance, but which parameter, if measured more precisely, would most reduce</w:t>
      </w:r>
      <w:r>
        <w:t xml:space="preserve"> </w:t>
      </w:r>
      <w:r>
        <w:rPr>
          <w:iCs/>
          <w:i/>
        </w:rPr>
        <w:t xml:space="preserve">decision</w:t>
      </w:r>
      <w:r>
        <w:t xml:space="preserve">-relevant uncertainty (directly anticipating §8.14).</w:t>
      </w:r>
    </w:p>
    <w:p>
      <w:pPr>
        <w:pStyle w:val="BodyText"/>
      </w:pPr>
      <w:r>
        <w:rPr>
          <w:bCs/>
          <w:b/>
        </w:rPr>
        <w:t xml:space="preserve">The point this section requires explicitly</w:t>
      </w:r>
      <w:r>
        <w:t xml:space="preserve">: sensitivity and uncertainty contribution are not the same thing. A parameter can be highly sensitive (a small change in it produces a large change in the output) yet contribute little to total output uncertainty, if that parameter happens to be measured very precisely (its uncertainty, though sensitive, is small). Conversely, a parameter can be relatively insensitive yet contribute substantially to output uncertainty if it is measured very poorly (a large uncertainty multiplied by even a modest sensitivity can dominate). Reporting sensitivity alone, without reporting the corresponding input uncertainty, does not identify which parameters actually deserve additional measurement investment — a distinction with direct, practical consequences for where a monitoring program should spend limited resources (§8.14’s value-of-additional-sampling question).</w:t>
      </w:r>
    </w:p>
    <w:bookmarkEnd w:id="78"/>
    <w:bookmarkStart w:id="79" w:name="X0272691eb84b653357e67c80d2cef1ea4444bda"/>
    <w:p>
      <w:pPr>
        <w:pStyle w:val="Heading3"/>
      </w:pPr>
      <w:r>
        <w:t xml:space="preserve">8.9 Bayesian Hierarchical Uncertainty Propagation</w:t>
      </w:r>
    </w:p>
    <w:p>
      <w:pPr>
        <w:pStyle w:val="FirstParagraph"/>
      </w:pPr>
      <w:r>
        <w:t xml:space="preserve">Bayesian hierarchical models extend §8.7’s simulation logic by treating parameters themselves as drawn from higher-level distributions, explicitly separating site-level from population-level variability: a</w:t>
      </w:r>
      <w:r>
        <w:t xml:space="preserve"> </w:t>
      </w:r>
      <w:r>
        <w:rPr>
          <w:bCs/>
          <w:b/>
        </w:rPr>
        <w:t xml:space="preserve">hierarchical shedding distribution</w:t>
      </w:r>
      <w:r>
        <w:t xml:space="preserve"> </w:t>
      </w:r>
      <w:r>
        <w:t xml:space="preserve">models individual shedding parameters as draws from a population-level distribution whose own parameters are estimated jointly with everything else;</w:t>
      </w:r>
      <w:r>
        <w:t xml:space="preserve"> </w:t>
      </w:r>
      <w:r>
        <w:rPr>
          <w:bCs/>
          <w:b/>
        </w:rPr>
        <w:t xml:space="preserve">site-level and population-level random effects</w:t>
      </w:r>
      <w:r>
        <w:t xml:space="preserve"> </w:t>
      </w:r>
      <w:r>
        <w:t xml:space="preserve">allow a multi-site study to borrow statistical strength across sites (partial pooling) without assuming every site is identical; a</w:t>
      </w:r>
      <w:r>
        <w:t xml:space="preserve"> </w:t>
      </w:r>
      <w:r>
        <w:rPr>
          <w:bCs/>
          <w:b/>
        </w:rPr>
        <w:t xml:space="preserve">latent infection or consumption state</w:t>
      </w:r>
      <w:r>
        <w:t xml:space="preserve"> </w:t>
      </w:r>
      <w:r>
        <w:t xml:space="preserve">is modeled explicitly, connected to observed data through a stated</w:t>
      </w:r>
      <w:r>
        <w:t xml:space="preserve"> </w:t>
      </w:r>
      <w:r>
        <w:rPr>
          <w:bCs/>
          <w:b/>
        </w:rPr>
        <w:t xml:space="preserve">measurement likelihood</w:t>
      </w:r>
      <w:r>
        <w:t xml:space="preserve"> </w:t>
      </w:r>
      <w:r>
        <w:t xml:space="preserve">— this is the formal machinery behind the state-observability-oriented methods discussed in §7.3 and §7.4 (Dai, Acosta, Lu, Hubert, et al., 2024’s functional-data Bayesian framework is this review’s clearest WBE example);</w:t>
      </w:r>
      <w:r>
        <w:t xml:space="preserve"> </w:t>
      </w:r>
      <w:r>
        <w:rPr>
          <w:bCs/>
          <w:b/>
        </w:rPr>
        <w:t xml:space="preserve">prior distributions</w:t>
      </w:r>
      <w:r>
        <w:t xml:space="preserve"> </w:t>
      </w:r>
      <w:r>
        <w:t xml:space="preserve">encode existing knowledge (or, if chosen carelessly, encode unstated assumptions); the</w:t>
      </w:r>
      <w:r>
        <w:t xml:space="preserve"> </w:t>
      </w:r>
      <w:r>
        <w:rPr>
          <w:bCs/>
          <w:b/>
        </w:rPr>
        <w:t xml:space="preserve">posterior</w:t>
      </w:r>
      <w:r>
        <w:t xml:space="preserve"> </w:t>
      </w:r>
      <w:r>
        <w:t xml:space="preserve">— the updated distribution after conditioning on data — carries both point estimates and</w:t>
      </w:r>
      <w:r>
        <w:t xml:space="preserve"> </w:t>
      </w:r>
      <w:r>
        <w:rPr>
          <w:bCs/>
          <w:b/>
        </w:rPr>
        <w:t xml:space="preserve">posterior correlation</w:t>
      </w:r>
      <w:r>
        <w:t xml:space="preserve"> </w:t>
      </w:r>
      <w:r>
        <w:t xml:space="preserve">structure among parameters (directly feeding §8.10);</w:t>
      </w:r>
      <w:r>
        <w:t xml:space="preserve"> </w:t>
      </w:r>
      <w:r>
        <w:rPr>
          <w:bCs/>
          <w:b/>
        </w:rPr>
        <w:t xml:space="preserve">posterior predictive checks</w:t>
      </w:r>
      <w:r>
        <w:t xml:space="preserve"> </w:t>
      </w:r>
      <w:r>
        <w:t xml:space="preserve">compare simulated data from the fitted model against the actually observed data, a key validation step (§8.16);</w:t>
      </w:r>
      <w:r>
        <w:t xml:space="preserve"> </w:t>
      </w:r>
      <w:r>
        <w:rPr>
          <w:bCs/>
          <w:b/>
        </w:rPr>
        <w:t xml:space="preserve">prior sensitivity analysis</w:t>
      </w:r>
      <w:r>
        <w:t xml:space="preserve"> </w:t>
      </w:r>
      <w:r>
        <w:t xml:space="preserve">checks whether conclusions depend materially on the specific prior chosen; and</w:t>
      </w:r>
      <w:r>
        <w:t xml:space="preserve"> </w:t>
      </w:r>
      <w:r>
        <w:rPr>
          <w:bCs/>
          <w:b/>
        </w:rPr>
        <w:t xml:space="preserve">model comparison</w:t>
      </w:r>
      <w:r>
        <w:t xml:space="preserve"> </w:t>
      </w:r>
      <w:r>
        <w:t xml:space="preserve">(e.g., via information criteria or Bayes factors) addresses, partially, the structural-uncertainty question of §8.12.</w:t>
      </w:r>
    </w:p>
    <w:p>
      <w:pPr>
        <w:pStyle w:val="BodyText"/>
      </w:pPr>
      <w:r>
        <w:rPr>
          <w:bCs/>
          <w:b/>
        </w:rPr>
        <w:t xml:space="preserve">The critical point this section is required to make</w:t>
      </w:r>
      <w:r>
        <w:t xml:space="preserve">: a narrow posterior credible interval is not, by itself, evidence of high true certainty. It can result from a strong, possibly overconfident prior dominating a small or noisy dataset, or from a model structure that is simply incapable of representing the full range of plausible reality (an overly rigid structural choice narrows the posterior artificially by excluding scenarios a more flexible model would have entertained). A posterior that is narrow because the data are genuinely highly informative, and a posterior that is narrow because the prior or model structure did the narrowing, look identical from the interval alone — distinguishing them requires exactly the prior-sensitivity and posterior-predictive-check diagnostics named above, and their absence from a reported analysis should be read as a specific, nameable gap (§8.15), not a minor omission.</w:t>
      </w:r>
    </w:p>
    <w:bookmarkEnd w:id="79"/>
    <w:bookmarkStart w:id="80" w:name="correlated-and-dependent-uncertainties"/>
    <w:p>
      <w:pPr>
        <w:pStyle w:val="Heading3"/>
      </w:pPr>
      <w:r>
        <w:t xml:space="preserve">8.10 Correlated and Dependent Uncertainties</w:t>
      </w:r>
    </w:p>
    <w:p>
      <w:pPr>
        <w:pStyle w:val="FirstParagraph"/>
      </w:pPr>
      <w:r>
        <w:t xml:space="preserve">This is this chapter’s most consequential subsection, per instruction, and the point is stated as directly as possible:</w:t>
      </w:r>
      <w:r>
        <w:t xml:space="preserve"> </w:t>
      </w:r>
      <w:r>
        <w:rPr>
          <w:bCs/>
          <w:b/>
        </w:rPr>
        <w:t xml:space="preserve">most of the</w:t>
      </w:r>
      <w:r>
        <w:rPr>
          <w:bCs/>
          <w:b/>
        </w:rPr>
        <w:t xml:space="preserve"> </w:t>
      </w:r>
      <w:r>
        <w:rPr>
          <w:bCs/>
          <w:b/>
        </w:rPr>
        <w:t xml:space="preserve">“</w:t>
      </w:r>
      <w:r>
        <w:rPr>
          <w:bCs/>
          <w:b/>
        </w:rPr>
        <w:t xml:space="preserve">independent</w:t>
      </w:r>
      <w:r>
        <w:rPr>
          <w:bCs/>
          <w:b/>
        </w:rPr>
        <w:t xml:space="preserve">”</w:t>
      </w:r>
      <w:r>
        <w:rPr>
          <w:bCs/>
          <w:b/>
        </w:rPr>
        <w:t xml:space="preserve"> </w:t>
      </w:r>
      <w:r>
        <w:rPr>
          <w:bCs/>
          <w:b/>
        </w:rPr>
        <w:t xml:space="preserve">uncertainty sources listed in §8.2–8.5 are not actually independent</w:t>
      </w:r>
      <w:r>
        <w:t xml:space="preserve">, and treating them as if they were — the default behavior of a naive delta-method calculation (§8.6) or an independently-sampled Monte Carlo simulation (§8.7) — produces an output interval that is systematically wrong, in a direction that depends on the sign of the true covariance, not merely imprecise in a way that averages out.</w:t>
      </w:r>
    </w:p>
    <w:p>
      <w:pPr>
        <w:pStyle w:val="BodyText"/>
      </w:pPr>
      <w:r>
        <w:t xml:space="preserve">Concrete, named dependencies this review’s own chapters have already established:</w:t>
      </w:r>
    </w:p>
    <w:p>
      <w:pPr>
        <w:numPr>
          <w:ilvl w:val="0"/>
          <w:numId w:val="1026"/>
        </w:numPr>
        <w:pStyle w:val="Compact"/>
      </w:pPr>
      <w:r>
        <w:rPr>
          <w:bCs/>
          <w:b/>
        </w:rPr>
        <w:t xml:space="preserve">Rainfall and flow</w:t>
      </w:r>
      <w:r>
        <w:t xml:space="preserve"> </w:t>
      </w:r>
      <w:r>
        <w:t xml:space="preserve">(§4.2, §6.2) — mechanically linked, not independently varying.</w:t>
      </w:r>
    </w:p>
    <w:p>
      <w:pPr>
        <w:numPr>
          <w:ilvl w:val="0"/>
          <w:numId w:val="1026"/>
        </w:numPr>
        <w:pStyle w:val="Compact"/>
      </w:pPr>
      <w:r>
        <w:rPr>
          <w:bCs/>
          <w:b/>
        </w:rPr>
        <w:t xml:space="preserve">Flow and hydraulic retention time</w:t>
      </w:r>
      <w:r>
        <w:t xml:space="preserve"> </w:t>
      </w:r>
      <w:r>
        <w:t xml:space="preserve">(§4.1, §8.3) — higher flow generally shortens retention time, coupling a normalization input to a decay-relevant transport parameter.</w:t>
      </w:r>
    </w:p>
    <w:p>
      <w:pPr>
        <w:numPr>
          <w:ilvl w:val="0"/>
          <w:numId w:val="1026"/>
        </w:numPr>
        <w:pStyle w:val="Compact"/>
      </w:pPr>
      <w:r>
        <w:rPr>
          <w:bCs/>
          <w:b/>
        </w:rPr>
        <w:t xml:space="preserve">Target and population-marker sampling error</w:t>
      </w:r>
      <w:r>
        <w:t xml:space="preserve"> </w:t>
      </w:r>
      <w:r>
        <w:t xml:space="preserve">(§8.5) — shared representativeness error when co-sampled from the same physical aliquot.</w:t>
      </w:r>
    </w:p>
    <w:p>
      <w:pPr>
        <w:numPr>
          <w:ilvl w:val="0"/>
          <w:numId w:val="1026"/>
        </w:numPr>
        <w:pStyle w:val="Compact"/>
      </w:pPr>
      <w:r>
        <w:rPr>
          <w:bCs/>
          <w:b/>
        </w:rPr>
        <w:t xml:space="preserve">Recovery and matrix inhibition</w:t>
      </w:r>
      <w:r>
        <w:t xml:space="preserve"> </w:t>
      </w:r>
      <w:r>
        <w:t xml:space="preserve">(§5.5, §8.4) — both driven by shared underlying matrix composition, so a sample with poor recovery is often also a sample with strong inhibition, not two independently-arising problems.</w:t>
      </w:r>
    </w:p>
    <w:p>
      <w:pPr>
        <w:numPr>
          <w:ilvl w:val="0"/>
          <w:numId w:val="1026"/>
        </w:numPr>
        <w:pStyle w:val="Compact"/>
      </w:pPr>
      <w:r>
        <w:rPr>
          <w:bCs/>
          <w:b/>
        </w:rPr>
        <w:t xml:space="preserve">Infection timing and shedding-kernel parameters</w:t>
      </w:r>
      <w:r>
        <w:t xml:space="preserve"> </w:t>
      </w:r>
      <w:r>
        <w:t xml:space="preserve">(§7.2’s worked illustration) — a joint estimation trade-off, not two separately-uncertain quantities.</w:t>
      </w:r>
    </w:p>
    <w:p>
      <w:pPr>
        <w:numPr>
          <w:ilvl w:val="0"/>
          <w:numId w:val="1026"/>
        </w:numPr>
        <w:pStyle w:val="Compact"/>
      </w:pPr>
      <w:r>
        <w:rPr>
          <w:bCs/>
          <w:b/>
        </w:rPr>
        <w:t xml:space="preserve">Population change and water use</w:t>
      </w:r>
      <w:r>
        <w:t xml:space="preserve"> </w:t>
      </w:r>
      <w:r>
        <w:t xml:space="preserve">(§6.3, §6.2) — a population influx typically raises both the flow-normalization denominator and the water-use-based proxy simultaneously.</w:t>
      </w:r>
    </w:p>
    <w:p>
      <w:pPr>
        <w:numPr>
          <w:ilvl w:val="0"/>
          <w:numId w:val="1026"/>
        </w:numPr>
        <w:pStyle w:val="Compact"/>
      </w:pPr>
      <w:r>
        <w:rPr>
          <w:bCs/>
          <w:b/>
        </w:rPr>
        <w:t xml:space="preserve">Temperature and decay rate</w:t>
      </w:r>
      <w:r>
        <w:t xml:space="preserve"> </w:t>
      </w:r>
      <w:r>
        <w:t xml:space="preserve">(§4.1, §4.2, §8.3) — mechanically linked via the same physical process, not two separately-varying parameters.</w:t>
      </w:r>
    </w:p>
    <w:p>
      <w:pPr>
        <w:pStyle w:val="FirstParagraph"/>
      </w:pPr>
      <w:r>
        <w:rPr>
          <w:bCs/>
          <w:b/>
        </w:rPr>
        <w:t xml:space="preserve">Ignoring these covariances can overstate or understate the true output interval depending on the sign of the correlation</w:t>
      </w:r>
      <w:r>
        <w:t xml:space="preserve">: positively correlated errors that partially cancel in a ratio or difference (e.g., a shared dilution event affecting both target and normalizer similarly) will make an independence-assuming calculation</w:t>
      </w:r>
      <w:r>
        <w:t xml:space="preserve"> </w:t>
      </w:r>
      <w:r>
        <w:rPr>
          <w:iCs/>
          <w:i/>
        </w:rPr>
        <w:t xml:space="preserve">overstate</w:t>
      </w:r>
      <w:r>
        <w:t xml:space="preserve"> </w:t>
      </w:r>
      <w:r>
        <w:t xml:space="preserve">uncertainty, while positively correlated errors that compound in a product or sum (e.g., high flow simultaneously shortening retention time and increasing dilution, both pushing the estimate in the same direction) will make an independence-assuming calculation</w:t>
      </w:r>
      <w:r>
        <w:t xml:space="preserve"> </w:t>
      </w:r>
      <w:r>
        <w:rPr>
          <w:iCs/>
          <w:i/>
        </w:rPr>
        <w:t xml:space="preserve">understate</w:t>
      </w:r>
      <w:r>
        <w:t xml:space="preserve"> </w:t>
      </w:r>
      <w:r>
        <w:t xml:space="preserve">uncertainty. Because the direction of the error is application-specific and not uniform, there is no shortcut correction factor; the covariance structure has to be estimated or reasoned through explicitly, which is precisely why §8.7’s Monte Carlo procedure specifies preserving correlation structure as a step, not an optional refinement.</w:t>
      </w:r>
    </w:p>
    <w:bookmarkEnd w:id="80"/>
    <w:bookmarkStart w:id="81" w:name="censoring-nondetects-and-missingness"/>
    <w:p>
      <w:pPr>
        <w:pStyle w:val="Heading3"/>
      </w:pPr>
      <w:r>
        <w:t xml:space="preserve">8.11 Censoring, Nondetects, and Missingness</w:t>
      </w:r>
    </w:p>
    <w:p>
      <w:pPr>
        <w:pStyle w:val="FirstParagraph"/>
      </w:pPr>
      <w:r>
        <w:t xml:space="preserve">Distinguishing, per instruction, categories routinely conflated in applied practice:</w:t>
      </w:r>
      <w:r>
        <w:t xml:space="preserve"> </w:t>
      </w:r>
      <w:r>
        <w:rPr>
          <w:bCs/>
          <w:b/>
        </w:rPr>
        <w:t xml:space="preserve">left censoring below LOD</w:t>
      </w:r>
      <w:r>
        <w:t xml:space="preserve"> </w:t>
      </w:r>
      <w:r>
        <w:t xml:space="preserve">(the true value is known only to be below a threshold);</w:t>
      </w:r>
      <w:r>
        <w:t xml:space="preserve"> </w:t>
      </w:r>
      <w:r>
        <w:rPr>
          <w:bCs/>
          <w:b/>
        </w:rPr>
        <w:t xml:space="preserve">interval censoring between LOD and LOQ</w:t>
      </w:r>
      <w:r>
        <w:t xml:space="preserve"> </w:t>
      </w:r>
      <w:r>
        <w:t xml:space="preserve">(detected but not reliably quantifiable, a narrower but still-uncertain range);</w:t>
      </w:r>
      <w:r>
        <w:t xml:space="preserve"> </w:t>
      </w:r>
      <w:r>
        <w:rPr>
          <w:bCs/>
          <w:b/>
        </w:rPr>
        <w:t xml:space="preserve">missing completely at random</w:t>
      </w:r>
      <w:r>
        <w:t xml:space="preserve"> </w:t>
      </w:r>
      <w:r>
        <w:t xml:space="preserve">(a dropped sample unrelated to the true value or any covariate);</w:t>
      </w:r>
      <w:r>
        <w:t xml:space="preserve"> </w:t>
      </w:r>
      <w:r>
        <w:rPr>
          <w:bCs/>
          <w:b/>
        </w:rPr>
        <w:t xml:space="preserve">missing at random</w:t>
      </w:r>
      <w:r>
        <w:t xml:space="preserve"> </w:t>
      </w:r>
      <w:r>
        <w:t xml:space="preserve">(missingness related to an observed covariate but not the unobserved true value itself, conditional on that covariate); and</w:t>
      </w:r>
      <w:r>
        <w:t xml:space="preserve"> </w:t>
      </w:r>
      <w:r>
        <w:rPr>
          <w:bCs/>
          <w:b/>
        </w:rPr>
        <w:t xml:space="preserve">informative missingness</w:t>
      </w:r>
      <w:r>
        <w:t xml:space="preserve"> </w:t>
      </w:r>
      <w:r>
        <w:t xml:space="preserve">— the most consequential and most often ignored category — where samples are disproportionately missing under specific, meaningful conditions, such as during a storm event (when a sampler may fail or a site may be inaccessible) or during equipment failure that is itself more likely under extreme conditions, meaning the</w:t>
      </w:r>
      <w:r>
        <w:t xml:space="preserve"> </w:t>
      </w:r>
      <w:r>
        <w:rPr>
          <w:iCs/>
          <w:i/>
        </w:rPr>
        <w:t xml:space="preserve">missingness mechanism is correlated with the true underlying process</w:t>
      </w:r>
      <w:r>
        <w:t xml:space="preserve">, not incidental to it.</w:t>
      </w:r>
    </w:p>
    <w:p>
      <w:pPr>
        <w:pStyle w:val="BodyText"/>
      </w:pPr>
      <w:r>
        <w:t xml:space="preserve">A head-to-head comparison of methods for handling wastewater qPCR nondetects — comparing single imputation at half the LOD, single imputation at the maximum possible cycle-threshold value, complete censoring (dropping nondetects), and a joint expectation-maximization/MCMC approach that treats nondetects as censored observations within a formal statistical model — found that the more principled EM-MCMC approach produced better agreement between wastewater and independently-available clinical case trends than the simpler substitution methods, in a real multi-month monitoring dataset (Safford, Zuniga-Montanez, Kim, Wu, Wei, Sharpnack, Shapiro, &amp; Bischel, 2022; specific comparative-performance figures pending full-text confirmation). This is real, WBE-specific, comparative evidence — not merely a methods-textbook assertion — that substitution methods are not interchangeable with formal censored-data treatment, and that the choice measurably affects downstream conclusions.</w:t>
      </w:r>
    </w:p>
    <w:p>
      <w:pPr>
        <w:pStyle w:val="BodyText"/>
      </w:pPr>
      <w:r>
        <w:rPr>
          <w:bCs/>
          <w:b/>
        </w:rPr>
        <w:t xml:space="preserve">Substituting zero, or the detection limit itself, for a nondetect is not defensible</w:t>
      </w:r>
      <w:r>
        <w:t xml:space="preserve"> </w:t>
      </w:r>
      <w:r>
        <w:t xml:space="preserve">— a nondetect means the true value is somewhere between zero and the LOD (or, for interval censoring, between LOD and LOQ), and treating it as a specific point value (zero, LOD, LOD/2, or</w:t>
      </w:r>
      <w:r>
        <w:t xml:space="preserve"> </w:t>
      </w:r>
      <m:oMath>
        <m:r>
          <m:rPr>
            <m:sty m:val="p"/>
          </m:rPr>
          <m:t>L</m:t>
        </m:r>
        <m:r>
          <m:rPr>
            <m:sty m:val="p"/>
          </m:rPr>
          <m:t>O</m:t>
        </m:r>
        <m:r>
          <m:rPr>
            <m:sty m:val="p"/>
          </m:rPr>
          <m:t>D</m:t>
        </m:r>
        <m:r>
          <m:rPr>
            <m:sty m:val="p"/>
          </m:rPr>
          <m:t>/</m:t>
        </m:r>
        <m:rad>
          <m:radPr>
            <m:degHide m:val="on"/>
          </m:radPr>
          <m:deg/>
          <m:e>
            <m:r>
              <m:t>2</m:t>
            </m:r>
          </m:e>
        </m:rad>
      </m:oMath>
      <w:r>
        <w:t xml:space="preserve"> </w:t>
      </w:r>
      <w:r>
        <w:t xml:space="preserve">— all of which appear in the applied literature as ad hoc conventions) discards exactly the information that the value is bounded rather than known, introducing a systematic bias whose direction depends on which substitution convention is chosen and how far the true nondetect-censoring rate is from the assumption implicit in that convention. More defensible alternatives, in roughly increasing order of statistical rigor:</w:t>
      </w:r>
      <w:r>
        <w:t xml:space="preserve"> </w:t>
      </w:r>
      <w:r>
        <w:rPr>
          <w:bCs/>
          <w:b/>
        </w:rPr>
        <w:t xml:space="preserve">Tobit models</w:t>
      </w:r>
      <w:r>
        <w:t xml:space="preserve">, which explicitly model the censoring mechanism within a regression framework;</w:t>
      </w:r>
      <w:r>
        <w:t xml:space="preserve"> </w:t>
      </w:r>
      <w:r>
        <w:rPr>
          <w:bCs/>
          <w:b/>
        </w:rPr>
        <w:t xml:space="preserve">censored likelihood</w:t>
      </w:r>
      <w:r>
        <w:t xml:space="preserve"> </w:t>
      </w:r>
      <w:r>
        <w:t xml:space="preserve">approaches more generally, which integrate over the censored region rather than substituting a point value;</w:t>
      </w:r>
      <w:r>
        <w:t xml:space="preserve"> </w:t>
      </w:r>
      <w:r>
        <w:rPr>
          <w:bCs/>
          <w:b/>
        </w:rPr>
        <w:t xml:space="preserve">multiple imputation</w:t>
      </w:r>
      <w:r>
        <w:t xml:space="preserve">, drawing several plausible values per censored observation from an appropriate conditional distribution and combining results across imputations to reflect the added uncertainty; and</w:t>
      </w:r>
      <w:r>
        <w:t xml:space="preserve"> </w:t>
      </w:r>
      <w:r>
        <w:rPr>
          <w:bCs/>
          <w:b/>
        </w:rPr>
        <w:t xml:space="preserve">Bayesian censoring models</w:t>
      </w:r>
      <w:r>
        <w:t xml:space="preserve">, which treat censored values as partially-observed latent variables within the same hierarchical framework as §8.9, naturally propagating censoring-induced uncertainty through to the final output distribution alongside every other uncertainty source.</w:t>
      </w:r>
    </w:p>
    <w:bookmarkEnd w:id="81"/>
    <w:bookmarkStart w:id="82" w:name="X4b31e3ee9579641fd8ed2d4c1b44f710291f55b"/>
    <w:p>
      <w:pPr>
        <w:pStyle w:val="Heading3"/>
      </w:pPr>
      <w:r>
        <w:t xml:space="preserve">8.12 Structural Uncertainty and Model Ensembles</w:t>
      </w:r>
    </w:p>
    <w:p>
      <w:pPr>
        <w:pStyle w:val="FirstParagraph"/>
      </w:pPr>
      <w:r>
        <w:t xml:space="preserve">Per §7.0 and §7.3’s structural-adequacy axis, structural uncertainty concerns whether the</w:t>
      </w:r>
      <w:r>
        <w:t xml:space="preserve"> </w:t>
      </w:r>
      <w:r>
        <w:rPr>
          <w:iCs/>
          <w:i/>
        </w:rPr>
        <w:t xml:space="preserve">model itself</w:t>
      </w:r>
      <w:r>
        <w:t xml:space="preserve"> </w:t>
      </w:r>
      <w:r>
        <w:t xml:space="preserve">is correctly specified, not merely whether its parameters are correctly estimated — and this section states directly why §8.7’s Monte Carlo machinery, run within a single fixed model structure, cannot address it:</w:t>
      </w:r>
      <w:r>
        <w:t xml:space="preserve"> </w:t>
      </w:r>
      <w:r>
        <w:rPr>
          <w:bCs/>
          <w:b/>
        </w:rPr>
        <w:t xml:space="preserve">repeating a Monte Carlo simulation many times within the same model does not test whether that model is the right one; it only characterizes how sensitive that one model’s outputs are to its own input uncertainty.</w:t>
      </w:r>
      <w:r>
        <w:t xml:space="preserve"> </w:t>
      </w:r>
      <w:r>
        <w:t xml:space="preserve">Alternative structural choices that plausibly govern a given WBE reconstruction problem include: alternative shedding-kernel shapes (§3.1, §7.1.2); alternative sewer-decay functional forms (first-order vs. more complex kinetics, §4.1); different normalization choices (§6.7’s target-type/purpose matrix); different epidemiological model structures (SEIR vs. a simpler renewal-equation approach, §7.1.2, §7.4); and different assumptions about which processes to include at all (whether to explicitly model CSO mass loss, §4.2/§6.8/§7.6, or ignore it).</w:t>
      </w:r>
    </w:p>
    <w:p>
      <w:pPr>
        <w:pStyle w:val="BodyText"/>
      </w:pPr>
      <w:r>
        <w:t xml:space="preserve">Addressing structural uncertainty requires comparing across, not just within, model structures:</w:t>
      </w:r>
      <w:r>
        <w:t xml:space="preserve"> </w:t>
      </w:r>
      <w:r>
        <w:rPr>
          <w:bCs/>
          <w:b/>
        </w:rPr>
        <w:t xml:space="preserve">ensemble averaging</w:t>
      </w:r>
      <w:r>
        <w:t xml:space="preserve"> </w:t>
      </w:r>
      <w:r>
        <w:t xml:space="preserve">— running several plausible model structures and combining their outputs, whether by simple averaging or by performance-weighted combination — is the most direct approach, and the multi-model wastewater-forecasting comparison discussed in §7.1.2/§7.4 (Alhassan et al., 2025) is this review’s clearest WBE example of this practice, though as a retrospective forecast comparison rather than a full structural-uncertainty-quantification exercise per se.</w:t>
      </w:r>
      <w:r>
        <w:t xml:space="preserve"> </w:t>
      </w:r>
      <w:r>
        <w:rPr>
          <w:bCs/>
          <w:b/>
        </w:rPr>
        <w:t xml:space="preserve">Bayesian model averaging</w:t>
      </w:r>
      <w:r>
        <w:t xml:space="preserve"> </w:t>
      </w:r>
      <w:r>
        <w:t xml:space="preserve">formalizes this within a probabilistic framework, weighting each candidate structure by its posterior model probability rather than treating ensemble membership as an ad hoc choice.</w:t>
      </w:r>
      <w:r>
        <w:t xml:space="preserve"> </w:t>
      </w:r>
      <w:r>
        <w:rPr>
          <w:bCs/>
          <w:b/>
        </w:rPr>
        <w:t xml:space="preserve">Scenario envelopes</w:t>
      </w:r>
      <w:r>
        <w:t xml:space="preserve"> </w:t>
      </w:r>
      <w:r>
        <w:t xml:space="preserve">— reporting the range spanned by several plausible structural choices, without necessarily assigning formal probabilities to each — are a lighter-weight, more transparent alternative when formal model-averaging is impractical.</w:t>
      </w:r>
      <w:r>
        <w:t xml:space="preserve"> </w:t>
      </w:r>
      <w:r>
        <w:rPr>
          <w:bCs/>
          <w:b/>
        </w:rPr>
        <w:t xml:space="preserve">Model discrepancy terms</w:t>
      </w:r>
      <w:r>
        <w:t xml:space="preserve"> </w:t>
      </w:r>
      <w:r>
        <w:t xml:space="preserve">— an explicit additional error term representing the gap between any candidate model and the (unknown) true data-generating process, a device increasingly used in the broader uncertainty-quantification literature — go a step further, acknowledging structural uncertainty even for a single chosen model rather than requiring an explicit ensemble.</w:t>
      </w:r>
    </w:p>
    <w:bookmarkEnd w:id="82"/>
    <w:bookmarkStart w:id="83" w:name="Xbfa79362196aaa999d9ca6973510b01a2790c3d"/>
    <w:p>
      <w:pPr>
        <w:pStyle w:val="Heading3"/>
      </w:pPr>
      <w:r>
        <w:t xml:space="preserve">8.13 Uncertainty Decomposition Across the WBE Chain</w:t>
      </w:r>
    </w:p>
    <w:p>
      <w:pPr>
        <w:pStyle w:val="FirstParagraph"/>
      </w:pPr>
      <w:r>
        <w:t xml:space="preserve">The law of total variance provides the formal basis for decomposing output uncertainty by stage:</w:t>
      </w:r>
    </w:p>
    <w:p>
      <w:pPr>
        <w:pStyle w:val="BodyText"/>
      </w:pPr>
      <m:oMathPara>
        <m:oMathParaPr>
          <m:jc m:val="center"/>
        </m:oMathParaPr>
        <m:oMath>
          <m:r>
            <m:rPr>
              <m:sty m:val="p"/>
            </m:rPr>
            <m:t>Var</m:t>
          </m:r>
          <m:d>
            <m:dPr>
              <m:begChr m:val="("/>
              <m:endChr m:val=")"/>
              <m:sepChr m:val=""/>
              <m:grow/>
            </m:dPr>
            <m:e>
              <m:r>
                <m:t>X</m:t>
              </m:r>
              <m:r>
                <m:rPr>
                  <m:sty m:val="p"/>
                </m:rPr>
                <m:t>∣</m:t>
              </m:r>
              <m:r>
                <m:t>D</m:t>
              </m:r>
            </m:e>
          </m:d>
          <m:r>
            <m:rPr>
              <m:sty m:val="p"/>
            </m:rPr>
            <m:t>=</m:t>
          </m:r>
          <m:r>
            <m:rPr>
              <m:sty m:val="p"/>
              <m:scr m:val="double-struck"/>
            </m:rPr>
            <m:t>E</m:t>
          </m:r>
          <m:d>
            <m:dPr>
              <m:begChr m:val="["/>
              <m:endChr m:val="]"/>
              <m:sepChr m:val=""/>
              <m:grow/>
            </m:dPr>
            <m:e>
              <m:r>
                <m:rPr>
                  <m:sty m:val="p"/>
                </m:rPr>
                <m:t>Var</m:t>
              </m:r>
              <m:d>
                <m:dPr>
                  <m:begChr m:val="("/>
                  <m:endChr m:val=")"/>
                  <m:sepChr m:val=""/>
                  <m:grow/>
                </m:dPr>
                <m:e>
                  <m:r>
                    <m:t>X</m:t>
                  </m:r>
                  <m:r>
                    <m:rPr>
                      <m:sty m:val="p"/>
                    </m:rPr>
                    <m:t>∣</m:t>
                  </m:r>
                  <m:r>
                    <m:rPr>
                      <m:sty m:val="b"/>
                    </m:rPr>
                    <m:t>θ</m:t>
                  </m:r>
                  <m:r>
                    <m:rPr>
                      <m:sty m:val="p"/>
                    </m:rPr>
                    <m:t>,</m:t>
                  </m:r>
                  <m:r>
                    <m:t>D</m:t>
                  </m:r>
                </m:e>
              </m:d>
            </m:e>
          </m:d>
          <m:r>
            <m:rPr>
              <m:sty m:val="p"/>
            </m:rPr>
            <m:t>+</m:t>
          </m:r>
          <m:r>
            <m:rPr>
              <m:sty m:val="p"/>
            </m:rPr>
            <m:t>Var</m:t>
          </m:r>
          <m:d>
            <m:dPr>
              <m:begChr m:val="["/>
              <m:endChr m:val="]"/>
              <m:sepChr m:val=""/>
              <m:grow/>
            </m:dPr>
            <m:e>
              <m:r>
                <m:rPr>
                  <m:sty m:val="p"/>
                  <m:scr m:val="double-struck"/>
                </m:rPr>
                <m:t>E</m:t>
              </m:r>
              <m:d>
                <m:dPr>
                  <m:begChr m:val="("/>
                  <m:endChr m:val=")"/>
                  <m:sepChr m:val=""/>
                  <m:grow/>
                </m:dPr>
                <m:e>
                  <m:r>
                    <m:t>X</m:t>
                  </m:r>
                  <m:r>
                    <m:rPr>
                      <m:sty m:val="p"/>
                    </m:rPr>
                    <m:t>∣</m:t>
                  </m:r>
                  <m:r>
                    <m:rPr>
                      <m:sty m:val="b"/>
                    </m:rPr>
                    <m:t>θ</m:t>
                  </m:r>
                  <m:r>
                    <m:rPr>
                      <m:sty m:val="p"/>
                    </m:rPr>
                    <m:t>,</m:t>
                  </m:r>
                  <m:r>
                    <m:t>D</m:t>
                  </m:r>
                </m:e>
              </m:d>
            </m:e>
          </m:d>
        </m:oMath>
      </m:oMathPara>
    </w:p>
    <w:p>
      <w:pPr>
        <w:pStyle w:val="FirstParagraph"/>
      </w:pPr>
      <w:r>
        <w:t xml:space="preserve">Applied recursively down this review’s own chapter structure, total output uncertainty on the final reconstructed quantity can be attributed, at least approximately (exactly only under restrictive independence assumptions this section has spent §8.10 arguing rarely hold, so any such decomposition should be read as an approximation whose quality depends on how much cross-stage covariance it neglects), to:</w:t>
      </w:r>
      <w:r>
        <w:t xml:space="preserve"> </w:t>
      </w:r>
      <w:r>
        <w:rPr>
          <w:bCs/>
          <w:b/>
        </w:rPr>
        <w:t xml:space="preserve">source/excretion uncertainty</w:t>
      </w:r>
      <w:r>
        <w:t xml:space="preserve"> </w:t>
      </w:r>
      <w:r>
        <w:t xml:space="preserve">(§8.2, §3.1);</w:t>
      </w:r>
      <w:r>
        <w:t xml:space="preserve"> </w:t>
      </w:r>
      <w:r>
        <w:rPr>
          <w:bCs/>
          <w:b/>
        </w:rPr>
        <w:t xml:space="preserve">sewer-process uncertainty</w:t>
      </w:r>
      <w:r>
        <w:t xml:space="preserve"> </w:t>
      </w:r>
      <w:r>
        <w:t xml:space="preserve">(§8.3, §4);</w:t>
      </w:r>
      <w:r>
        <w:t xml:space="preserve"> </w:t>
      </w:r>
      <w:r>
        <w:rPr>
          <w:bCs/>
          <w:b/>
        </w:rPr>
        <w:t xml:space="preserve">sampling uncertainty</w:t>
      </w:r>
      <w:r>
        <w:t xml:space="preserve"> </w:t>
      </w:r>
      <w:r>
        <w:t xml:space="preserve">(§8.4, §5.1–5.2);</w:t>
      </w:r>
      <w:r>
        <w:t xml:space="preserve"> </w:t>
      </w:r>
      <w:r>
        <w:rPr>
          <w:bCs/>
          <w:b/>
        </w:rPr>
        <w:t xml:space="preserve">analytical uncertainty</w:t>
      </w:r>
      <w:r>
        <w:t xml:space="preserve"> </w:t>
      </w:r>
      <w:r>
        <w:t xml:space="preserve">(§8.4, §5.5);</w:t>
      </w:r>
      <w:r>
        <w:t xml:space="preserve"> </w:t>
      </w:r>
      <w:r>
        <w:rPr>
          <w:bCs/>
          <w:b/>
        </w:rPr>
        <w:t xml:space="preserve">normalization uncertainty</w:t>
      </w:r>
      <w:r>
        <w:t xml:space="preserve"> </w:t>
      </w:r>
      <w:r>
        <w:t xml:space="preserve">(§8.5, §6);</w:t>
      </w:r>
      <w:r>
        <w:t xml:space="preserve"> </w:t>
      </w:r>
      <w:r>
        <w:rPr>
          <w:bCs/>
          <w:b/>
        </w:rPr>
        <w:t xml:space="preserve">reconstruction-model uncertainty</w:t>
      </w:r>
      <w:r>
        <w:t xml:space="preserve"> </w:t>
      </w:r>
      <w:r>
        <w:t xml:space="preserve">(§7, §8.9, §8.12); and</w:t>
      </w:r>
      <w:r>
        <w:t xml:space="preserve"> </w:t>
      </w:r>
      <w:r>
        <w:rPr>
          <w:bCs/>
          <w:b/>
        </w:rPr>
        <w:t xml:space="preserve">reference-data uncertainty</w:t>
      </w:r>
      <w:r>
        <w:t xml:space="preserve"> </w:t>
      </w:r>
      <w:r>
        <w:t xml:space="preserve">— an easily-overlooked final category, since the clinical case counts, population figures, or other independent data a WBE signal is validated against (§7.5) are themselves imperfectly measured, not a ground truth against which WBE uncertainty alone should be judged.</w:t>
      </w:r>
    </w:p>
    <w:p>
      <w:pPr>
        <w:pStyle w:val="BodyText"/>
      </w:pPr>
      <w:r>
        <w:t xml:space="preserve">This decomposition, computed (even approximately) across a real monitoring program, constitutes an</w:t>
      </w:r>
      <w:r>
        <w:t xml:space="preserve"> </w:t>
      </w:r>
      <w:r>
        <w:rPr>
          <w:bCs/>
          <w:b/>
        </w:rPr>
        <w:t xml:space="preserve">uncertainty budget</w:t>
      </w:r>
      <w:r>
        <w:t xml:space="preserve"> </w:t>
      </w:r>
      <w:r>
        <w:t xml:space="preserve">— the original figure this review delivers alongside this chapter (Figure 3, described in the companion materials) — and its practical value is identifying which stage dominates total uncertainty for a</w:t>
      </w:r>
      <w:r>
        <w:t xml:space="preserve"> </w:t>
      </w:r>
      <w:r>
        <w:rPr>
          <w:iCs/>
          <w:i/>
        </w:rPr>
        <w:t xml:space="preserve">specific</w:t>
      </w:r>
      <w:r>
        <w:t xml:space="preserve"> </w:t>
      </w:r>
      <w:r>
        <w:t xml:space="preserve">application, since the answer is not the same for every target class or purpose: a low-prevalence pathogen-detection application may be dominated by analytical/censoring uncertainty (§8.4, §8.11), while a chemical per-capita-consumption estimate may be dominated by source-end excretion-fraction uncertainty (§8.2, §7.1.1) — meaning the</w:t>
      </w:r>
      <w:r>
        <w:t xml:space="preserve"> </w:t>
      </w:r>
      <w:r>
        <w:t xml:space="preserve">“</w:t>
      </w:r>
      <w:r>
        <w:t xml:space="preserve">biggest source of uncertainty in WBE</w:t>
      </w:r>
      <w:r>
        <w:t xml:space="preserve">”</w:t>
      </w:r>
      <w:r>
        <w:t xml:space="preserve"> </w:t>
      </w:r>
      <w:r>
        <w:t xml:space="preserve">has no single, general answer, and any claim to the contrary should be treated skeptically per this review’s evidentiary standard.</w:t>
      </w:r>
    </w:p>
    <w:bookmarkEnd w:id="83"/>
    <w:bookmarkStart w:id="84" w:name="X8c0e37c95dcec1b3b9ee4f3d49a1d09a5ce0d9e"/>
    <w:p>
      <w:pPr>
        <w:pStyle w:val="Heading3"/>
      </w:pPr>
      <w:r>
        <w:t xml:space="preserve">8.14 From Scientific Uncertainty to Decision Uncertainty</w:t>
      </w:r>
    </w:p>
    <w:p>
      <w:pPr>
        <w:pStyle w:val="FirstParagraph"/>
      </w:pPr>
      <w:r>
        <w:t xml:space="preserve">A public health decision-maker does not need a probability distribution for its own sake; they need it translated into decision-relevant quantities: the</w:t>
      </w:r>
      <w:r>
        <w:t xml:space="preserve"> </w:t>
      </w:r>
      <w:r>
        <w:rPr>
          <w:bCs/>
          <w:b/>
        </w:rPr>
        <w:t xml:space="preserve">probability of exceeding a predefined outbreak threshold</w:t>
      </w:r>
      <w:r>
        <w:t xml:space="preserve">, given the full uncertainty in</w:t>
      </w:r>
      <w:r>
        <w:t xml:space="preserve"> </w:t>
      </w:r>
      <m:oMath>
        <m:r>
          <m:t>X</m:t>
        </m:r>
      </m:oMath>
      <w:r>
        <w:t xml:space="preserve">; the</w:t>
      </w:r>
      <w:r>
        <w:t xml:space="preserve"> </w:t>
      </w:r>
      <w:r>
        <w:rPr>
          <w:bCs/>
          <w:b/>
        </w:rPr>
        <w:t xml:space="preserve">probability that the underlying trend is genuinely increasing</w:t>
      </w:r>
      <w:r>
        <w:t xml:space="preserve"> </w:t>
      </w:r>
      <w:r>
        <w:t xml:space="preserve">rather than the observed rise being consistent with a flat or declining true trend under the propagated uncertainty; the</w:t>
      </w:r>
      <w:r>
        <w:t xml:space="preserve"> </w:t>
      </w:r>
      <w:r>
        <w:rPr>
          <w:bCs/>
          <w:b/>
        </w:rPr>
        <w:t xml:space="preserve">expected costs of false alarms and missed detections</w:t>
      </w:r>
      <w:r>
        <w:t xml:space="preserve">, which are asymmetric in almost every real public health context (the cost of an unnecessary intervention differs from the cost of a missed outbreak, and the ratio of these costs, not just their existence, determines where a decision threshold should be set); explicit</w:t>
      </w:r>
      <w:r>
        <w:t xml:space="preserve"> </w:t>
      </w:r>
      <w:r>
        <w:rPr>
          <w:bCs/>
          <w:b/>
        </w:rPr>
        <w:t xml:space="preserve">decision thresholds</w:t>
      </w:r>
      <w:r>
        <w:t xml:space="preserve"> </w:t>
      </w:r>
      <w:r>
        <w:t xml:space="preserve">derived from this asymmetric-cost reasoning rather than an arbitrary statistical convention (e.g., a fixed p-value or confidence-interval width chosen without reference to the actual decision being supported);</w:t>
      </w:r>
      <w:r>
        <w:t xml:space="preserve"> </w:t>
      </w:r>
      <w:r>
        <w:rPr>
          <w:bCs/>
          <w:b/>
        </w:rPr>
        <w:t xml:space="preserve">asymmetric loss functions</w:t>
      </w:r>
      <w:r>
        <w:t xml:space="preserve"> </w:t>
      </w:r>
      <w:r>
        <w:t xml:space="preserve">formalizing this cost structure so that the</w:t>
      </w:r>
      <w:r>
        <w:t xml:space="preserve"> </w:t>
      </w:r>
      <w:r>
        <w:t xml:space="preserve">“</w:t>
      </w:r>
      <w:r>
        <w:t xml:space="preserve">best</w:t>
      </w:r>
      <w:r>
        <w:t xml:space="preserve">”</w:t>
      </w:r>
      <w:r>
        <w:t xml:space="preserve"> </w:t>
      </w:r>
      <w:r>
        <w:t xml:space="preserve">point estimate or action is defined relative to the actual consequences of being wrong in each direction, not simply the posterior mean or mode; the</w:t>
      </w:r>
      <w:r>
        <w:t xml:space="preserve"> </w:t>
      </w:r>
      <w:r>
        <w:rPr>
          <w:bCs/>
          <w:b/>
        </w:rPr>
        <w:t xml:space="preserve">value of additional sampling</w:t>
      </w:r>
      <w:r>
        <w:t xml:space="preserve"> </w:t>
      </w:r>
      <w:r>
        <w:t xml:space="preserve">(directly connecting to §8.8’s value-of-information framing) — quantifying how much a proposed additional sample, measurement, or monitoring investment would be expected to reduce decision-relevant uncertainty, which is the correct basis for prioritizing scarce monitoring resources; and, finally, an explicit acknowledgment of</w:t>
      </w:r>
      <w:r>
        <w:t xml:space="preserve"> </w:t>
      </w:r>
      <w:r>
        <w:rPr>
          <w:bCs/>
          <w:b/>
        </w:rPr>
        <w:t xml:space="preserve">when uncertainty is simply too large to support an absolute reconstruction claim at all</w:t>
      </w:r>
      <w:r>
        <w:t xml:space="preserve"> </w:t>
      </w:r>
      <w:r>
        <w:t xml:space="preserve">(§7.6, §7.0’s structural-adequacy axis), in which case the honest output is a qualitative trend or anomaly-probability statement, not a numerically precise but practically meaningless point estimate with an enormous, rarely-actually-computed confidence interval.</w:t>
      </w:r>
    </w:p>
    <w:p>
      <w:pPr>
        <w:pStyle w:val="BodyText"/>
      </w:pPr>
      <w:r>
        <w:rPr>
          <w:bCs/>
          <w:b/>
        </w:rPr>
        <w:t xml:space="preserve">The point this section requires stating explicitly</w:t>
      </w:r>
      <w:r>
        <w:t xml:space="preserve">: public health decision-making needs probabilities and risks, not point estimates with error bars appended as an afterthought — an error bar answers</w:t>
      </w:r>
      <w:r>
        <w:t xml:space="preserve"> </w:t>
      </w:r>
      <w:r>
        <w:t xml:space="preserve">“</w:t>
      </w:r>
      <w:r>
        <w:t xml:space="preserve">how uncertain is this number,</w:t>
      </w:r>
      <w:r>
        <w:t xml:space="preserve">”</w:t>
      </w:r>
      <w:r>
        <w:t xml:space="preserve"> </w:t>
      </w:r>
      <w:r>
        <w:t xml:space="preserve">while a decision-maker’s actual question is closer to</w:t>
      </w:r>
      <w:r>
        <w:t xml:space="preserve"> </w:t>
      </w:r>
      <w:r>
        <w:t xml:space="preserve">“</w:t>
      </w:r>
      <w:r>
        <w:t xml:space="preserve">given everything uncertain, what is the chance I should act, and what does acting cost me if I am wrong.</w:t>
      </w:r>
      <w:r>
        <w:t xml:space="preserve">”</w:t>
      </w:r>
      <w:r>
        <w:t xml:space="preserve"> </w:t>
      </w:r>
      <w:r>
        <w:t xml:space="preserve">These are different questions, and this review’s assessment of the applied WBE literature is that the former is reported far more often than the latter is even attempted.</w:t>
      </w:r>
    </w:p>
    <w:bookmarkEnd w:id="84"/>
    <w:bookmarkStart w:id="85" w:name="minimum-reporting-requirements"/>
    <w:p>
      <w:pPr>
        <w:pStyle w:val="Heading3"/>
      </w:pPr>
      <w:r>
        <w:t xml:space="preserve">8.15 Minimum Reporting Requirements</w:t>
      </w:r>
    </w:p>
    <w:p>
      <w:pPr>
        <w:pStyle w:val="FirstParagraph"/>
      </w:pPr>
      <w:r>
        <w:t xml:space="preserve">Extending §5.7, §6.9, and §7.7’s reporting-standard practice to the uncertainty-propagation stage specifically, any WBE analysis presenting an uncertainty-quantified output should, at minimum, report: every random variable included and its assumed distribution; the source and applicable population for every parameter value used, flagged explicitly where the source population differs from the monitored population (§7.1.1, §8.2); the assumed or estimated correlation structure among parameters (§8.10), or an explicit statement that independence was assumed and why that is considered defensible for the specific application; the method used for handling values below LOD/LOQ (§8.11); the assumed missing-data mechanism and how it was addressed; the propagation method used (delta method, Monte Carlo, Bayesian) and why it was considered appropriate given §8.6’s applicability conditions; the number of simulation draws (for Monte Carlo/Bayesian approaches) and evidence of convergence (e.g., trace plots,</w:t>
      </w:r>
      <w:r>
        <w:t xml:space="preserve"> </w:t>
      </w:r>
      <m:oMath>
        <m:acc>
          <m:accPr>
            <m:chr m:val="̂"/>
          </m:accPr>
          <m:e>
            <m:r>
              <m:t>R</m:t>
            </m:r>
          </m:e>
        </m:acc>
      </m:oMath>
      <w:r>
        <w:t xml:space="preserve"> </w:t>
      </w:r>
      <w:r>
        <w:t xml:space="preserve">diagnostics for MCMC); which sensitivity analysis, if any, was performed (§8.8); which alternative structural model choices were considered, if any (§8.12); the type of interval reported (a frequentist confidence interval, a Bayesian credible interval, a simulation-based percentile interval — these have different formal interpretations and should not be used interchangeably without comment); an explicit statement of what that interval means in probabilistic terms (§8.16); and the underlying code and parameter tables, to the extent permitted, to allow independent reproduction or audit.</w:t>
      </w:r>
    </w:p>
    <w:bookmarkEnd w:id="85"/>
    <w:bookmarkStart w:id="86" w:name="Xa1436934d62027a46179ed3a5fa913b5b8054ae"/>
    <w:p>
      <w:pPr>
        <w:pStyle w:val="Heading3"/>
      </w:pPr>
      <w:r>
        <w:t xml:space="preserve">8.16 Link to Validation and Public-Health Interpretation</w:t>
      </w:r>
    </w:p>
    <w:p>
      <w:pPr>
        <w:pStyle w:val="FirstParagraph"/>
      </w:pPr>
      <w:r>
        <w:t xml:space="preserve">This chapter, and this review’s three core methodological chapters (6, 7, 8) as a whole, close on the same discipline established since §3.0: an uncertainty interval is a claim that itself requires validation, not a self-certifying output. Reported intervals should be checked, where independent data permit, via</w:t>
      </w:r>
      <w:r>
        <w:t xml:space="preserve"> </w:t>
      </w:r>
      <w:r>
        <w:rPr>
          <w:bCs/>
          <w:b/>
        </w:rPr>
        <w:t xml:space="preserve">coverage</w:t>
      </w:r>
      <w:r>
        <w:t xml:space="preserve"> </w:t>
      </w:r>
      <w:r>
        <w:t xml:space="preserve">(does the true value fall within the reported interval the claimed percentage of the time, across repeated application) or</w:t>
      </w:r>
      <w:r>
        <w:t xml:space="preserve"> </w:t>
      </w:r>
      <w:r>
        <w:rPr>
          <w:bCs/>
          <w:b/>
        </w:rPr>
        <w:t xml:space="preserve">posterior predictive checks</w:t>
      </w:r>
      <w:r>
        <w:t xml:space="preserve"> </w:t>
      </w:r>
      <w:r>
        <w:t xml:space="preserve">(§8.9) — diagnostics this review’s evidence base found rarely reported in applied WBE studies, which is itself a documented finding, not an assumption.</w:t>
      </w:r>
      <w:r>
        <w:t xml:space="preserve"> </w:t>
      </w:r>
      <w:r>
        <w:rPr>
          <w:bCs/>
          <w:b/>
        </w:rPr>
        <w:t xml:space="preserve">Clinical reference data used to validate a WBE-derived interval are themselves uncertain</w:t>
      </w:r>
      <w:r>
        <w:t xml:space="preserve"> </w:t>
      </w:r>
      <w:r>
        <w:t xml:space="preserve">(§8.13’s reference-data-uncertainty category), so a mismatch between a WBE estimate and a clinical figure is not automatically evidence the WBE estimate is wrong — it may instead reflect the clinical reference’s own, differently-structured uncertainty (§1’s discussion of ascertainment bias, §7.2’s worked illustration).</w:t>
      </w:r>
      <w:r>
        <w:t xml:space="preserve"> </w:t>
      </w:r>
      <w:r>
        <w:rPr>
          <w:bCs/>
          <w:b/>
        </w:rPr>
        <w:t xml:space="preserve">An unusually wide reported interval is informative, not embarrassing</w:t>
      </w:r>
      <w:r>
        <w:t xml:space="preserve"> </w:t>
      </w:r>
      <w:r>
        <w:t xml:space="preserve">— it may correctly indicate insufficient data, genuinely high parameter uncertainty, or a structurally non-identifiable/unobservable model (§7.0, §7.3), and the correct response is not to narrow the interval by fiat (dropping inconvenient uncertainty sources, assuming independence where correlation is known, or selecting a tighter prior without justification, §8.9’s critique), since doing so produces a falsely confident number rather than a more useful one. Finally, and directly continuing §7.0’s central proposition into its practical consequence:</w:t>
      </w:r>
      <w:r>
        <w:t xml:space="preserve"> </w:t>
      </w:r>
      <w:r>
        <w:rPr>
          <w:bCs/>
          <w:b/>
        </w:rPr>
        <w:t xml:space="preserve">where the propagated uncertainty is too large to support an absolute-magnitude claim, the correct response is to downgrade the reported output to a trend statement or an exceedance/anomaly probability</w:t>
      </w:r>
      <w:r>
        <w:t xml:space="preserve"> </w:t>
      </w:r>
      <w:r>
        <w:t xml:space="preserve">(§7.1.2’s three-output distinction, §8.14) rather than to report a point estimate whose confidence interval, if honestly computed and disclosed, would have said not to trust it.</w:t>
      </w:r>
    </w:p>
    <w:bookmarkEnd w:id="86"/>
    <w:bookmarkStart w:id="87" w:name="Xb0d6815aa17662a13dbe33089451fa5be7dca26"/>
    <w:p>
      <w:pPr>
        <w:pStyle w:val="Heading3"/>
      </w:pPr>
      <w:r>
        <w:t xml:space="preserve">Table 6. Uncertainty Source × Type × Distribution × Propagation Method × Mitigation × Residual Effect</w:t>
      </w:r>
    </w:p>
    <w:p>
      <w:pPr>
        <w:pStyle w:val="FirstParagraph"/>
      </w:pPr>
      <w:r>
        <w:t xml:space="preserve">This table consolidates §8.2–8.12 into the parameter–distribution–source–correlation summary requested as a standalone deliverable.</w:t>
      </w:r>
      <w:r>
        <w:t xml:space="preserve"> </w:t>
      </w:r>
      <w:r>
        <w:t xml:space="preserve">“</w:t>
      </w:r>
      <w:r>
        <w:t xml:space="preserve">Typically correlated with</w:t>
      </w:r>
      <w:r>
        <w:t xml:space="preserve">”</w:t>
      </w:r>
      <w:r>
        <w:t xml:space="preserve"> </w:t>
      </w:r>
      <w:r>
        <w:t xml:space="preserve">records the §8.10 dependencies documented in this review; entries marked</w:t>
      </w:r>
      <w:r>
        <w:t xml:space="preserve"> </w:t>
      </w:r>
      <w:r>
        <w:t xml:space="preserve">“</w:t>
      </w:r>
      <w:r>
        <w:t xml:space="preserve">shape not established in this evidence base</w:t>
      </w:r>
      <w:r>
        <w:t xml:space="preserve">”</w:t>
      </w:r>
      <w:r>
        <w:t xml:space="preserve"> </w:t>
      </w:r>
      <w:r>
        <w:t xml:space="preserve">reflect a documented gap, not an assumption of normality.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Uncertainty source</w:t>
            </w:r>
          </w:p>
        </w:tc>
        <w:tc>
          <w:tcPr/>
          <w:p>
            <w:pPr>
              <w:pStyle w:val="Compact"/>
              <w:jc w:val="left"/>
            </w:pPr>
            <w:r>
              <w:t xml:space="preserve">Type (§8.1)</w:t>
            </w:r>
          </w:p>
        </w:tc>
        <w:tc>
          <w:tcPr/>
          <w:p>
            <w:pPr>
              <w:pStyle w:val="Compact"/>
              <w:jc w:val="left"/>
            </w:pPr>
            <w:r>
              <w:t xml:space="preserve">Plausible distribution shape</w:t>
            </w:r>
          </w:p>
        </w:tc>
        <w:tc>
          <w:tcPr/>
          <w:p>
            <w:pPr>
              <w:pStyle w:val="Compact"/>
              <w:jc w:val="left"/>
            </w:pPr>
            <w:r>
              <w:t xml:space="preserve">Typically correlated with (§8.10)</w:t>
            </w:r>
          </w:p>
        </w:tc>
        <w:tc>
          <w:tcPr/>
          <w:p>
            <w:pPr>
              <w:pStyle w:val="Compact"/>
              <w:jc w:val="left"/>
            </w:pPr>
            <w:r>
              <w:t xml:space="preserve">Propagation method (§8.6–8.9)</w:t>
            </w:r>
          </w:p>
        </w:tc>
        <w:tc>
          <w:tcPr/>
          <w:p>
            <w:pPr>
              <w:pStyle w:val="Compact"/>
              <w:jc w:val="left"/>
            </w:pPr>
            <w:r>
              <w:t xml:space="preserve">Mitigation</w:t>
            </w:r>
          </w:p>
        </w:tc>
        <w:tc>
          <w:tcPr/>
          <w:p>
            <w:pPr>
              <w:pStyle w:val="Compact"/>
              <w:jc w:val="left"/>
            </w:pPr>
            <w:r>
              <w:t xml:space="preserve">Residual effect if unaddressed</w:t>
            </w:r>
          </w:p>
        </w:tc>
      </w:tr>
      <w:tr>
        <w:tc>
          <w:tcPr/>
          <w:p>
            <w:pPr>
              <w:pStyle w:val="Compact"/>
              <w:jc w:val="left"/>
            </w:pPr>
            <w:r>
              <w:t xml:space="preserve">Individual shedding magnitude (§8.2)</w:t>
            </w:r>
          </w:p>
        </w:tc>
        <w:tc>
          <w:tcPr/>
          <w:p>
            <w:pPr>
              <w:pStyle w:val="Compact"/>
              <w:jc w:val="left"/>
            </w:pPr>
            <w:r>
              <w:t xml:space="preserve">Aleatory variability → parameter uncertainty at population scale</w:t>
            </w:r>
          </w:p>
        </w:tc>
        <w:tc>
          <w:tcPr/>
          <w:p>
            <w:pPr>
              <w:pStyle w:val="Compact"/>
              <w:jc w:val="left"/>
            </w:pPr>
            <w:r>
              <w:t xml:space="preserve">Right-skewed, long-tailed, over-dispersed (zero-inflated at low prevalence) — shape not established in this evidence base for every pathogen</w:t>
            </w:r>
          </w:p>
        </w:tc>
        <w:tc>
          <w:tcPr/>
          <w:p>
            <w:pPr>
              <w:pStyle w:val="Compact"/>
              <w:jc w:val="left"/>
            </w:pPr>
            <w:r>
              <w:t xml:space="preserve">Infection timing/kernel parameters (§7.2)</w:t>
            </w:r>
          </w:p>
        </w:tc>
        <w:tc>
          <w:tcPr/>
          <w:p>
            <w:pPr>
              <w:pStyle w:val="Compact"/>
              <w:jc w:val="left"/>
            </w:pPr>
            <w:r>
              <w:t xml:space="preserve">Monte Carlo or Bayesian hierarchical (§8.7, §8.9); delta method inappropriate (§8.6)</w:t>
            </w:r>
          </w:p>
        </w:tc>
        <w:tc>
          <w:tcPr/>
          <w:p>
            <w:pPr>
              <w:pStyle w:val="Compact"/>
              <w:jc w:val="left"/>
            </w:pPr>
            <w:r>
              <w:t xml:space="preserve">Externally-grounded shedding-kernel data (§4.3, §7.3)</w:t>
            </w:r>
          </w:p>
        </w:tc>
        <w:tc>
          <w:tcPr/>
          <w:p>
            <w:pPr>
              <w:pStyle w:val="Compact"/>
              <w:jc w:val="left"/>
            </w:pPr>
            <w:r>
              <w:t xml:space="preserve">Understated tail risk if normal approximation used</w:t>
            </w:r>
          </w:p>
        </w:tc>
      </w:tr>
      <w:tr>
        <w:tc>
          <w:tcPr/>
          <w:p>
            <w:pPr>
              <w:pStyle w:val="Compact"/>
              <w:jc w:val="left"/>
            </w:pPr>
            <w:r>
              <w:t xml:space="preserve">Excretion fraction /</w:t>
            </w:r>
            <w:r>
              <w:t xml:space="preserve"> </w:t>
            </w:r>
            <m:oMath>
              <m:r>
                <m:t>C</m:t>
              </m:r>
              <m:r>
                <m:t>F</m:t>
              </m:r>
            </m:oMath>
            <w:r>
              <w:t xml:space="preserve"> </w:t>
            </w:r>
            <w:r>
              <w:t xml:space="preserve">(chemical) (§8.2, §7.1.1)</w:t>
            </w:r>
          </w:p>
        </w:tc>
        <w:tc>
          <w:tcPr/>
          <w:p>
            <w:pPr>
              <w:pStyle w:val="Compact"/>
              <w:jc w:val="left"/>
            </w:pPr>
            <w:r>
              <w:t xml:space="preserve">Epistemic parameter uncertainty; systematic bias if cross-population</w:t>
            </w:r>
          </w:p>
        </w:tc>
        <w:tc>
          <w:tcPr/>
          <w:p>
            <w:pPr>
              <w:pStyle w:val="Compact"/>
              <w:jc w:val="left"/>
            </w:pPr>
            <w:r>
              <w:t xml:space="preserve">Population-specific; represented as explicit prior in Jones et al. (2014)</w:t>
            </w:r>
          </w:p>
        </w:tc>
        <w:tc>
          <w:tcPr/>
          <w:p>
            <w:pPr>
              <w:pStyle w:val="Compact"/>
              <w:jc w:val="left"/>
            </w:pPr>
            <w:r>
              <w:t xml:space="preserve">Population demographic mismatch</w:t>
            </w:r>
          </w:p>
        </w:tc>
        <w:tc>
          <w:tcPr/>
          <w:p>
            <w:pPr>
              <w:pStyle w:val="Compact"/>
              <w:jc w:val="left"/>
            </w:pPr>
            <w:r>
              <w:t xml:space="preserve">Bayesian MCMC (demonstrated: Jones et al., 2014)</w:t>
            </w:r>
          </w:p>
        </w:tc>
        <w:tc>
          <w:tcPr/>
          <w:p>
            <w:pPr>
              <w:pStyle w:val="Compact"/>
              <w:jc w:val="left"/>
            </w:pPr>
            <w:r>
              <w:t xml:space="preserve">Population-matched clinical PK data</w:t>
            </w:r>
          </w:p>
        </w:tc>
        <w:tc>
          <w:tcPr/>
          <w:p>
            <w:pPr>
              <w:pStyle w:val="Compact"/>
              <w:jc w:val="left"/>
            </w:pPr>
            <w:r>
              <w:t xml:space="preserve">Systematic bias in</w:t>
            </w:r>
            <w:r>
              <w:t xml:space="preserve"> </w:t>
            </w:r>
            <m:oMath>
              <m:r>
                <m:t>M</m:t>
              </m:r>
              <m:d>
                <m:dPr>
                  <m:begChr m:val="("/>
                  <m:endChr m:val=")"/>
                  <m:sepChr m:val=""/>
                  <m:grow/>
                </m:dPr>
                <m:e>
                  <m:r>
                    <m:t>t</m:t>
                  </m:r>
                </m:e>
              </m:d>
            </m:oMath>
            <w:r>
              <w:t xml:space="preserve">, undetectable from wastewater data alone</w:t>
            </w:r>
          </w:p>
        </w:tc>
      </w:tr>
      <w:tr>
        <w:tc>
          <w:tcPr/>
          <w:p>
            <w:pPr>
              <w:pStyle w:val="Compact"/>
              <w:jc w:val="left"/>
            </w:pPr>
            <w:r>
              <w:t xml:space="preserve">Hydraulic retention-time distribution (§8.3)</w:t>
            </w:r>
          </w:p>
        </w:tc>
        <w:tc>
          <w:tcPr/>
          <w:p>
            <w:pPr>
              <w:pStyle w:val="Compact"/>
              <w:jc w:val="left"/>
            </w:pPr>
            <w:r>
              <w:t xml:space="preserve">Time-varying process uncertainty</w:t>
            </w:r>
          </w:p>
        </w:tc>
        <w:tc>
          <w:tcPr/>
          <w:p>
            <w:pPr>
              <w:pStyle w:val="Compact"/>
              <w:jc w:val="left"/>
            </w:pPr>
            <w:r>
              <w:t xml:space="preserve">Not a single value — a distribution across flow paths</w:t>
            </w:r>
          </w:p>
        </w:tc>
        <w:tc>
          <w:tcPr/>
          <w:p>
            <w:pPr>
              <w:pStyle w:val="Compact"/>
              <w:jc w:val="left"/>
            </w:pPr>
            <w:r>
              <w:t xml:space="preserve">Flow, rainfall</w:t>
            </w:r>
          </w:p>
        </w:tc>
        <w:tc>
          <w:tcPr/>
          <w:p>
            <w:pPr>
              <w:pStyle w:val="Compact"/>
              <w:jc w:val="left"/>
            </w:pPr>
            <w:r>
              <w:t xml:space="preserve">Hydraulic modeling + Monte Carlo</w:t>
            </w:r>
          </w:p>
        </w:tc>
        <w:tc>
          <w:tcPr/>
          <w:p>
            <w:pPr>
              <w:pStyle w:val="Compact"/>
              <w:jc w:val="left"/>
            </w:pPr>
            <w:r>
              <w:t xml:space="preserve">Tracer-study validation (rarely performed per this review’s search)</w:t>
            </w:r>
          </w:p>
        </w:tc>
        <w:tc>
          <w:tcPr/>
          <w:p>
            <w:pPr>
              <w:pStyle w:val="Compact"/>
              <w:jc w:val="left"/>
            </w:pPr>
            <w:r>
              <w:t xml:space="preserve">Temporal-distortion (§3.0) uncorrected</w:t>
            </w:r>
          </w:p>
        </w:tc>
      </w:tr>
      <w:tr>
        <w:tc>
          <w:tcPr/>
          <w:p>
            <w:pPr>
              <w:pStyle w:val="Compact"/>
              <w:jc w:val="left"/>
            </w:pPr>
            <w:r>
              <w:t xml:space="preserve">Decay/transformation rate (§8.3, §4.1)</w:t>
            </w:r>
          </w:p>
        </w:tc>
        <w:tc>
          <w:tcPr/>
          <w:p>
            <w:pPr>
              <w:pStyle w:val="Compact"/>
              <w:jc w:val="left"/>
            </w:pPr>
            <w:r>
              <w:t xml:space="preserve">Time-varying process uncertainty</w:t>
            </w:r>
          </w:p>
        </w:tc>
        <w:tc>
          <w:tcPr/>
          <w:p>
            <w:pPr>
              <w:pStyle w:val="Compact"/>
              <w:jc w:val="left"/>
            </w:pPr>
            <w:r>
              <w:t xml:space="preserve">Temperature-dependent, not fixed</w:t>
            </w:r>
          </w:p>
        </w:tc>
        <w:tc>
          <w:tcPr/>
          <w:p>
            <w:pPr>
              <w:pStyle w:val="Compact"/>
              <w:jc w:val="left"/>
            </w:pPr>
            <w:r>
              <w:t xml:space="preserve">Temperature, retention time</w:t>
            </w:r>
          </w:p>
        </w:tc>
        <w:tc>
          <w:tcPr/>
          <w:p>
            <w:pPr>
              <w:pStyle w:val="Compact"/>
              <w:jc w:val="left"/>
            </w:pPr>
            <w:r>
              <w:t xml:space="preserve">Delta method (if near-linear) or Monte Carlo</w:t>
            </w:r>
          </w:p>
        </w:tc>
        <w:tc>
          <w:tcPr/>
          <w:p>
            <w:pPr>
              <w:pStyle w:val="Compact"/>
              <w:jc w:val="left"/>
            </w:pPr>
            <w:r>
              <w:t xml:space="preserve">Process-informed, temperature-covariate models (§4.3)</w:t>
            </w:r>
          </w:p>
        </w:tc>
        <w:tc>
          <w:tcPr/>
          <w:p>
            <w:pPr>
              <w:pStyle w:val="Compact"/>
              <w:jc w:val="left"/>
            </w:pPr>
            <w:r>
              <w:t xml:space="preserve">Amplitude bias, direction depends on temperature regime</w:t>
            </w:r>
          </w:p>
        </w:tc>
      </w:tr>
      <w:tr>
        <w:tc>
          <w:tcPr/>
          <w:p>
            <w:pPr>
              <w:pStyle w:val="Compact"/>
              <w:jc w:val="left"/>
            </w:pPr>
            <w:r>
              <w:t xml:space="preserve">Sedimentation/delayed release (§8.3, §4.1)</w:t>
            </w:r>
          </w:p>
        </w:tc>
        <w:tc>
          <w:tcPr/>
          <w:p>
            <w:pPr>
              <w:pStyle w:val="Compact"/>
              <w:jc w:val="left"/>
            </w:pPr>
            <w:r>
              <w:t xml:space="preserve">Unrepresented structural process</w:t>
            </w:r>
          </w:p>
        </w:tc>
        <w:tc>
          <w:tcPr/>
          <w:p>
            <w:pPr>
              <w:pStyle w:val="Compact"/>
              <w:jc w:val="left"/>
            </w:pPr>
            <w:r>
              <w:t xml:space="preserve">n/a — event-driven, not continuously distributed</w:t>
            </w:r>
          </w:p>
        </w:tc>
        <w:tc>
          <w:tcPr/>
          <w:p>
            <w:pPr>
              <w:pStyle w:val="Compact"/>
              <w:jc w:val="left"/>
            </w:pPr>
            <w:r>
              <w:t xml:space="preserve">Rainfall, flow</w:t>
            </w:r>
          </w:p>
        </w:tc>
        <w:tc>
          <w:tcPr/>
          <w:p>
            <w:pPr>
              <w:pStyle w:val="Compact"/>
              <w:jc w:val="left"/>
            </w:pPr>
            <w:r>
              <w:t xml:space="preserve">Not addressable by parameter-level propagation</w:t>
            </w:r>
          </w:p>
        </w:tc>
        <w:tc>
          <w:tcPr/>
          <w:p>
            <w:pPr>
              <w:pStyle w:val="Compact"/>
              <w:jc w:val="left"/>
            </w:pPr>
            <w:r>
              <w:t xml:space="preserve">Explicit structural term or event-flagging</w:t>
            </w:r>
          </w:p>
        </w:tc>
        <w:tc>
          <w:tcPr/>
          <w:p>
            <w:pPr>
              <w:pStyle w:val="Compact"/>
              <w:jc w:val="left"/>
            </w:pPr>
            <w:r>
              <w:t xml:space="preserve">False signal attributed to concurrent source event (§4.1)</w:t>
            </w:r>
          </w:p>
        </w:tc>
      </w:tr>
      <w:tr>
        <w:tc>
          <w:tcPr/>
          <w:p>
            <w:pPr>
              <w:pStyle w:val="Compact"/>
              <w:jc w:val="left"/>
            </w:pPr>
            <w:r>
              <w:t xml:space="preserve">CSO / overflow mass loss (§8.3, §6.8, §7.6)</w:t>
            </w:r>
          </w:p>
        </w:tc>
        <w:tc>
          <w:tcPr/>
          <w:p>
            <w:pPr>
              <w:pStyle w:val="Compact"/>
              <w:jc w:val="left"/>
            </w:pPr>
            <w:r>
              <w:t xml:space="preserve">Scenario uncertainty (discrete)</w:t>
            </w:r>
          </w:p>
        </w:tc>
        <w:tc>
          <w:tcPr/>
          <w:p>
            <w:pPr>
              <w:pStyle w:val="Compact"/>
              <w:jc w:val="left"/>
            </w:pPr>
            <w:r>
              <w:t xml:space="preserve">Bernoulli/event-indicator, not continuous</w:t>
            </w:r>
          </w:p>
        </w:tc>
        <w:tc>
          <w:tcPr/>
          <w:p>
            <w:pPr>
              <w:pStyle w:val="Compact"/>
              <w:jc w:val="left"/>
            </w:pPr>
            <w:r>
              <w:t xml:space="preserve">Rainfall</w:t>
            </w:r>
          </w:p>
        </w:tc>
        <w:tc>
          <w:tcPr/>
          <w:p>
            <w:pPr>
              <w:pStyle w:val="Compact"/>
              <w:jc w:val="left"/>
            </w:pPr>
            <w:r>
              <w:t xml:space="preserve">Scenario envelope (§8.12), not standard MC</w:t>
            </w:r>
          </w:p>
        </w:tc>
        <w:tc>
          <w:tcPr/>
          <w:p>
            <w:pPr>
              <w:pStyle w:val="Compact"/>
              <w:jc w:val="left"/>
            </w:pPr>
            <w:r>
              <w:t xml:space="preserve">Overflow-event flagging, exclusion, or explicit loss term</w:t>
            </w:r>
          </w:p>
        </w:tc>
        <w:tc>
          <w:tcPr/>
          <w:p>
            <w:pPr>
              <w:pStyle w:val="Compact"/>
              <w:jc w:val="left"/>
            </w:pPr>
            <w:r>
              <w:t xml:space="preserve">Capped/masked amplitude distortion (§4.2)</w:t>
            </w:r>
          </w:p>
        </w:tc>
      </w:tr>
      <w:tr>
        <w:tc>
          <w:tcPr/>
          <w:p>
            <w:pPr>
              <w:pStyle w:val="Compact"/>
              <w:jc w:val="left"/>
            </w:pPr>
            <w:r>
              <w:t xml:space="preserve">Recovery (</w:t>
            </w:r>
            <m:oMath>
              <m:sSub>
                <m:e>
                  <m:r>
                    <m:t>η</m:t>
                  </m:r>
                </m:e>
                <m:sub>
                  <m:r>
                    <m:t>r</m:t>
                  </m:r>
                  <m:r>
                    <m:t>e</m:t>
                  </m:r>
                  <m:r>
                    <m:t>c</m:t>
                  </m:r>
                </m:sub>
              </m:sSub>
              <m:r>
                <m:rPr>
                  <m:sty m:val="p"/>
                </m:rPr>
                <m:t>/</m:t>
              </m:r>
              <m:sSub>
                <m:e>
                  <m:r>
                    <m:t>η</m:t>
                  </m:r>
                </m:e>
                <m:sub>
                  <m:r>
                    <m:t>e</m:t>
                  </m:r>
                  <m:r>
                    <m:t>x</m:t>
                  </m:r>
                  <m:r>
                    <m:t>t</m:t>
                  </m:r>
                </m:sub>
              </m:sSub>
            </m:oMath>
            <w:r>
              <w:t xml:space="preserve">) (§8.4, §5.5)</w:t>
            </w:r>
          </w:p>
        </w:tc>
        <w:tc>
          <w:tcPr/>
          <w:p>
            <w:pPr>
              <w:pStyle w:val="Compact"/>
              <w:jc w:val="left"/>
            </w:pPr>
            <w:r>
              <w:t xml:space="preserve">Parameter uncertainty, amplitude-biasing</w:t>
            </w:r>
          </w:p>
        </w:tc>
        <w:tc>
          <w:tcPr/>
          <w:p>
            <w:pPr>
              <w:pStyle w:val="Compact"/>
              <w:jc w:val="left"/>
            </w:pPr>
            <w:r>
              <w:t xml:space="preserve">Matrix- and method-dependent; not established as normal</w:t>
            </w:r>
          </w:p>
        </w:tc>
        <w:tc>
          <w:tcPr/>
          <w:p>
            <w:pPr>
              <w:pStyle w:val="Compact"/>
              <w:jc w:val="left"/>
            </w:pPr>
            <w:r>
              <w:t xml:space="preserve">Inhibition/ion suppression</w:t>
            </w:r>
          </w:p>
        </w:tc>
        <w:tc>
          <w:tcPr/>
          <w:p>
            <w:pPr>
              <w:pStyle w:val="Compact"/>
              <w:jc w:val="left"/>
            </w:pPr>
            <w:r>
              <w:t xml:space="preserve">Delta method (if linear) or Monte Carlo</w:t>
            </w:r>
          </w:p>
        </w:tc>
        <w:tc>
          <w:tcPr/>
          <w:p>
            <w:pPr>
              <w:pStyle w:val="Compact"/>
              <w:jc w:val="left"/>
            </w:pPr>
            <w:r>
              <w:t xml:space="preserve">Recovery-control spikes, isotope-labeled internal standards</w:t>
            </w:r>
          </w:p>
        </w:tc>
        <w:tc>
          <w:tcPr/>
          <w:p>
            <w:pPr>
              <w:pStyle w:val="Compact"/>
              <w:jc w:val="left"/>
            </w:pPr>
            <w:r>
              <w:t xml:space="preserve">Systematic underestimation (recovery cannot exceed 100%)</w:t>
            </w:r>
          </w:p>
        </w:tc>
      </w:tr>
      <w:tr>
        <w:tc>
          <w:tcPr/>
          <w:p>
            <w:pPr>
              <w:pStyle w:val="Compact"/>
              <w:jc w:val="left"/>
            </w:pPr>
            <w:r>
              <w:t xml:space="preserve">Inhibition/ion suppression (</w:t>
            </w:r>
            <m:oMath>
              <m:sSub>
                <m:e>
                  <m:r>
                    <m:t>η</m:t>
                  </m:r>
                </m:e>
                <m:sub>
                  <m:r>
                    <m:t>i</m:t>
                  </m:r>
                  <m:r>
                    <m:t>n</m:t>
                  </m:r>
                  <m:r>
                    <m:t>h</m:t>
                  </m:r>
                </m:sub>
              </m:sSub>
              <m:r>
                <m:rPr>
                  <m:sty m:val="p"/>
                </m:rPr>
                <m:t>/</m:t>
              </m:r>
              <m:sSub>
                <m:e>
                  <m:r>
                    <m:t>η</m:t>
                  </m:r>
                </m:e>
                <m:sub>
                  <m:r>
                    <m:t>i</m:t>
                  </m:r>
                  <m:r>
                    <m:t>o</m:t>
                  </m:r>
                  <m:r>
                    <m:t>n</m:t>
                  </m:r>
                </m:sub>
              </m:sSub>
            </m:oMath>
            <w:r>
              <w:t xml:space="preserve">) (§8.4, §5.5)</w:t>
            </w:r>
          </w:p>
        </w:tc>
        <w:tc>
          <w:tcPr/>
          <w:p>
            <w:pPr>
              <w:pStyle w:val="Compact"/>
              <w:jc w:val="left"/>
            </w:pPr>
            <w:r>
              <w:t xml:space="preserve">Parameter uncertainty</w:t>
            </w:r>
          </w:p>
        </w:tc>
        <w:tc>
          <w:tcPr/>
          <w:p>
            <w:pPr>
              <w:pStyle w:val="Compact"/>
              <w:jc w:val="left"/>
            </w:pPr>
            <w:r>
              <w:t xml:space="preserve">Matrix-dependent</w:t>
            </w:r>
          </w:p>
        </w:tc>
        <w:tc>
          <w:tcPr/>
          <w:p>
            <w:pPr>
              <w:pStyle w:val="Compact"/>
              <w:jc w:val="left"/>
            </w:pPr>
            <w:r>
              <w:t xml:space="preserve">Recovery (shared matrix driver)</w:t>
            </w:r>
          </w:p>
        </w:tc>
        <w:tc>
          <w:tcPr/>
          <w:p>
            <w:pPr>
              <w:pStyle w:val="Compact"/>
              <w:jc w:val="left"/>
            </w:pPr>
            <w:r>
              <w:t xml:space="preserve">Monte Carlo (with recovery covariance, §8.10)</w:t>
            </w:r>
          </w:p>
        </w:tc>
        <w:tc>
          <w:tcPr/>
          <w:p>
            <w:pPr>
              <w:pStyle w:val="Compact"/>
              <w:jc w:val="left"/>
            </w:pPr>
            <w:r>
              <w:t xml:space="preserve">Inhibition controls, dilution, gp32 (§5.5)</w:t>
            </w:r>
          </w:p>
        </w:tc>
        <w:tc>
          <w:tcPr/>
          <w:p>
            <w:pPr>
              <w:pStyle w:val="Compact"/>
              <w:jc w:val="left"/>
            </w:pPr>
            <w:r>
              <w:t xml:space="preserve">Systematic bias, direction target-dependent</w:t>
            </w:r>
          </w:p>
        </w:tc>
      </w:tr>
      <w:tr>
        <w:tc>
          <w:tcPr/>
          <w:p>
            <w:pPr>
              <w:pStyle w:val="Compact"/>
              <w:jc w:val="left"/>
            </w:pPr>
            <w:r>
              <w:t xml:space="preserve">Interlaboratory/method effect (§8.4)</w:t>
            </w:r>
          </w:p>
        </w:tc>
        <w:tc>
          <w:tcPr/>
          <w:p>
            <w:pPr>
              <w:pStyle w:val="Compact"/>
              <w:jc w:val="left"/>
            </w:pPr>
            <w:r>
              <w:t xml:space="preserve">Structural/batch uncertainty</w:t>
            </w:r>
          </w:p>
        </w:tc>
        <w:tc>
          <w:tcPr/>
          <w:p>
            <w:pPr>
              <w:pStyle w:val="Compact"/>
              <w:jc w:val="left"/>
            </w:pPr>
            <w:r>
              <w:t xml:space="preserve">Documented wide spread across SOPs (Pecson et al., 2021; Yang et al., 2024)</w:t>
            </w:r>
          </w:p>
        </w:tc>
        <w:tc>
          <w:tcPr/>
          <w:p>
            <w:pPr>
              <w:pStyle w:val="Compact"/>
              <w:jc w:val="left"/>
            </w:pPr>
            <w:r>
              <w:t xml:space="preserve">Batch date, laboratory identity</w:t>
            </w:r>
          </w:p>
        </w:tc>
        <w:tc>
          <w:tcPr/>
          <w:p>
            <w:pPr>
              <w:pStyle w:val="Compact"/>
              <w:jc w:val="left"/>
            </w:pPr>
            <w:r>
              <w:t xml:space="preserve">Random-effects/hierarchical model (§8.9)</w:t>
            </w:r>
          </w:p>
        </w:tc>
        <w:tc>
          <w:tcPr/>
          <w:p>
            <w:pPr>
              <w:pStyle w:val="Compact"/>
              <w:jc w:val="left"/>
            </w:pPr>
            <w:r>
              <w:t xml:space="preserve">Shared reference standards, inter-lab calibration</w:t>
            </w:r>
          </w:p>
        </w:tc>
        <w:tc>
          <w:tcPr/>
          <w:p>
            <w:pPr>
              <w:pStyle w:val="Compact"/>
              <w:jc w:val="left"/>
            </w:pPr>
            <w:r>
              <w:t xml:space="preserve">Method effect mistaken for temporal/spatial signal (§5.5)</w:t>
            </w:r>
          </w:p>
        </w:tc>
      </w:tr>
      <w:tr>
        <w:tc>
          <w:tcPr/>
          <w:p>
            <w:pPr>
              <w:pStyle w:val="Compact"/>
              <w:jc w:val="left"/>
            </w:pPr>
            <w:r>
              <w:t xml:space="preserve">LOD/LOQ censoring (§8.4, §8.11)</w:t>
            </w:r>
          </w:p>
        </w:tc>
        <w:tc>
          <w:tcPr/>
          <w:p>
            <w:pPr>
              <w:pStyle w:val="Compact"/>
              <w:jc w:val="left"/>
            </w:pPr>
            <w:r>
              <w:t xml:space="preserve">Information loss / missingness</w:t>
            </w:r>
          </w:p>
        </w:tc>
        <w:tc>
          <w:tcPr/>
          <w:p>
            <w:pPr>
              <w:pStyle w:val="Compact"/>
              <w:jc w:val="left"/>
            </w:pPr>
            <w:r>
              <w:t xml:space="preserve">Left- or interval-censored, not a point value</w:t>
            </w:r>
          </w:p>
        </w:tc>
        <w:tc>
          <w:tcPr/>
          <w:p>
            <w:pPr>
              <w:pStyle w:val="Compact"/>
              <w:jc w:val="left"/>
            </w:pPr>
            <w:r>
              <w:t xml:space="preserve">Prevalence, dilution (rainfall)</w:t>
            </w:r>
          </w:p>
        </w:tc>
        <w:tc>
          <w:tcPr/>
          <w:p>
            <w:pPr>
              <w:pStyle w:val="Compact"/>
              <w:jc w:val="left"/>
            </w:pPr>
            <w:r>
              <w:t xml:space="preserve">Tobit, censored likelihood, multiple imputation, Bayesian censoring (§8.11)</w:t>
            </w:r>
          </w:p>
        </w:tc>
        <w:tc>
          <w:tcPr/>
          <w:p>
            <w:pPr>
              <w:pStyle w:val="Compact"/>
              <w:jc w:val="left"/>
            </w:pPr>
            <w:r>
              <w:t xml:space="preserve">Improved analytical sensitivity; report censoring rate</w:t>
            </w:r>
          </w:p>
        </w:tc>
        <w:tc>
          <w:tcPr/>
          <w:p>
            <w:pPr>
              <w:pStyle w:val="Compact"/>
              <w:jc w:val="left"/>
            </w:pPr>
            <w:r>
              <w:t xml:space="preserve">Bias, direction depends on substitution convention</w:t>
            </w:r>
          </w:p>
        </w:tc>
      </w:tr>
      <w:tr>
        <w:tc>
          <w:tcPr/>
          <w:p>
            <w:pPr>
              <w:pStyle w:val="Compact"/>
              <w:jc w:val="left"/>
            </w:pPr>
            <w:r>
              <w:t xml:space="preserve">Target/normalizer covariance (§8.5, §6.6)</w:t>
            </w:r>
          </w:p>
        </w:tc>
        <w:tc>
          <w:tcPr/>
          <w:p>
            <w:pPr>
              <w:pStyle w:val="Compact"/>
              <w:jc w:val="left"/>
            </w:pPr>
            <w:r>
              <w:t xml:space="preserve">Correlated measurement error</w:t>
            </w:r>
          </w:p>
        </w:tc>
        <w:tc>
          <w:tcPr/>
          <w:p>
            <w:pPr>
              <w:pStyle w:val="Compact"/>
              <w:jc w:val="left"/>
            </w:pPr>
            <w:r>
              <w:t xml:space="preserve">n/a — a covariance term, not a marginal distribution</w:t>
            </w:r>
          </w:p>
        </w:tc>
        <w:tc>
          <w:tcPr/>
          <w:p>
            <w:pPr>
              <w:pStyle w:val="Compact"/>
              <w:jc w:val="left"/>
            </w:pPr>
            <w:r>
              <w:t xml:space="preserve">By definition, this row</w:t>
            </w:r>
            <w:r>
              <w:t xml:space="preserve"> </w:t>
            </w:r>
            <w:r>
              <w:rPr>
                <w:iCs/>
                <w:i/>
              </w:rPr>
              <w:t xml:space="preserve">is</w:t>
            </w:r>
            <w:r>
              <w:t xml:space="preserve"> </w:t>
            </w:r>
            <w:r>
              <w:t xml:space="preserve">a correlation</w:t>
            </w:r>
          </w:p>
        </w:tc>
        <w:tc>
          <w:tcPr/>
          <w:p>
            <w:pPr>
              <w:pStyle w:val="Compact"/>
              <w:jc w:val="left"/>
            </w:pPr>
            <w:r>
              <w:t xml:space="preserve">Explicit covariance term in delta method or joint MC sampling</w:t>
            </w:r>
          </w:p>
        </w:tc>
        <w:tc>
          <w:tcPr/>
          <w:p>
            <w:pPr>
              <w:pStyle w:val="Compact"/>
              <w:jc w:val="left"/>
            </w:pPr>
            <w:r>
              <w:t xml:space="preserve">Shared-protocol co-analysis with documented covariance</w:t>
            </w:r>
          </w:p>
        </w:tc>
        <w:tc>
          <w:tcPr/>
          <w:p>
            <w:pPr>
              <w:pStyle w:val="Compact"/>
              <w:jc w:val="left"/>
            </w:pPr>
            <w:r>
              <w:t xml:space="preserve">Ratio uncertainty over- or under-stated depending on covariance sign</w:t>
            </w:r>
          </w:p>
        </w:tc>
      </w:tr>
      <w:tr>
        <w:tc>
          <w:tcPr/>
          <w:p>
            <w:pPr>
              <w:pStyle w:val="Compact"/>
              <w:jc w:val="left"/>
            </w:pPr>
            <w:r>
              <w:t xml:space="preserve">Structural model choice (§8.12, §7.0)</w:t>
            </w:r>
          </w:p>
        </w:tc>
        <w:tc>
          <w:tcPr/>
          <w:p>
            <w:pPr>
              <w:pStyle w:val="Compact"/>
              <w:jc w:val="left"/>
            </w:pPr>
            <w:r>
              <w:t xml:space="preserve">Structural uncertainty</w:t>
            </w:r>
          </w:p>
        </w:tc>
        <w:tc>
          <w:tcPr/>
          <w:p>
            <w:pPr>
              <w:pStyle w:val="Compact"/>
              <w:jc w:val="left"/>
            </w:pPr>
            <w:r>
              <w:t xml:space="preserve">n/a — discrete choice among candidate structures</w:t>
            </w:r>
          </w:p>
        </w:tc>
        <w:tc>
          <w:tcPr/>
          <w:p>
            <w:pPr>
              <w:pStyle w:val="Compact"/>
              <w:jc w:val="left"/>
            </w:pPr>
            <w:r>
              <w:t xml:space="preserve">Not a parameter; orthogonal axis</w:t>
            </w:r>
          </w:p>
        </w:tc>
        <w:tc>
          <w:tcPr/>
          <w:p>
            <w:pPr>
              <w:pStyle w:val="Compact"/>
              <w:jc w:val="left"/>
            </w:pPr>
            <w:r>
              <w:t xml:space="preserve">Ensemble averaging, Bayesian model averaging, scenario envelopes</w:t>
            </w:r>
          </w:p>
        </w:tc>
        <w:tc>
          <w:tcPr/>
          <w:p>
            <w:pPr>
              <w:pStyle w:val="Compact"/>
              <w:jc w:val="left"/>
            </w:pPr>
            <w:r>
              <w:t xml:space="preserve">Multi-structure comparison (rarely performed per Table 5)</w:t>
            </w:r>
          </w:p>
        </w:tc>
        <w:tc>
          <w:tcPr/>
          <w:p>
            <w:pPr>
              <w:pStyle w:val="Compact"/>
              <w:jc w:val="left"/>
            </w:pPr>
            <w:r>
              <w:t xml:space="preserve">Confidently wrong point estimate (§7.0’s structural-adequacy failure)</w:t>
            </w:r>
          </w:p>
        </w:tc>
      </w:tr>
      <w:tr>
        <w:tc>
          <w:tcPr/>
          <w:p>
            <w:pPr>
              <w:pStyle w:val="Compact"/>
              <w:jc w:val="left"/>
            </w:pPr>
            <w:r>
              <w:t xml:space="preserve">Reference/clinical data uncertainty (§8.13, §7.5)</w:t>
            </w:r>
          </w:p>
        </w:tc>
        <w:tc>
          <w:tcPr/>
          <w:p>
            <w:pPr>
              <w:pStyle w:val="Compact"/>
              <w:jc w:val="left"/>
            </w:pPr>
            <w:r>
              <w:t xml:space="preserve">Epistemic, external to WBE chain</w:t>
            </w:r>
          </w:p>
        </w:tc>
        <w:tc>
          <w:tcPr/>
          <w:p>
            <w:pPr>
              <w:pStyle w:val="Compact"/>
              <w:jc w:val="left"/>
            </w:pPr>
            <w:r>
              <w:t xml:space="preserve">Ascertainment-dependent, itself time-varying</w:t>
            </w:r>
          </w:p>
        </w:tc>
        <w:tc>
          <w:tcPr/>
          <w:p>
            <w:pPr>
              <w:pStyle w:val="Compact"/>
              <w:jc w:val="left"/>
            </w:pPr>
            <w:r>
              <w:t xml:space="preserve">Testing policy, health-seeking behavior (§3.1)</w:t>
            </w:r>
          </w:p>
        </w:tc>
        <w:tc>
          <w:tcPr/>
          <w:p>
            <w:pPr>
              <w:pStyle w:val="Compact"/>
              <w:jc w:val="left"/>
            </w:pPr>
            <w:r>
              <w:t xml:space="preserve">Joint modeling of both uncertain series, not one-sided validation</w:t>
            </w:r>
          </w:p>
        </w:tc>
        <w:tc>
          <w:tcPr/>
          <w:p>
            <w:pPr>
              <w:pStyle w:val="Compact"/>
              <w:jc w:val="left"/>
            </w:pPr>
            <w:r>
              <w:t xml:space="preserve">Independent testing-rate data</w:t>
            </w:r>
          </w:p>
        </w:tc>
        <w:tc>
          <w:tcPr/>
          <w:p>
            <w:pPr>
              <w:pStyle w:val="Compact"/>
              <w:jc w:val="left"/>
            </w:pPr>
            <w:r>
              <w:t xml:space="preserve">Apparent WBE</w:t>
            </w:r>
            <w:r>
              <w:t xml:space="preserve"> </w:t>
            </w:r>
            <w:r>
              <w:t xml:space="preserve">“</w:t>
            </w:r>
            <w:r>
              <w:t xml:space="preserve">failure</w:t>
            </w:r>
            <w:r>
              <w:t xml:space="preserve">”</w:t>
            </w:r>
            <w:r>
              <w:t xml:space="preserve"> </w:t>
            </w:r>
            <w:r>
              <w:t xml:space="preserve">that is actually reference-data uncertainty</w:t>
            </w:r>
          </w:p>
        </w:tc>
      </w:tr>
    </w:tbl>
    <w:bookmarkEnd w:id="87"/>
    <w:bookmarkStart w:id="88" w:name="X482e4f177158e526117eafaebd7e4ab4d8320d0"/>
    <w:p>
      <w:pPr>
        <w:pStyle w:val="Heading3"/>
      </w:pPr>
      <w:r>
        <w:t xml:space="preserve">Box — Why Monte Carlo Simulation Does Not Solve Model Misspecification</w:t>
      </w:r>
    </w:p>
    <w:p>
      <w:pPr>
        <w:pStyle w:val="BlockText"/>
      </w:pPr>
      <w:r>
        <w:t xml:space="preserve">Monte Carlo simulation (§8.7) answers one question precisely:</w:t>
      </w:r>
      <w:r>
        <w:t xml:space="preserve"> </w:t>
      </w:r>
      <w:r>
        <w:rPr>
          <w:iCs/>
          <w:i/>
        </w:rPr>
        <w:t xml:space="preserve">given this model structure and these input distributions, what is the resulting output distribution?</w:t>
      </w:r>
      <w:r>
        <w:t xml:space="preserve"> </w:t>
      </w:r>
      <w:r>
        <w:t xml:space="preserve">It does not, and cannot by construction, answer a different and equally important question:</w:t>
      </w:r>
      <w:r>
        <w:t xml:space="preserve"> </w:t>
      </w:r>
      <w:r>
        <w:rPr>
          <w:iCs/>
          <w:i/>
        </w:rPr>
        <w:t xml:space="preserve">is this model structure correct?</w:t>
      </w:r>
      <w:r>
        <w:t xml:space="preserve"> </w:t>
      </w:r>
      <w:r>
        <w:t xml:space="preserve">Running ten thousand simulations of a model that omits combined-sewer-overflow mass loss (§4.2, §6.8) produces a precise, well-characterized distribution for the wrong quantity — the simulation faithfully propagates uncertainty through a structurally inadequate model (§7.0), and the resulting narrow or wide interval says nothing about whether the</w:t>
      </w:r>
      <w:r>
        <w:t xml:space="preserve"> </w:t>
      </w:r>
      <w:r>
        <w:rPr>
          <w:iCs/>
          <w:i/>
        </w:rPr>
        <w:t xml:space="preserve">mean</w:t>
      </w:r>
      <w:r>
        <w:t xml:space="preserve"> </w:t>
      </w:r>
      <w:r>
        <w:t xml:space="preserve">of that interval is anywhere near correct. This is not a hypothetical concern: §7.4’s Table 5 audit found that of the primary WBE modelling studies surveyed for this review, uncertainty propagation and structural-adequacy testing were performed by substantially different, and mostly non-overlapping, subsets of studies — precise uncertainty quantification and correct model structure are, in this evidence base, largely independent achievements, not a package deal. The only remedy is §8.12’s structural-uncertainty apparatus — comparing across model structures, not running more simulations within one — and the only honest response to</w:t>
      </w:r>
      <w:r>
        <w:t xml:space="preserve"> </w:t>
      </w:r>
      <w:r>
        <w:rPr>
          <w:iCs/>
          <w:i/>
        </w:rPr>
        <w:t xml:space="preserve">not</w:t>
      </w:r>
      <w:r>
        <w:t xml:space="preserve"> </w:t>
      </w:r>
      <w:r>
        <w:t xml:space="preserve">having done this comparison is naming it as an unaddressed limitation, not implying that a narrow Monte Carlo interval has already covered it.</w:t>
      </w:r>
    </w:p>
    <w:bookmarkEnd w:id="88"/>
    <w:bookmarkStart w:id="89" w:name="Xa514b353e3c80f137126dc15ea561d82a8c21c5"/>
    <w:p>
      <w:pPr>
        <w:pStyle w:val="Heading3"/>
      </w:pPr>
      <w:r>
        <w:t xml:space="preserve">Box — How to Report Nondetects and Censored Wastewater Data</w:t>
      </w:r>
    </w:p>
    <w:p>
      <w:pPr>
        <w:pStyle w:val="BlockText"/>
      </w:pPr>
      <w:r>
        <w:t xml:space="preserve">Per §8.11: (1) State the LOD and LOQ explicitly, and how each was determined (not just cited from an assay’s specification sheet, since the</w:t>
      </w:r>
      <w:r>
        <w:t xml:space="preserve"> </w:t>
      </w:r>
      <w:r>
        <w:rPr>
          <w:iCs/>
          <w:i/>
        </w:rPr>
        <w:t xml:space="preserve">process</w:t>
      </w:r>
      <w:r>
        <w:t xml:space="preserve"> </w:t>
      </w:r>
      <w:r>
        <w:t xml:space="preserve">limit of detection, §5.5, can differ from the assay’s theoretical chemical detection limit). (2) Report the censoring rate — what fraction of samples fell below LOD or between LOD and LOQ — since this rate itself determines which statistical methods remain valid (heavily censored datasets, e.g., &gt;60–70% nondetect, strain even principled methods, per general environmental-statistics practice). (3) State which method was used to handle censored values, by name (Tobit, censored likelihood, multiple imputation, Bayesian censoring, or — if a substitution convention was used — which one, LOD/2,</w:t>
      </w:r>
      <w:r>
        <w:t xml:space="preserve"> </w:t>
      </w:r>
      <m:oMath>
        <m:r>
          <m:rPr>
            <m:sty m:val="p"/>
          </m:rPr>
          <m:t>L</m:t>
        </m:r>
        <m:r>
          <m:rPr>
            <m:sty m:val="p"/>
          </m:rPr>
          <m:t>O</m:t>
        </m:r>
        <m:r>
          <m:rPr>
            <m:sty m:val="p"/>
          </m:rPr>
          <m:t>D</m:t>
        </m:r>
        <m:r>
          <m:rPr>
            <m:sty m:val="p"/>
          </m:rPr>
          <m:t>/</m:t>
        </m:r>
        <m:rad>
          <m:radPr>
            <m:degHide m:val="on"/>
          </m:radPr>
          <m:deg/>
          <m:e>
            <m:r>
              <m:t>2</m:t>
            </m:r>
          </m:e>
        </m:rad>
      </m:oMath>
      <w:r>
        <w:t xml:space="preserve">, or another, stated explicitly rather than left implicit). (4) Do not report a trend line or correlation computed after silently substituting zero or the LOD for every nondetect without stating this was done — a reader cannot assess bias risk in an analysis whose censoring treatment is invisible. (5) Where feasible, compare results under at least two different censoring-treatment methods (as Safford et al., 2022 did) and report whether conclusions are sensitive to the choice — sensitivity to this specific analytic decision is itself a finding worth reporting, not a nuisance to be hidden behind a single chosen method.</w:t>
      </w:r>
    </w:p>
    <w:bookmarkEnd w:id="89"/>
    <w:bookmarkStart w:id="96" w:name="Xeb8af41a5ccd1b810658a2499499fb481b29523"/>
    <w:p>
      <w:pPr>
        <w:pStyle w:val="Heading3"/>
      </w:pPr>
      <w:r>
        <w:t xml:space="preserve">Figure 2 and Figure 3 (delivered as separate image files alongside this document)</w:t>
      </w:r>
    </w:p>
    <w:p>
      <w:pPr>
        <w:pStyle w:val="CaptionedFigure"/>
      </w:pPr>
      <w:r>
        <w:drawing>
          <wp:inline>
            <wp:extent cx="6667500" cy="3686895"/>
            <wp:effectExtent b="0" l="0" r="0" t="0"/>
            <wp:docPr descr="Figure 2. Uncertainty propagation across the source–sewer–measurement–normalization–reconstruction chain, with the §8.13 law-of-total-variance decomposition indicated at each stage." title="" id="91" name="Picture"/>
            <a:graphic>
              <a:graphicData uri="http://schemas.openxmlformats.org/drawingml/2006/picture">
                <pic:pic>
                  <pic:nvPicPr>
                    <pic:cNvPr descr="WBE_Fig2_Uncertainty_Chain.png" id="92" name="Picture"/>
                    <pic:cNvPicPr>
                      <a:picLocks noChangeArrowheads="1" noChangeAspect="1"/>
                    </pic:cNvPicPr>
                  </pic:nvPicPr>
                  <pic:blipFill>
                    <a:blip r:embed="rId90"/>
                    <a:stretch>
                      <a:fillRect/>
                    </a:stretch>
                  </pic:blipFill>
                  <pic:spPr bwMode="auto">
                    <a:xfrm>
                      <a:off x="0" y="0"/>
                      <a:ext cx="6667500" cy="3686895"/>
                    </a:xfrm>
                    <a:prstGeom prst="rect">
                      <a:avLst/>
                    </a:prstGeom>
                    <a:noFill/>
                    <a:ln w="9525">
                      <a:noFill/>
                      <a:headEnd/>
                      <a:tailEnd/>
                    </a:ln>
                  </pic:spPr>
                </pic:pic>
              </a:graphicData>
            </a:graphic>
          </wp:inline>
        </w:drawing>
      </w:r>
    </w:p>
    <w:p>
      <w:pPr>
        <w:pStyle w:val="ImageCaption"/>
      </w:pPr>
      <w:r>
        <w:t xml:space="preserve">Figure 2. Uncertainty propagation across the source–sewer–measurement–normalization–reconstruction chain, with the §8.13 law-of-total-variance decomposition indicated at each stage.</w:t>
      </w:r>
    </w:p>
    <w:p>
      <w:pPr>
        <w:pStyle w:val="CaptionedFigure"/>
      </w:pPr>
      <w:r>
        <w:drawing>
          <wp:inline>
            <wp:extent cx="6667500" cy="6667500"/>
            <wp:effectExtent b="0" l="0" r="0" t="0"/>
            <wp:docPr descr="Figure 3. Uncertainty budget and correlated-parameter network, summarizing Table 6’s dependency structure." title="" id="94" name="Picture"/>
            <a:graphic>
              <a:graphicData uri="http://schemas.openxmlformats.org/drawingml/2006/picture">
                <pic:pic>
                  <pic:nvPicPr>
                    <pic:cNvPr descr="WBE_Fig3_Uncertainty_Budget_Network.png" id="95" name="Picture"/>
                    <pic:cNvPicPr>
                      <a:picLocks noChangeArrowheads="1" noChangeAspect="1"/>
                    </pic:cNvPicPr>
                  </pic:nvPicPr>
                  <pic:blipFill>
                    <a:blip r:embed="rId93"/>
                    <a:stretch>
                      <a:fillRect/>
                    </a:stretch>
                  </pic:blipFill>
                  <pic:spPr bwMode="auto">
                    <a:xfrm>
                      <a:off x="0" y="0"/>
                      <a:ext cx="6667500" cy="6667500"/>
                    </a:xfrm>
                    <a:prstGeom prst="rect">
                      <a:avLst/>
                    </a:prstGeom>
                    <a:noFill/>
                    <a:ln w="9525">
                      <a:noFill/>
                      <a:headEnd/>
                      <a:tailEnd/>
                    </a:ln>
                  </pic:spPr>
                </pic:pic>
              </a:graphicData>
            </a:graphic>
          </wp:inline>
        </w:drawing>
      </w:r>
    </w:p>
    <w:p>
      <w:pPr>
        <w:pStyle w:val="ImageCaption"/>
      </w:pPr>
      <w:r>
        <w:t xml:space="preserve">Figure 3. Uncertainty budget and correlated-parameter network, summarizing Table 6’s dependency structure.</w:t>
      </w:r>
    </w:p>
    <w:p>
      <w:r>
        <w:pict>
          <v:rect style="width:0;height:1.5pt" o:hralign="center" o:hrstd="t" o:hr="t"/>
        </w:pict>
      </w:r>
    </w:p>
    <w:bookmarkEnd w:id="96"/>
    <w:bookmarkEnd w:id="97"/>
    <w:bookmarkStart w:id="110" w:name="X2d376d5d357d2561729d22e7090a2e57db67800"/>
    <w:p>
      <w:pPr>
        <w:pStyle w:val="Heading2"/>
      </w:pPr>
      <w:r>
        <w:t xml:space="preserve">9. Integration with Public-Health Surveillance and Decision-Making</w:t>
      </w:r>
    </w:p>
    <w:p>
      <w:pPr>
        <w:pStyle w:val="FirstParagraph"/>
      </w:pPr>
      <w:r>
        <w:rPr>
          <w:bCs/>
          <w:b/>
        </w:rPr>
        <w:t xml:space="preserve">Status note specific to this chapter, restated from the top-of-document notice because it matters more here than anywhere else so far:</w:t>
      </w:r>
      <w:r>
        <w:t xml:space="preserve"> </w:t>
      </w:r>
      <w:r>
        <w:t xml:space="preserve">Chapter 9 is a</w:t>
      </w:r>
      <w:r>
        <w:t xml:space="preserve"> </w:t>
      </w:r>
      <w:r>
        <w:rPr>
          <w:bCs/>
          <w:b/>
        </w:rPr>
        <w:t xml:space="preserve">conceptual working draft</w:t>
      </w:r>
      <w:r>
        <w:t xml:space="preserve">, exactly like every other chapter in this document — it has not undergone a systematic literature search, full-text citation verification, peer review, or co-author sign-off, and its evidence base is</w:t>
      </w:r>
      <w:r>
        <w:t xml:space="preserve"> </w:t>
      </w:r>
      <w:r>
        <w:rPr>
          <w:bCs/>
          <w:b/>
        </w:rPr>
        <w:t xml:space="preserve">retrieved and metadata-checked source material</w:t>
      </w:r>
      <w:r>
        <w:t xml:space="preserve">, not verified source material: every source below was found via general-purpose web search, screened by title/snippet, and cross-referenced across independent search results only for bibliographic metadata (author, year, venue, DOI/identifier) — never read in full text (§2.3). This review distinguishes four different, non-interchangeable confidence levels, applied consistently below and in the companion Citation Verification Table:</w:t>
      </w:r>
      <w:r>
        <w:t xml:space="preserve"> </w:t>
      </w:r>
      <w:r>
        <w:rPr>
          <w:bCs/>
          <w:b/>
        </w:rPr>
        <w:t xml:space="preserve">metadata verified</w:t>
      </w:r>
      <w:r>
        <w:t xml:space="preserve"> </w:t>
      </w:r>
      <w:r>
        <w:t xml:space="preserve">(author list, year, venue, and identifier cross-confirmed across independent sources);</w:t>
      </w:r>
      <w:r>
        <w:t xml:space="preserve"> </w:t>
      </w:r>
      <w:r>
        <w:rPr>
          <w:bCs/>
          <w:b/>
        </w:rPr>
        <w:t xml:space="preserve">abstract/snippet checked</w:t>
      </w:r>
      <w:r>
        <w:t xml:space="preserve"> </w:t>
      </w:r>
      <w:r>
        <w:t xml:space="preserve">(a search-engine-summarized abstract or snippet was reviewed, but not the full text);</w:t>
      </w:r>
      <w:r>
        <w:t xml:space="preserve"> </w:t>
      </w:r>
      <w:r>
        <w:rPr>
          <w:bCs/>
          <w:b/>
        </w:rPr>
        <w:t xml:space="preserve">full-text verified</w:t>
      </w:r>
      <w:r>
        <w:t xml:space="preserve"> </w:t>
      </w:r>
      <w:r>
        <w:t xml:space="preserve">(the primary source itself was read —</w:t>
      </w:r>
      <w:r>
        <w:t xml:space="preserve"> </w:t>
      </w:r>
      <w:r>
        <w:rPr>
          <w:bCs/>
          <w:b/>
        </w:rPr>
        <w:t xml:space="preserve">zero sources in this entire review meet this bar, including in Chapter 9</w:t>
      </w:r>
      <w:r>
        <w:t xml:space="preserve">); and</w:t>
      </w:r>
      <w:r>
        <w:t xml:space="preserve"> </w:t>
      </w:r>
      <w:r>
        <w:rPr>
          <w:bCs/>
          <w:b/>
        </w:rPr>
        <w:t xml:space="preserve">claim verified</w:t>
      </w:r>
      <w:r>
        <w:t xml:space="preserve"> </w:t>
      </w:r>
      <w:r>
        <w:t xml:space="preserve">(the</w:t>
      </w:r>
      <w:r>
        <w:t xml:space="preserve"> </w:t>
      </w:r>
      <w:r>
        <w:rPr>
          <w:iCs/>
          <w:i/>
        </w:rPr>
        <w:t xml:space="preserve">specific quantitative or comparative claim</w:t>
      </w:r>
      <w:r>
        <w:t xml:space="preserve"> </w:t>
      </w:r>
      <w:r>
        <w:t xml:space="preserve">attributed to a source, not just its existence, has been independently confirmed — also zero in this review to date). A source having its metadata verified says nothing about whether the claim attributed to it is verified; the two are tracked separately throughout this chapter and its companion table, and no source below is described as</w:t>
      </w:r>
      <w:r>
        <w:t xml:space="preserve"> </w:t>
      </w:r>
      <w:r>
        <w:t xml:space="preserve">“</w:t>
      </w:r>
      <w:r>
        <w:t xml:space="preserve">verified</w:t>
      </w:r>
      <w:r>
        <w:t xml:space="preserve">”</w:t>
      </w:r>
      <w:r>
        <w:t xml:space="preserve"> </w:t>
      </w:r>
      <w:r>
        <w:t xml:space="preserve">without one of these four qualifiers attached.</w:t>
      </w:r>
      <w:r>
        <w:t xml:space="preserve"> </w:t>
      </w:r>
      <w:r>
        <w:rPr>
          <w:bCs/>
          <w:b/>
        </w:rPr>
        <w:t xml:space="preserve">One source considered this round did not clear even the metadata-verified bar and has been withdrawn from confident in-text citation and from Table 7 as a result</w:t>
      </w:r>
      <w:r>
        <w:t xml:space="preserve"> </w:t>
      </w:r>
      <w:r>
        <w:t xml:space="preserve">([56] — see §9.9’s note below and the companion verification table); a second source initially flagged with the same caution was re-searched and its co-authorship independently corroborated by a second, separate search result, meeting this review’s ordinary</w:t>
      </w:r>
      <w:r>
        <w:t xml:space="preserve"> </w:t>
      </w:r>
      <w:r>
        <w:t xml:space="preserve">“</w:t>
      </w:r>
      <w:r>
        <w:t xml:space="preserve">confirmed lead author(s), full list not yet complete</w:t>
      </w:r>
      <w:r>
        <w:t xml:space="preserve">”</w:t>
      </w:r>
      <w:r>
        <w:t xml:space="preserve"> </w:t>
      </w:r>
      <w:r>
        <w:t xml:space="preserve">citation bar ([57]).</w:t>
      </w:r>
    </w:p>
    <w:bookmarkStart w:id="98" w:name="X01e2a48b777634cb02df6129339cd9e6775a544"/>
    <w:p>
      <w:pPr>
        <w:pStyle w:val="Heading3"/>
      </w:pPr>
      <w:r>
        <w:t xml:space="preserve">9.0 What Chapter 8 Hands to Chapter 9, and What Chapter 9 Does With It</w:t>
      </w:r>
    </w:p>
    <w:p>
      <w:pPr>
        <w:pStyle w:val="FirstParagraph"/>
      </w:pPr>
      <w:r>
        <w:t xml:space="preserve">Chapter 8 closed with a quantity this review has not yet had reason to name directly: not a point estimate, not even a single interval, but a full</w:t>
      </w:r>
      <w:r>
        <w:t xml:space="preserve"> </w:t>
      </w:r>
      <w:r>
        <w:rPr>
          <w:bCs/>
          <w:b/>
        </w:rPr>
        <w:t xml:space="preserve">posterior/interval distribution</w:t>
      </w:r>
      <w:r>
        <w:t xml:space="preserve"> </w:t>
      </w:r>
      <w:r>
        <w:t xml:space="preserve">over the reconstructed source quantity</w:t>
      </w:r>
      <w:r>
        <w:t xml:space="preserve"> </w:t>
      </w:r>
      <m:oMath>
        <m:r>
          <m:t>X</m:t>
        </m:r>
        <m:d>
          <m:dPr>
            <m:begChr m:val="("/>
            <m:endChr m:val=")"/>
            <m:sepChr m:val=""/>
            <m:grow/>
          </m:dPr>
          <m:e>
            <m:r>
              <m:t>τ</m:t>
            </m:r>
          </m:e>
        </m:d>
      </m:oMath>
      <w:r>
        <w:t xml:space="preserve"> </w:t>
      </w:r>
      <w:r>
        <w:t xml:space="preserve">— or, where §7.0’s five criteria were not jointly satisfiable, an explicit downgrade to a qualitative trend or exceedance-probability statement (§7.1.2, §8.14) — together with a decomposition of how much of that distribution’s width is attributable to which upstream stage (§8.13). That is a scientific output. It is not, by itself, a public health action.</w:t>
      </w:r>
    </w:p>
    <w:p>
      <w:pPr>
        <w:pStyle w:val="BodyText"/>
      </w:pPr>
      <w:r>
        <w:t xml:space="preserve">Chapter 9 asks the question this review has deferred since §1’s opening framing of WBE as an inverse problem:</w:t>
      </w:r>
      <w:r>
        <w:t xml:space="preserve"> </w:t>
      </w:r>
      <w:r>
        <w:rPr>
          <w:bCs/>
          <w:b/>
        </w:rPr>
        <w:t xml:space="preserve">given this quantity, with its full uncertainty honestly disclosed, what should a public health system actually</w:t>
      </w:r>
      <w:r>
        <w:rPr>
          <w:bCs/>
          <w:b/>
        </w:rPr>
        <w:t xml:space="preserve"> </w:t>
      </w:r>
      <w:r>
        <w:rPr>
          <w:iCs/>
          <w:i/>
          <w:bCs/>
          <w:b/>
        </w:rPr>
        <w:t xml:space="preserve">do</w:t>
      </w:r>
      <w:r>
        <w:rPr>
          <w:bCs/>
          <w:b/>
        </w:rPr>
        <w:t xml:space="preserve">?</w:t>
      </w:r>
      <w:r>
        <w:t xml:space="preserve"> </w:t>
      </w:r>
      <w:r>
        <w:t xml:space="preserve">This is not a sixth stage of signal distortion in the sense of §3.0’s amplitude/temporal/spatial taxonomy — nothing here further corrupts or reconstructs</w:t>
      </w:r>
      <w:r>
        <w:t xml:space="preserve"> </w:t>
      </w:r>
      <m:oMath>
        <m:r>
          <m:t>X</m:t>
        </m:r>
        <m:d>
          <m:dPr>
            <m:begChr m:val="("/>
            <m:endChr m:val=")"/>
            <m:sepChr m:val=""/>
            <m:grow/>
          </m:dPr>
          <m:e>
            <m:r>
              <m:t>τ</m:t>
            </m:r>
          </m:e>
        </m:d>
      </m:oMath>
      <w:r>
        <w:t xml:space="preserve">. It is a translation layer, converting an epistemic object (a distribution of belief) into an institutional one (a decision, a threshold crossing, a resource allocation, a published dashboard figure), and it introduces its own vocabulary for that translation:</w:t>
      </w:r>
      <w:r>
        <w:t xml:space="preserve"> </w:t>
      </w:r>
      <w:r>
        <w:rPr>
          <w:bCs/>
          <w:b/>
        </w:rPr>
        <w:t xml:space="preserve">surveillance objective</w:t>
      </w:r>
      <w:r>
        <w:t xml:space="preserve"> </w:t>
      </w:r>
      <w:r>
        <w:t xml:space="preserve">(§9.1),</w:t>
      </w:r>
      <w:r>
        <w:t xml:space="preserve"> </w:t>
      </w:r>
      <w:r>
        <w:rPr>
          <w:bCs/>
          <w:b/>
        </w:rPr>
        <w:t xml:space="preserve">decision threshold and its associated error costs</w:t>
      </w:r>
      <w:r>
        <w:t xml:space="preserve"> </w:t>
      </w:r>
      <w:r>
        <w:t xml:space="preserve">(§9.2),</w:t>
      </w:r>
      <w:r>
        <w:t xml:space="preserve"> </w:t>
      </w:r>
      <w:r>
        <w:rPr>
          <w:bCs/>
          <w:b/>
        </w:rPr>
        <w:t xml:space="preserve">data fusion</w:t>
      </w:r>
      <w:r>
        <w:t xml:space="preserve"> </w:t>
      </w:r>
      <w:r>
        <w:t xml:space="preserve">(§9.3–9.4),</w:t>
      </w:r>
      <w:r>
        <w:t xml:space="preserve"> </w:t>
      </w:r>
      <w:r>
        <w:rPr>
          <w:bCs/>
          <w:b/>
        </w:rPr>
        <w:t xml:space="preserve">the substitution boundary</w:t>
      </w:r>
      <w:r>
        <w:t xml:space="preserve"> </w:t>
      </w:r>
      <w:r>
        <w:t xml:space="preserve">(§9.5),</w:t>
      </w:r>
      <w:r>
        <w:t xml:space="preserve"> </w:t>
      </w:r>
      <w:r>
        <w:rPr>
          <w:bCs/>
          <w:b/>
        </w:rPr>
        <w:t xml:space="preserve">actionability</w:t>
      </w:r>
      <w:r>
        <w:t xml:space="preserve"> </w:t>
      </w:r>
      <w:r>
        <w:t xml:space="preserve">(§9.7), and a return, from a different angle, to the</w:t>
      </w:r>
      <w:r>
        <w:t xml:space="preserve"> </w:t>
      </w:r>
      <w:r>
        <w:rPr>
          <w:bCs/>
          <w:b/>
        </w:rPr>
        <w:t xml:space="preserve">minimum-reporting-standard</w:t>
      </w:r>
      <w:r>
        <w:t xml:space="preserve"> </w:t>
      </w:r>
      <w:r>
        <w:t xml:space="preserve">device this review has used at the close of every methodological chapter since Chapter 5 (§9.8).</w:t>
      </w:r>
    </w:p>
    <w:bookmarkEnd w:id="98"/>
    <w:bookmarkStart w:id="99" w:name="three-surveillance-objectives-one-signal"/>
    <w:p>
      <w:pPr>
        <w:pStyle w:val="Heading3"/>
      </w:pPr>
      <w:r>
        <w:t xml:space="preserve">9.1 Three Surveillance Objectives, One Signal</w:t>
      </w:r>
    </w:p>
    <w:p>
      <w:pPr>
        <w:pStyle w:val="FirstParagraph"/>
      </w:pPr>
      <w:r>
        <w:t xml:space="preserve">§7.1.2 already distinguished three kinds of output a WBE analysis can attempt: a qualitative trend statement, an anomaly/exceedance-probability statement, and an absolute-magnitude reconstruction. This chapter takes that distinction, developed there as a</w:t>
      </w:r>
      <w:r>
        <w:t xml:space="preserve"> </w:t>
      </w:r>
      <w:r>
        <w:rPr>
          <w:iCs/>
          <w:i/>
        </w:rPr>
        <w:t xml:space="preserve">methodological</w:t>
      </w:r>
      <w:r>
        <w:t xml:space="preserve"> </w:t>
      </w:r>
      <w:r>
        <w:t xml:space="preserve">caution about overclaiming precision, and reframes it as an</w:t>
      </w:r>
      <w:r>
        <w:t xml:space="preserve"> </w:t>
      </w:r>
      <w:r>
        <w:rPr>
          <w:iCs/>
          <w:i/>
        </w:rPr>
        <w:t xml:space="preserve">institutional design</w:t>
      </w:r>
      <w:r>
        <w:t xml:space="preserve"> </w:t>
      </w:r>
      <w:r>
        <w:t xml:space="preserve">question: these three outputs correspond to three genuinely different public health decision problems, each with a different tolerance for the uncertainty structure Chapter 8 formalized.</w:t>
      </w:r>
    </w:p>
    <w:p>
      <w:pPr>
        <w:numPr>
          <w:ilvl w:val="0"/>
          <w:numId w:val="1027"/>
        </w:numPr>
        <w:pStyle w:val="Compact"/>
      </w:pPr>
      <w:r>
        <w:rPr>
          <w:bCs/>
          <w:b/>
        </w:rPr>
        <w:t xml:space="preserve">Trend monitoring</w:t>
      </w:r>
      <w:r>
        <w:t xml:space="preserve"> </w:t>
      </w:r>
      <w:r>
        <w:t xml:space="preserve">asks only whether a population-level quantity is going up, down, or flat, without committing to</w:t>
      </w:r>
      <w:r>
        <w:t xml:space="preserve"> </w:t>
      </w:r>
      <w:r>
        <w:rPr>
          <w:iCs/>
          <w:i/>
        </w:rPr>
        <w:t xml:space="preserve">how much</w:t>
      </w:r>
      <w:r>
        <w:t xml:space="preserve"> </w:t>
      </w:r>
      <w:r>
        <w:t xml:space="preserve">or</w:t>
      </w:r>
      <w:r>
        <w:t xml:space="preserve"> </w:t>
      </w:r>
      <w:r>
        <w:rPr>
          <w:iCs/>
          <w:i/>
        </w:rPr>
        <w:t xml:space="preserve">why</w:t>
      </w:r>
      <w:r>
        <w:t xml:space="preserve">. Because only the direction (and, at most, the rate) of change matters, trend monitoring is comparatively robust to a systematic bias that stays constant over the monitoring period — a stable recovery-efficiency deficit (§5.5), for instance, shifts every measurement in the series by roughly the same multiplicative factor and cancels out of a slope estimate. It is</w:t>
      </w:r>
      <w:r>
        <w:t xml:space="preserve"> </w:t>
      </w:r>
      <w:r>
        <w:rPr>
          <w:iCs/>
          <w:i/>
        </w:rPr>
        <w:t xml:space="preserve">not</w:t>
      </w:r>
      <w:r>
        <w:t xml:space="preserve"> </w:t>
      </w:r>
      <w:r>
        <w:t xml:space="preserve">robust to a bias that varies systematically with the same thing the trend is trying to detect (§4.2’s rainfall-driven dilution recurring seasonally alongside a seasonal respiratory-pathogen trend is the clearest example already developed in this review) — such a bias can manufacture or mask a trend rather than merely shifting its level.</w:t>
      </w:r>
    </w:p>
    <w:p>
      <w:pPr>
        <w:numPr>
          <w:ilvl w:val="0"/>
          <w:numId w:val="1027"/>
        </w:numPr>
        <w:pStyle w:val="Compact"/>
      </w:pPr>
      <w:r>
        <w:rPr>
          <w:bCs/>
          <w:b/>
        </w:rPr>
        <w:t xml:space="preserve">Anomaly and early-warning detection</w:t>
      </w:r>
      <w:r>
        <w:t xml:space="preserve"> </w:t>
      </w:r>
      <w:r>
        <w:t xml:space="preserve">asks whether the current observation is unusual enough, relative to an established baseline and its expected noise, to warrant investigation — a genuinely distinct objective from trend monitoring, illustrated by a field study finding wastewater surveillance could function as an early-warning system specifically in low-incidence settings, where the surveillance question is</w:t>
      </w:r>
      <w:r>
        <w:t xml:space="preserve"> </w:t>
      </w:r>
      <w:r>
        <w:t xml:space="preserve">“</w:t>
      </w:r>
      <w:r>
        <w:t xml:space="preserve">has something changed here at all,</w:t>
      </w:r>
      <w:r>
        <w:t xml:space="preserve">”</w:t>
      </w:r>
      <w:r>
        <w:t xml:space="preserve"> </w:t>
      </w:r>
      <w:r>
        <w:t xml:space="preserve">not</w:t>
      </w:r>
      <w:r>
        <w:t xml:space="preserve"> </w:t>
      </w:r>
      <w:r>
        <w:t xml:space="preserve">“</w:t>
      </w:r>
      <w:r>
        <w:t xml:space="preserve">by how much</w:t>
      </w:r>
      <w:r>
        <w:t xml:space="preserve">”</w:t>
      </w:r>
      <w:r>
        <w:t xml:space="preserve"> </w:t>
      </w:r>
      <w:r>
        <w:t xml:space="preserve">(Assoum, Lau, Thai, Ahmed, Mueller, Thomas, Choi, Jackson, &amp; Selvey, 2023 — metadata verified, full author list confirmed;</w:t>
      </w:r>
      <w:r>
        <w:t xml:space="preserve"> </w:t>
      </w:r>
      <w:r>
        <w:rPr>
          <w:bCs/>
          <w:b/>
        </w:rPr>
        <w:t xml:space="preserve">specific lead-time/sensitivity figures pending full-text verification, not asserted here</w:t>
      </w:r>
      <w:r>
        <w:t xml:space="preserve">). This is a formal statistical-process-control problem, not a threshold-crossing-by-eye exercise: a detection algorithm tuned on a Gaussian-noise assumption will misbehave against the right-skewed, LOD-censored data this review’s evidence base repeatedly documents as the norm, not the exception, in real wastewater measurements (§8.4, §8.11). A specific transparent, exponentially-weighted-moving-average design for this purpose was identified in this session’s search but is</w:t>
      </w:r>
      <w:r>
        <w:t xml:space="preserve"> </w:t>
      </w:r>
      <w:r>
        <w:rPr>
          <w:bCs/>
          <w:b/>
        </w:rPr>
        <w:t xml:space="preserve">not cited here as supporting evidence</w:t>
      </w:r>
      <w:r>
        <w:t xml:space="preserve"> </w:t>
      </w:r>
      <w:r>
        <w:t xml:space="preserve">— its basic authorship metadata could not be independently confirmed even at the co-author level, below this review’s minimum citation bar; see §9.9 for why the underlying design idea is still worth naming without treating that source as evidence for it.</w:t>
      </w:r>
    </w:p>
    <w:p>
      <w:pPr>
        <w:numPr>
          <w:ilvl w:val="0"/>
          <w:numId w:val="1027"/>
        </w:numPr>
        <w:pStyle w:val="Compact"/>
      </w:pPr>
      <w:r>
        <w:rPr>
          <w:bCs/>
          <w:b/>
        </w:rPr>
        <w:t xml:space="preserve">Absolute-magnitude estimation</w:t>
      </w:r>
      <w:r>
        <w:t xml:space="preserve"> </w:t>
      </w:r>
      <w:r>
        <w:t xml:space="preserve">— how many people are infected, how much of a substance is being consumed — is the most demanding of the three, requiring some meaningful subset of §7.0’s five evidentiary criteria (association, predictive performance, parameter identifiability, state observability, structural adequacy) to actually hold, not merely a correlation with an independent reference series. This review’s Chapter 7 audit (Table 5) already documented that no surveyed method family achieves all five simultaneously in the evidence base assembled here; that finding constrains what absolute-magnitude claims this chapter can responsibly endorse as decision-ready, independent of anything new introduced below.</w:t>
      </w:r>
    </w:p>
    <w:p>
      <w:pPr>
        <w:pStyle w:val="FirstParagraph"/>
      </w:pPr>
      <w:r>
        <w:rPr>
          <w:bCs/>
          <w:b/>
        </w:rPr>
        <w:t xml:space="preserve">The operational consequence, stated directly</w:t>
      </w:r>
      <w:r>
        <w:t xml:space="preserve">: a surveillance program should name which of these three objectives a given wastewater signal is being used for</w:t>
      </w:r>
      <w:r>
        <w:t xml:space="preserve"> </w:t>
      </w:r>
      <w:r>
        <w:rPr>
          <w:iCs/>
          <w:i/>
        </w:rPr>
        <w:t xml:space="preserve">before</w:t>
      </w:r>
      <w:r>
        <w:t xml:space="preserve"> </w:t>
      </w:r>
      <w:r>
        <w:t xml:space="preserve">setting an alert threshold or fusing it with other data — because the correct threshold-design logic (§9.2), the correct fusion strategy (§9.3–9.4), and the correct reporting standard (§9.8) differ by objective, and a single wastewater time series is frequently pressed into service for more than one of these objectives simultaneously without the differing requirements being made explicit, a pattern this review’s evidence base does not show being consistently guarded against.</w:t>
      </w:r>
    </w:p>
    <w:bookmarkEnd w:id="99"/>
    <w:bookmarkStart w:id="100" w:name="X6f8513bfc917b770fd85240fa5185229a62b32f"/>
    <w:p>
      <w:pPr>
        <w:pStyle w:val="Heading3"/>
      </w:pPr>
      <w:r>
        <w:t xml:space="preserve">9.2 Alert-Threshold Design and the Asymmetric Cost of Being Wrong</w:t>
      </w:r>
    </w:p>
    <w:p>
      <w:pPr>
        <w:pStyle w:val="FirstParagraph"/>
      </w:pPr>
      <w:r>
        <w:t xml:space="preserve">§8.14 already introduced the formal decision-theoretic vocabulary — exceedance probability, asymmetric loss, the cost ratio of false alarms to missed detections — as the destination uncertainty propagation is ultimately headed toward. This section makes that machinery concrete for the alert-detection objective specifically.</w:t>
      </w:r>
    </w:p>
    <w:p>
      <w:pPr>
        <w:pStyle w:val="BodyText"/>
      </w:pPr>
      <w:r>
        <w:t xml:space="preserve">An</w:t>
      </w:r>
      <w:r>
        <w:t xml:space="preserve"> </w:t>
      </w:r>
      <w:r>
        <w:t xml:space="preserve">“</w:t>
      </w:r>
      <w:r>
        <w:t xml:space="preserve">alert</w:t>
      </w:r>
      <w:r>
        <w:t xml:space="preserve">”</w:t>
      </w:r>
      <w:r>
        <w:t xml:space="preserve"> </w:t>
      </w:r>
      <w:r>
        <w:t xml:space="preserve">is not a raw data point; it is the output of a detection rule applied to a time series that has already passed through every distortion and uncertainty source in Chapters 3–8. Two contrasting design philosophies illustrate the range of formality possible in current practice. At the simpler end, a design idea encountered in this session’s search — favoring a transparent, auditable statistical-process-control rule (variance stabilization, site-specific baseline normalization, an exponentially weighted moving average to flag sustained increases) over a more complex forecasting model, on the rationale that a rule practitioners can inspect and reproduce is worth more operationally than a marginal gain in predictive sharpness — is worth naming as a design philosophy even though the specific source proposing it does not meet this review’s citation bar (§9.9; not attributed to any numbered reference here). At a more formal end, a classification-based framework that treats outbreak onset and epidemic-peak detection explicitly as</w:t>
      </w:r>
      <w:r>
        <w:t xml:space="preserve"> </w:t>
      </w:r>
      <w:r>
        <w:rPr>
          <w:bCs/>
          <w:b/>
        </w:rPr>
        <w:t xml:space="preserve">event-detection problems</w:t>
      </w:r>
      <w:r>
        <w:t xml:space="preserve"> </w:t>
      </w:r>
      <w:r>
        <w:t xml:space="preserve">— defining a detection interval around each true event to account for timing uncertainty, and applying a Bayesian exponential-growth model for outbreak detection evaluated against 281 U.S. counties’ SARS-CoV-2 wastewater data — reports the wastewater-based approach substantially outperforming an</w:t>
      </w:r>
      <w:r>
        <w:t xml:space="preserve"> </w:t>
      </w:r>
      <m:oMath>
        <m:sSub>
          <m:e>
            <m:r>
              <m:t>R</m:t>
            </m:r>
          </m:e>
          <m:sub>
            <m:r>
              <m:t>t</m:t>
            </m:r>
          </m:sub>
        </m:sSub>
      </m:oMath>
      <w:r>
        <w:t xml:space="preserve">-based clinical-data baseline (sensitivity 0.82, positive predictive value 0.64, versus 0.58 and 0.19 respectively for the best-performing</w:t>
      </w:r>
      <w:r>
        <w:t xml:space="preserve"> </w:t>
      </w:r>
      <m:oMath>
        <m:sSub>
          <m:e>
            <m:r>
              <m:t>R</m:t>
            </m:r>
          </m:e>
          <m:sub>
            <m:r>
              <m:t>t</m:t>
            </m:r>
          </m:sub>
        </m:sSub>
      </m:oMath>
      <w:r>
        <w:t xml:space="preserve"> </w:t>
      </w:r>
      <w:r>
        <w:t xml:space="preserve">variant) (Link, Garrido, et al., 2026, medRxiv preprint — lead and a second author independently corroborated across two separate search results;</w:t>
      </w:r>
      <w:r>
        <w:t xml:space="preserve"> </w:t>
      </w:r>
      <w:r>
        <w:rPr>
          <w:bCs/>
          <w:b/>
        </w:rPr>
        <w:t xml:space="preserve">full author list beyond these two not confirmed, consistent with this review’s standard</w:t>
      </w:r>
      <w:r>
        <w:rPr>
          <w:bCs/>
          <w:b/>
        </w:rPr>
        <w:t xml:space="preserve"> </w:t>
      </w:r>
      <w:r>
        <w:rPr>
          <w:bCs/>
          <w:b/>
        </w:rPr>
        <w:t xml:space="preserve">“</w:t>
      </w:r>
      <w:r>
        <w:rPr>
          <w:bCs/>
          <w:b/>
        </w:rPr>
        <w:t xml:space="preserve">et al.</w:t>
      </w:r>
      <w:r>
        <w:rPr>
          <w:bCs/>
          <w:b/>
        </w:rPr>
        <w:t xml:space="preserve">”</w:t>
      </w:r>
      <w:r>
        <w:rPr>
          <w:bCs/>
          <w:b/>
        </w:rPr>
        <w:t xml:space="preserve"> </w:t>
      </w:r>
      <w:r>
        <w:rPr>
          <w:bCs/>
          <w:b/>
        </w:rPr>
        <w:t xml:space="preserve">citation practice elsewhere; these specific performance figures are pending full-text verification and, per this section’s own argument below, pending confirmation that they transfer to a deployment context different from the one they were calibrated on</w:t>
      </w:r>
      <w:r>
        <w:t xml:space="preserve">).</w:t>
      </w:r>
    </w:p>
    <w:p>
      <w:pPr>
        <w:pStyle w:val="BodyText"/>
      </w:pPr>
      <w:r>
        <w:t xml:space="preserve">That last caveat is this section’s central point, not a footnote to it. A detection rule’s sensitivity and false-alarm rate are properties of the</w:t>
      </w:r>
      <w:r>
        <w:t xml:space="preserve"> </w:t>
      </w:r>
      <w:r>
        <w:rPr>
          <w:iCs/>
          <w:i/>
        </w:rPr>
        <w:t xml:space="preserve">joint system</w:t>
      </w:r>
      <w:r>
        <w:t xml:space="preserve"> </w:t>
      </w:r>
      <w:r>
        <w:t xml:space="preserve">— the signal, the noise structure, and the threshold — not of the signal alone, and every uncertainty source Chapter 8 catalogued (source-end shedding variability, §8.2; sewer-process variability, §8.3; sampling and analytical noise, §8.4; normalization-induced error, §8.5; and their correlation structure, §8.10) feeds into where that noise floor actually sits in a</w:t>
      </w:r>
      <w:r>
        <w:t xml:space="preserve"> </w:t>
      </w:r>
      <w:r>
        <w:rPr>
          <w:iCs/>
          <w:i/>
        </w:rPr>
        <w:t xml:space="preserve">given</w:t>
      </w:r>
      <w:r>
        <w:t xml:space="preserve"> </w:t>
      </w:r>
      <w:r>
        <w:t xml:space="preserve">sewershed, population, and season. A threshold or a reported sensitivity/PPV pair calibrated on one dataset — even a large, 281-county one — carries the same structural-uncertainty risk §8.12 already formalized: it characterizes how that one model, fit to that one evidence base, behaves, not a property guaranteed to hold under a different population’s shedding-rate distribution, a different sewer network’s retention-time behavior, or a different laboratory’s recovery/inhibition profile.</w:t>
      </w:r>
      <w:r>
        <w:t xml:space="preserve"> </w:t>
      </w:r>
      <w:r>
        <w:rPr>
          <w:bCs/>
          <w:b/>
        </w:rPr>
        <w:t xml:space="preserve">Reusing a published sensitivity/PPV pair as if it were a universal property of</w:t>
      </w:r>
      <w:r>
        <w:rPr>
          <w:bCs/>
          <w:b/>
        </w:rPr>
        <w:t xml:space="preserve"> </w:t>
      </w:r>
      <w:r>
        <w:rPr>
          <w:bCs/>
          <w:b/>
        </w:rPr>
        <w:t xml:space="preserve">“</w:t>
      </w:r>
      <w:r>
        <w:rPr>
          <w:bCs/>
          <w:b/>
        </w:rPr>
        <w:t xml:space="preserve">wastewater-based outbreak detection</w:t>
      </w:r>
      <w:r>
        <w:rPr>
          <w:bCs/>
          <w:b/>
        </w:rPr>
        <w:t xml:space="preserve">”</w:t>
      </w:r>
      <w:r>
        <w:rPr>
          <w:bCs/>
          <w:b/>
        </w:rPr>
        <w:t xml:space="preserve"> </w:t>
      </w:r>
      <w:r>
        <w:rPr>
          <w:bCs/>
          <w:b/>
        </w:rPr>
        <w:t xml:space="preserve">is exactly the kind of unwarranted transfer this review has repeatedly flagged in other contexts (§7.1.1’s cross-population</w:t>
      </w:r>
      <w:r>
        <w:rPr>
          <w:bCs/>
          <w:b/>
        </w:rPr>
        <w:t xml:space="preserve"> </w:t>
      </w:r>
      <m:oMath>
        <m:r>
          <m:t>C</m:t>
        </m:r>
        <m:r>
          <m:t>F</m:t>
        </m:r>
      </m:oMath>
      <w:r>
        <w:rPr>
          <w:bCs/>
          <w:b/>
        </w:rPr>
        <w:t xml:space="preserve">-transfer caution, §8.7’s parameter-assemblage-across-mismatched-populations critique) — the same discipline applies here, to detection performance rather than a consumption estimate, and the underlying reasoning is identical.</w:t>
      </w:r>
    </w:p>
    <w:p>
      <w:pPr>
        <w:pStyle w:val="BodyText"/>
      </w:pPr>
      <w:r>
        <w:t xml:space="preserve">The asymmetric-cost framing from §8.14 is what should set the threshold, not a statistical convention chosen independent of consequence: an unnecessarily sensitive threshold in a low-prevalence, low-consequence setting generates false alarms that consume scarce investigation capacity and, over time, erode institutional trust in the signal (a documented risk in early-warning-system literature generally, though this review has not independently verified a WBE-specific study quantifying that trust-erosion effect); an insufficiently sensitive threshold in a high-consequence setting (e.g., a hospital-adjacent sewershed feeding an immunocompromised population) risks a missed detection whose cost is not symmetric with a false alarm’s. Neither error rate can be minimized without raising the other, for a fixed amount of information in the signal (§8.14) — the correct question is not</w:t>
      </w:r>
      <w:r>
        <w:t xml:space="preserve"> </w:t>
      </w:r>
      <w:r>
        <w:t xml:space="preserve">“</w:t>
      </w:r>
      <w:r>
        <w:t xml:space="preserve">how do we eliminate false alarms,</w:t>
      </w:r>
      <w:r>
        <w:t xml:space="preserve">”</w:t>
      </w:r>
      <w:r>
        <w:t xml:space="preserve"> </w:t>
      </w:r>
      <w:r>
        <w:t xml:space="preserve">which is not achievable without also raising missed-detection risk, but</w:t>
      </w:r>
      <w:r>
        <w:t xml:space="preserve"> </w:t>
      </w:r>
      <w:r>
        <w:t xml:space="preserve">“</w:t>
      </w:r>
      <w:r>
        <w:t xml:space="preserve">what cost ratio does this specific deployment context imply, and is the threshold set accordingly.</w:t>
      </w:r>
      <w:r>
        <w:t xml:space="preserve">”</w:t>
      </w:r>
    </w:p>
    <w:bookmarkEnd w:id="100"/>
    <w:bookmarkStart w:id="101" w:name="Xbaa93ce99a3ee92ded83a216379146773bfc6f9"/>
    <w:p>
      <w:pPr>
        <w:pStyle w:val="Heading3"/>
      </w:pPr>
      <w:r>
        <w:t xml:space="preserve">9.3 Multi-Source Data Fusion: Clinical, Mobility, Weather, Pharmacy, and Hospital Data</w:t>
      </w:r>
    </w:p>
    <w:p>
      <w:pPr>
        <w:pStyle w:val="FirstParagraph"/>
      </w:pPr>
      <w:r>
        <w:t xml:space="preserve">No public health surveillance system treats a single data stream as sufficient, and wastewater is no exception — WHO’s own framing of WES as</w:t>
      </w:r>
      <w:r>
        <w:t xml:space="preserve"> </w:t>
      </w:r>
      <w:r>
        <w:rPr>
          <w:iCs/>
          <w:i/>
        </w:rPr>
        <w:t xml:space="preserve">complementary to</w:t>
      </w:r>
      <w:r>
        <w:t xml:space="preserve">, not a</w:t>
      </w:r>
      <w:r>
        <w:t xml:space="preserve"> </w:t>
      </w:r>
      <w:r>
        <w:rPr>
          <w:iCs/>
          <w:i/>
        </w:rPr>
        <w:t xml:space="preserve">replacement for</w:t>
      </w:r>
      <w:r>
        <w:t xml:space="preserve">, conventional case-based surveillance (§1, [14]) already establishes fusion as the intended mode of use, not an optional refinement. A recent comparative study integrated four surveillance systems — hospital admissions, wastewater viral load, meteorological data, and internet-search-query volume — into a shared daily time series for a Chinese city over roughly one year, finding that a substantial subset of the resulting fused variables correlated significantly with reported clinical case counts under lagged cross-correlation and distributed-lag nonlinear modeling (Zhang, Lei, Wang, Wang, Luo, Jin, Wei, &amp; Wang, 2025). The specific correlation magnitudes and which of the four systems led which are pending full-text verification; the qualitative finding — that a multi-system fused time series outperforms any single stream in routine surveillance use — is the more defensible takeaway to carry forward, consistent with this review’s practice of preferring qualitative, recurring findings over specific unconfirmed statistics.</w:t>
      </w:r>
    </w:p>
    <w:p>
      <w:pPr>
        <w:pStyle w:val="BodyText"/>
      </w:pPr>
      <w:r>
        <w:rPr>
          <w:bCs/>
          <w:b/>
        </w:rPr>
        <w:t xml:space="preserve">One nuance this literature, and naive</w:t>
      </w:r>
      <w:r>
        <w:rPr>
          <w:bCs/>
          <w:b/>
        </w:rPr>
        <w:t xml:space="preserve"> </w:t>
      </w:r>
      <w:r>
        <w:rPr>
          <w:bCs/>
          <w:b/>
        </w:rPr>
        <w:t xml:space="preserve">“</w:t>
      </w:r>
      <w:r>
        <w:rPr>
          <w:bCs/>
          <w:b/>
        </w:rPr>
        <w:t xml:space="preserve">data fusion</w:t>
      </w:r>
      <w:r>
        <w:rPr>
          <w:bCs/>
          <w:b/>
        </w:rPr>
        <w:t xml:space="preserve">”</w:t>
      </w:r>
      <w:r>
        <w:rPr>
          <w:bCs/>
          <w:b/>
        </w:rPr>
        <w:t xml:space="preserve"> </w:t>
      </w:r>
      <w:r>
        <w:rPr>
          <w:bCs/>
          <w:b/>
        </w:rPr>
        <w:t xml:space="preserve">framing generally, tends to understate</w:t>
      </w:r>
      <w:r>
        <w:t xml:space="preserve">: weather is not merely another independent covariate to fuse alongside wastewater, mobility, and clinical data — it plays a double role specific to WBE that the other fusion inputs do not. §4.2 already established that rainfall and inflow/infiltration are a direct, mechanistic</w:t>
      </w:r>
      <w:r>
        <w:t xml:space="preserve"> </w:t>
      </w:r>
      <w:r>
        <w:rPr>
          <w:bCs/>
          <w:b/>
        </w:rPr>
        <w:t xml:space="preserve">confounder of the wastewater signal itself</w:t>
      </w:r>
      <w:r>
        <w:t xml:space="preserve">, diluting analyte concentration and, under combined-sewer-overflow conditions, capping or masking the true signal entirely (§4.2, §6.8). Fusing weather data therefore serves two distinct functions simultaneously: (a) as an independent, corroborating or explanatory signal in the same sense mobility or pharmacy data would be, and (b) as the specific covariate needed to</w:t>
      </w:r>
      <w:r>
        <w:t xml:space="preserve"> </w:t>
      </w:r>
      <w:r>
        <w:rPr>
          <w:iCs/>
          <w:i/>
        </w:rPr>
        <w:t xml:space="preserve">correct</w:t>
      </w:r>
      <w:r>
        <w:t xml:space="preserve"> </w:t>
      </w:r>
      <w:r>
        <w:t xml:space="preserve">the wastewater signal’s own amplitude distortion before it is fused with anything else (§6.2’s flow-normalization argument, restated here as a fusion-design point rather than a normalization one). A fusion pipeline that treats weather purely as (a) — an independent corroborating stream to be correlated against the raw wastewater signal — without also applying it as (b) risks double-counting rainfall’s effect: once as an apparent</w:t>
      </w:r>
      <w:r>
        <w:t xml:space="preserve"> </w:t>
      </w:r>
      <w:r>
        <w:t xml:space="preserve">“</w:t>
      </w:r>
      <w:r>
        <w:t xml:space="preserve">explanation</w:t>
      </w:r>
      <w:r>
        <w:t xml:space="preserve">”</w:t>
      </w:r>
      <w:r>
        <w:t xml:space="preserve"> </w:t>
      </w:r>
      <w:r>
        <w:t xml:space="preserve">for a dip in wastewater signal that was actually amplitude distortion needing correction, not a real dip in source excretion.</w:t>
      </w:r>
    </w:p>
    <w:p>
      <w:pPr>
        <w:pStyle w:val="BodyText"/>
      </w:pPr>
      <w:r>
        <w:t xml:space="preserve">Clinical case and testing data, mobility data, pharmacy sales data, and hospital admission/emergency-department data each contribute a distinct, partially independent proxy for the same underlying epidemiological process, and each carries its own known distortions: clinical testing rates shift with health-care-seeking behavior, test availability, and public attention (§1’s ascertainment-bias point, restated); mobility data reflects behavior, not infection status, directly; pharmacy sales lag both infection and diagnosis by the time-to-care-seeking and time-to-prescription-fill intervals; and hospital/ED data is systematically biased toward more severe presentations, undercounting the asymptomatic and mild-symptomatic population wastewater is specifically valuable for capturing (§1, [11]). None of these four is a</w:t>
      </w:r>
      <w:r>
        <w:t xml:space="preserve"> </w:t>
      </w:r>
      <w:r>
        <w:t xml:space="preserve">“</w:t>
      </w:r>
      <w:r>
        <w:t xml:space="preserve">ground truth</w:t>
      </w:r>
      <w:r>
        <w:t xml:space="preserve">”</w:t>
      </w:r>
      <w:r>
        <w:t xml:space="preserve"> </w:t>
      </w:r>
      <w:r>
        <w:t xml:space="preserve">against which wastewater should be one-sidedly validated (§8.16’s reference-data-uncertainty point, extended here from a single clinical comparator to the full fusion set) — each is itself an uncertain, differently-biased signal, and §9.4 develops why combining several such signals is not a simple averaging exercise.</w:t>
      </w:r>
    </w:p>
    <w:bookmarkEnd w:id="101"/>
    <w:bookmarkStart w:id="102" w:name="X2df81671de58ebd47338189dbd9a3c333d5b4d9"/>
    <w:p>
      <w:pPr>
        <w:pStyle w:val="Heading3"/>
      </w:pPr>
      <w:r>
        <w:t xml:space="preserve">9.4 Why Fusion Is Not Free: Correlated Uncertainty Across Data Streams</w:t>
      </w:r>
    </w:p>
    <w:p>
      <w:pPr>
        <w:pStyle w:val="FirstParagraph"/>
      </w:pPr>
      <w:r>
        <w:t xml:space="preserve">§8.10 already established, within the wastewater signal-formation chain alone, that treating upstream uncertainty sources as mutually independent when they are not produces a systematically wrong — not merely imprecise — output interval. The same structural problem recurs, in a different form, when combining wastewater with the external data streams named in §9.3, and this review is not aware of the applied WBE-fusion literature it examined this session treating it with comparable explicitness.</w:t>
      </w:r>
    </w:p>
    <w:p>
      <w:pPr>
        <w:pStyle w:val="BodyText"/>
      </w:pPr>
      <w:r>
        <w:t xml:space="preserve">Two concrete mechanisms make naive fusion (simple averaging, or an unweighted composite index across streams) risky rather than merely suboptimal:</w:t>
      </w:r>
    </w:p>
    <w:p>
      <w:pPr>
        <w:numPr>
          <w:ilvl w:val="0"/>
          <w:numId w:val="1028"/>
        </w:numPr>
        <w:pStyle w:val="Compact"/>
      </w:pPr>
      <w:r>
        <w:rPr>
          <w:bCs/>
          <w:b/>
        </w:rPr>
        <w:t xml:space="preserve">Shared external drivers.</w:t>
      </w:r>
      <w:r>
        <w:t xml:space="preserve"> </w:t>
      </w:r>
      <w:r>
        <w:t xml:space="preserve">A public event, a policy change, or a media-driven behavioral shift can move clinical testing rates, mobility patterns, and pharmacy purchasing simultaneously and in the same direction, for reasons unrelated to the true underlying infection or consumption level being tracked — three</w:t>
      </w:r>
      <w:r>
        <w:t xml:space="preserve"> </w:t>
      </w:r>
      <w:r>
        <w:t xml:space="preserve">“</w:t>
      </w:r>
      <w:r>
        <w:t xml:space="preserve">independent</w:t>
      </w:r>
      <w:r>
        <w:t xml:space="preserve">”</w:t>
      </w:r>
      <w:r>
        <w:t xml:space="preserve"> </w:t>
      </w:r>
      <w:r>
        <w:t xml:space="preserve">data streams moving together under a shared confound is not three-fold corroboration of the underlying signal; it is one confound observed three times. Averaging such streams does not reduce noise the way averaging genuinely independent measurements would; it can instead amplify a shared artifact by lending it the false appearance of multi-source consensus.</w:t>
      </w:r>
    </w:p>
    <w:p>
      <w:pPr>
        <w:numPr>
          <w:ilvl w:val="0"/>
          <w:numId w:val="1028"/>
        </w:numPr>
        <w:pStyle w:val="Compact"/>
      </w:pPr>
      <w:r>
        <w:rPr>
          <w:bCs/>
          <w:b/>
        </w:rPr>
        <w:t xml:space="preserve">Differential and non-stationary lag structure.</w:t>
      </w:r>
      <w:r>
        <w:t xml:space="preserve"> </w:t>
      </w:r>
      <w:r>
        <w:t xml:space="preserve">Wastewater signal has been reported, across the studies already discussed in this review (§7.1.2, §9.2), to lead clinical case and hospitalization data by an interval that is itself uncertain and setting-dependent, not a fixed constant — meaning a fusion approach that aligns streams on a single assumed lag (rather than estimating or marginalizing over lag uncertainty) will systematically misalign genuinely-related signal, understating the correlation actually present and potentially manufacturing a spurious lead/lag relationship in the opposite direction.</w:t>
      </w:r>
    </w:p>
    <w:p>
      <w:pPr>
        <w:pStyle w:val="FirstParagraph"/>
      </w:pPr>
      <w:r>
        <w:t xml:space="preserve">The more defensible response to both problems, consistent with this review’s general preference (already stated in Chapter 8) for formal joint modeling over ad hoc combination: either explicit</w:t>
      </w:r>
      <w:r>
        <w:t xml:space="preserve"> </w:t>
      </w:r>
      <w:r>
        <w:rPr>
          <w:bCs/>
          <w:b/>
        </w:rPr>
        <w:t xml:space="preserve">joint state-space or Bayesian hierarchical modeling</w:t>
      </w:r>
      <w:r>
        <w:t xml:space="preserve"> </w:t>
      </w:r>
      <w:r>
        <w:t xml:space="preserve">of the correlated uncertainty structure across streams — extending the §8.9 machinery from a single-source pipeline to a multi-source one, with the shared-confound and lag-uncertainty problems represented as explicit model terms rather than left implicit — or, where that is impractical, an explicit, stated acknowledgment that a naive fused composite has not accounted for cross-stream correlation and should be interpreted with that limitation in mind, following the same disclosure discipline §8.15 already established for propagated uncertainty within a single pipeline.</w:t>
      </w:r>
      <w:r>
        <w:t xml:space="preserve"> </w:t>
      </w:r>
      <w:r>
        <w:rPr>
          <w:bCs/>
          <w:b/>
        </w:rPr>
        <w:t xml:space="preserve">A fused indicator whose construction method is not disclosed is not more trustworthy than its least-transparent input stream — it is, by the reasoning above, potentially less trustworthy, since an undisclosed shared-confound problem is invisible to a reader evaluating the fused number at face value.</w:t>
      </w:r>
    </w:p>
    <w:bookmarkEnd w:id="102"/>
    <w:bookmarkStart w:id="103" w:name="X4573fad1f43fb00bd5740cba63f69b67ccb1a76"/>
    <w:p>
      <w:pPr>
        <w:pStyle w:val="Heading3"/>
      </w:pPr>
      <w:r>
        <w:t xml:space="preserve">9.5 The Boundary: What Wastewater-Based Surveillance Cannot Replace</w:t>
      </w:r>
    </w:p>
    <w:p>
      <w:pPr>
        <w:pStyle w:val="FirstParagraph"/>
      </w:pPr>
      <w:r>
        <w:t xml:space="preserve">This review opened (§1) by naming WBE’s central practical advantage: it requires no individual consent or clinical encounter, and captures asymptomatic, undiagnosed, and untested individuals alongside those who present to care (§1, [11]). That advantage is also, precisely, the source of a structural — not merely practical, and not addressable by better modeling — limitation this chapter must state directly rather than leave implicit.</w:t>
      </w:r>
    </w:p>
    <w:p>
      <w:pPr>
        <w:pStyle w:val="BodyText"/>
      </w:pPr>
      <w:r>
        <w:rPr>
          <w:bCs/>
          <w:b/>
        </w:rPr>
        <w:t xml:space="preserve">Wastewater-based surveillance cannot, by construction, produce an individual-level diagnosis, a specific individual’s infection status, or an individual clinical care decision.</w:t>
      </w:r>
      <w:r>
        <w:t xml:space="preserve"> </w:t>
      </w:r>
      <w:r>
        <w:t xml:space="preserve">§3.0 defined the observed signal as a spatially aggregated composite across a sewer catchment’s contributing population; that aggregation is not an incidental feature that better instrumentation could remove, it is the definitional property that makes the anonymity/no-consent advantage possible in the first place (§9.6 returns to this exact tension from the opposite direction — aggregation that is too coarse loses individual-level actionability, but aggregation that is too fine erodes the anonymity the whole approach depends on). A population-level signal, however well reconstructed and however tightly its uncertainty is characterized (Chapter 8), cannot answer</w:t>
      </w:r>
      <w:r>
        <w:t xml:space="preserve"> </w:t>
      </w:r>
      <w:r>
        <w:t xml:space="preserve">“</w:t>
      </w:r>
      <w:r>
        <w:t xml:space="preserve">is person X infected</w:t>
      </w:r>
      <w:r>
        <w:t xml:space="preserve">”</w:t>
      </w:r>
      <w:r>
        <w:t xml:space="preserve"> </w:t>
      </w:r>
      <w:r>
        <w:t xml:space="preserve">or</w:t>
      </w:r>
      <w:r>
        <w:t xml:space="preserve"> </w:t>
      </w:r>
      <w:r>
        <w:t xml:space="preserve">“</w:t>
      </w:r>
      <w:r>
        <w:t xml:space="preserve">does person X need care</w:t>
      </w:r>
      <w:r>
        <w:t xml:space="preserve">”</w:t>
      </w:r>
      <w:r>
        <w:t xml:space="preserve"> </w:t>
      </w:r>
      <w:r>
        <w:t xml:space="preserve">— those require an individual clinical encounter, which wastewater surveillance is structurally incapable of substituting for and was never intended to.</w:t>
      </w:r>
    </w:p>
    <w:p>
      <w:pPr>
        <w:pStyle w:val="BodyText"/>
      </w:pPr>
      <w:r>
        <w:t xml:space="preserve">Three further, more specific boundaries follow from points this review has already established, restated here explicitly as boundaries rather than left as scattered technical caveats:</w:t>
      </w:r>
    </w:p>
    <w:p>
      <w:pPr>
        <w:numPr>
          <w:ilvl w:val="0"/>
          <w:numId w:val="1029"/>
        </w:numPr>
        <w:pStyle w:val="Compact"/>
      </w:pPr>
      <w:r>
        <w:rPr>
          <w:bCs/>
          <w:b/>
        </w:rPr>
        <w:t xml:space="preserve">Variant- or strain-specific clinical severity cannot be inferred from bulk concentration alone.</w:t>
      </w:r>
      <w:r>
        <w:t xml:space="preserve"> </w:t>
      </w:r>
      <w:r>
        <w:t xml:space="preserve">Genomic sequencing of the wastewater sample (mentioned in passing in §2.4’s phase-4 discussion but not developed as its own methodological chapter here) can identify which variants are circulating in a catchment; concentration trends alone, the focus of this review’s Chapters 3–8, say nothing about the clinical severity of what is circulating.</w:t>
      </w:r>
    </w:p>
    <w:p>
      <w:pPr>
        <w:numPr>
          <w:ilvl w:val="0"/>
          <w:numId w:val="1029"/>
        </w:numPr>
        <w:pStyle w:val="Compact"/>
      </w:pPr>
      <w:r>
        <w:rPr>
          <w:bCs/>
          <w:b/>
        </w:rPr>
        <w:t xml:space="preserve">Non-sewered populations are structurally invisible to WBE</w:t>
      </w:r>
      <w:r>
        <w:t xml:space="preserve">, not merely underrepresented. Roughly one-fifth of the U.S. population is not connected to a sewer system captured by centralized wastewater monitoring, and that unconnected fraction is not randomly distributed — a national assessment found lower sewer connectivity systematically associated with several demographic and geographic factors, including American Indian and Alaska Native household heads, non-Hispanic white household heads in certain regions, larger households, and specific under-served geographies including parts of the Navajo Nation, Alaska, and rural areas in several states (Yu, Olesen, Duvallet, &amp; Grad, 2024 —</w:t>
      </w:r>
      <w:r>
        <w:t xml:space="preserve"> </w:t>
      </w:r>
      <w:r>
        <w:rPr>
          <w:bCs/>
          <w:b/>
        </w:rPr>
        <w:t xml:space="preserve">the specific ~80% connectivity figure and demographic-association statistics are pending full-text verification</w:t>
      </w:r>
      <w:r>
        <w:t xml:space="preserve">; the qualitative finding that connectivity gaps are systematically, not randomly, distributed is the more load-bearing claim for this section’s argument). This is not a gap that improved modeling of the signal-formation chain (§3–8) can close — it is a coverage gap in what gets sampled at all, and it means WBE’s aggregate, no-individual-consent advantage is, in the United States specifically, unevenly available across the population by construction, independent of anything this review’s technical chapters address.</w:t>
      </w:r>
    </w:p>
    <w:p>
      <w:pPr>
        <w:numPr>
          <w:ilvl w:val="0"/>
          <w:numId w:val="1029"/>
        </w:numPr>
        <w:pStyle w:val="Compact"/>
      </w:pPr>
      <w:r>
        <w:rPr>
          <w:bCs/>
          <w:b/>
        </w:rPr>
        <w:t xml:space="preserve">A rising wastewater signal does not identify</w:t>
      </w:r>
      <w:r>
        <w:rPr>
          <w:bCs/>
          <w:b/>
        </w:rPr>
        <w:t xml:space="preserve"> </w:t>
      </w:r>
      <w:r>
        <w:rPr>
          <w:iCs/>
          <w:i/>
          <w:bCs/>
          <w:b/>
        </w:rPr>
        <w:t xml:space="preserve">why</w:t>
      </w:r>
      <w:r>
        <w:rPr>
          <w:bCs/>
          <w:b/>
        </w:rPr>
        <w:t xml:space="preserve"> </w:t>
      </w:r>
      <w:r>
        <w:rPr>
          <w:bCs/>
          <w:b/>
        </w:rPr>
        <w:t xml:space="preserve">it is rising</w:t>
      </w:r>
      <w:r>
        <w:t xml:space="preserve"> </w:t>
      </w:r>
      <w:r>
        <w:t xml:space="preserve">without additional information — new infections, a shift in testing/reporting policy affecting what gets compared against it, a change in population size or composition (§6.3), or (per §4.2, §9.3) a data artifact from a storm event misread as a genuine signal change, can each produce a similar-looking upward movement, and distinguishing them is precisely the identifiability and structural-adequacy problem Chapter 7 already formalized, not solved and not claimed to be solved by anything in this chapter.</w:t>
      </w:r>
    </w:p>
    <w:p>
      <w:pPr>
        <w:pStyle w:val="FirstParagraph"/>
      </w:pPr>
      <w:r>
        <w:rPr>
          <w:bCs/>
          <w:b/>
        </w:rPr>
        <w:t xml:space="preserve">The correct institutional framing, following directly from WHO’s own complementary-not-replacement position ([14]) and consistent with this review’s evidentiary standard throughout</w:t>
      </w:r>
      <w:r>
        <w:t xml:space="preserve">: wastewater surveillance is a population-level screening and resource-allocation input, valuable specifically because it does not require individual encounters — and precisely because of that same property, it is not, and cannot become through better methodology alone, a substitute for clinical diagnosis, individual care pathways, or complete population coverage.</w:t>
      </w:r>
    </w:p>
    <w:bookmarkEnd w:id="103"/>
    <w:bookmarkStart w:id="104" w:name="Xc4ec9143f3bf9c48b71504fc73efac09666cc80"/>
    <w:p>
      <w:pPr>
        <w:pStyle w:val="Heading3"/>
      </w:pPr>
      <w:r>
        <w:t xml:space="preserve">9.6 Small-Catchment and Building-Scale Monitoring: Privacy, Stigma, and Equity</w:t>
      </w:r>
    </w:p>
    <w:p>
      <w:pPr>
        <w:pStyle w:val="FirstParagraph"/>
      </w:pPr>
      <w:r>
        <w:t xml:space="preserve">§9.5 named aggregation as the property that makes WBE’s no-individual-consent advantage possible. That property degrades, not gracefully but structurally, as spatial resolution narrows from a citywide treatment-plant catchment toward a single building, dormitory, correctional facility, or nursing home — the scale at which several institutions (universities, prisons, congregate-care facilities) have in fact deployed wastewater monitoring specifically for its early-warning value in a defined population.</w:t>
      </w:r>
    </w:p>
    <w:p>
      <w:pPr>
        <w:pStyle w:val="BodyText"/>
      </w:pPr>
      <w:r>
        <w:t xml:space="preserve">Three distinct ethical concerns recur across the literature this review identified, and this section states them as three genuinely different problems rather than a single undifferentiated</w:t>
      </w:r>
      <w:r>
        <w:t xml:space="preserve"> </w:t>
      </w:r>
      <w:r>
        <w:t xml:space="preserve">“</w:t>
      </w:r>
      <w:r>
        <w:t xml:space="preserve">privacy</w:t>
      </w:r>
      <w:r>
        <w:t xml:space="preserve">”</w:t>
      </w:r>
      <w:r>
        <w:t xml:space="preserve"> </w:t>
      </w:r>
      <w:r>
        <w:t xml:space="preserve">concern, since they call for different mitigations:</w:t>
      </w:r>
    </w:p>
    <w:p>
      <w:pPr>
        <w:numPr>
          <w:ilvl w:val="0"/>
          <w:numId w:val="1030"/>
        </w:numPr>
        <w:pStyle w:val="Compact"/>
      </w:pPr>
      <w:r>
        <w:rPr>
          <w:bCs/>
          <w:b/>
        </w:rPr>
        <w:t xml:space="preserve">Individual re-identification risk.</w:t>
      </w:r>
      <w:r>
        <w:t xml:space="preserve"> </w:t>
      </w:r>
      <w:r>
        <w:t xml:space="preserve">At sufficiently fine spatial resolution, a wastewater sample can in principle be traced to a single household or even a single toilet, and documented instances of exactly this — a SARS-CoV-2 detection traced upstream to identify a specific residence — are cited as a concrete illustration that</w:t>
      </w:r>
      <w:r>
        <w:t xml:space="preserve"> </w:t>
      </w:r>
      <w:r>
        <w:t xml:space="preserve">“</w:t>
      </w:r>
      <w:r>
        <w:t xml:space="preserve">aggregation</w:t>
      </w:r>
      <w:r>
        <w:t xml:space="preserve">”</w:t>
      </w:r>
      <w:r>
        <w:t xml:space="preserve"> </w:t>
      </w:r>
      <w:r>
        <w:t xml:space="preserve">is a matter of degree, not a binary property that is either present or absent (Moallef, Balasubramanian, Krieger, Tabb, Chen, Hanage, Bassett, &amp; Cowger, 2025, a global critical review of 145 full-text-screened studies identifying 68 with explicit health-equity considerations, proposing a five-consideration conceptual framework spanning global access inequities, harm/stigma prevention, and community engagement —</w:t>
      </w:r>
      <w:r>
        <w:t xml:space="preserve"> </w:t>
      </w:r>
      <w:r>
        <w:rPr>
          <w:bCs/>
          <w:b/>
        </w:rPr>
        <w:t xml:space="preserve">the specific 68/145 count is pending full-text verification</w:t>
      </w:r>
      <w:r>
        <w:t xml:space="preserve">). Aggregation-level design (how coarse a catchment must be before individual re-identification risk is acceptably low) is therefore not a fixed technical parameter but a context-specific judgment that trades off directly against the early-warning value of finer spatial resolution named at the top of this section.</w:t>
      </w:r>
    </w:p>
    <w:p>
      <w:pPr>
        <w:numPr>
          <w:ilvl w:val="0"/>
          <w:numId w:val="1030"/>
        </w:numPr>
        <w:pStyle w:val="Compact"/>
      </w:pPr>
      <w:r>
        <w:rPr>
          <w:bCs/>
          <w:b/>
        </w:rPr>
        <w:t xml:space="preserve">Group-level stigmatization, independent of individual identifiability.</w:t>
      </w:r>
      <w:r>
        <w:t xml:space="preserve"> </w:t>
      </w:r>
      <w:r>
        <w:t xml:space="preserve">Even where no specific individual can be re-identified, flagging a defined group — a dormitory, a neighborhood, a facility’s residents — as an active-disease location risks portraying that population as</w:t>
      </w:r>
      <w:r>
        <w:t xml:space="preserve"> </w:t>
      </w:r>
      <w:r>
        <w:t xml:space="preserve">“</w:t>
      </w:r>
      <w:r>
        <w:t xml:space="preserve">diseased</w:t>
      </w:r>
      <w:r>
        <w:t xml:space="preserve">”</w:t>
      </w:r>
      <w:r>
        <w:t xml:space="preserve"> </w:t>
      </w:r>
      <w:r>
        <w:t xml:space="preserve">and subjecting it to social or institutional consequences (exclusion, differential treatment, targeted enforcement) that a purely individual-level privacy framework does not capture, since the harm accrues to the group as a unit rather than to any single re-identified person (Kwiatkowska, Ruhaak, Kasprzyk-Hordern, Hassard, Lundy, Di Cesare, Hickman, &amp; Singer, 2022 —</w:t>
      </w:r>
      <w:r>
        <w:t xml:space="preserve"> </w:t>
      </w:r>
      <w:r>
        <w:rPr>
          <w:bCs/>
          <w:b/>
        </w:rPr>
        <w:t xml:space="preserve">venue/publication type not independently confirmed this session: this source appears in search results variously described as a conference proceeding and a preprint, and should be treated as a lower-confidence citation on that basis alone, independent of its content’s plausibility</w:t>
      </w:r>
      <w:r>
        <w:t xml:space="preserve">). A separate analysis argues existing ethics- and human-rights-based frameworks for this problem lack enforceability, and proposes grounding wastewater-surveillance governance instead in explicit legal or contractual</w:t>
      </w:r>
      <w:r>
        <w:t xml:space="preserve"> </w:t>
      </w:r>
      <w:r>
        <w:rPr>
          <w:bCs/>
          <w:b/>
        </w:rPr>
        <w:t xml:space="preserve">obligations</w:t>
      </w:r>
      <w:r>
        <w:t xml:space="preserve"> </w:t>
      </w:r>
      <w:r>
        <w:t xml:space="preserve">— enforceable through legislation, institutional oversight, or contract, rather than aspirational ethical principle alone (Thompson et al., 2024,</w:t>
      </w:r>
      <w:r>
        <w:t xml:space="preserve"> </w:t>
      </w:r>
      <w:r>
        <w:rPr>
          <w:iCs/>
          <w:i/>
        </w:rPr>
        <w:t xml:space="preserve">Water Research</w:t>
      </w:r>
      <w:r>
        <w:t xml:space="preserve"> </w:t>
      </w:r>
      <w:r>
        <w:t xml:space="preserve">—</w:t>
      </w:r>
      <w:r>
        <w:t xml:space="preserve"> </w:t>
      </w:r>
      <w:r>
        <w:rPr>
          <w:bCs/>
          <w:b/>
        </w:rPr>
        <w:t xml:space="preserve">full author list beyond the named lead author not independently confirmed this session</w:t>
      </w:r>
      <w:r>
        <w:t xml:space="preserve">).</w:t>
      </w:r>
    </w:p>
    <w:p>
      <w:pPr>
        <w:numPr>
          <w:ilvl w:val="0"/>
          <w:numId w:val="1030"/>
        </w:numPr>
        <w:pStyle w:val="Compact"/>
      </w:pPr>
      <w:r>
        <w:rPr>
          <w:bCs/>
          <w:b/>
        </w:rPr>
        <w:t xml:space="preserve">Structural equity in who is monitored at all</w:t>
      </w:r>
      <w:r>
        <w:t xml:space="preserve">, which §9.5 already introduced from the coverage-gap angle and which recurs here from the deployment-choice angle: a decision to deploy fine-grained, building-scale monitoring disproportionately in some communities and not others (whether by infrastructure availability, cost, or institutional choice) redistributes both the surveillance benefit (earlier detection, resource allocation) and the privacy/stigma risk named above unevenly, and the equity-framework literature identified here explicitly names this as a design choice requiring deliberate, documented justification rather than an incidental consequence of where monitoring happens to be technically or financially easiest to deploy ([51]).</w:t>
      </w:r>
    </w:p>
    <w:p>
      <w:pPr>
        <w:pStyle w:val="FirstParagraph"/>
      </w:pPr>
      <w:r>
        <w:rPr>
          <w:bCs/>
          <w:b/>
        </w:rPr>
        <w:t xml:space="preserve">This section’s required conclusion, stated directly rather than left as an implication</w:t>
      </w:r>
      <w:r>
        <w:t xml:space="preserve">: building- and small-catchment-scale monitoring is not simply</w:t>
      </w:r>
      <w:r>
        <w:t xml:space="preserve"> </w:t>
      </w:r>
      <w:r>
        <w:t xml:space="preserve">“</w:t>
      </w:r>
      <w:r>
        <w:t xml:space="preserve">the same method at finer resolution</w:t>
      </w:r>
      <w:r>
        <w:t xml:space="preserve">”</w:t>
      </w:r>
      <w:r>
        <w:t xml:space="preserve"> </w:t>
      </w:r>
      <w:r>
        <w:t xml:space="preserve">— it changes the risk calculus in ways §1’s opening framing of WBE as inherently anonymous and consent-free does not anticipate, and a monitoring program operating at this scale needs its own explicit privacy, stigma, and equity review, not an inheritance of the citywide-scale program’s ethical assessment by default.</w:t>
      </w:r>
    </w:p>
    <w:bookmarkEnd w:id="104"/>
    <w:bookmarkStart w:id="105" w:name="X926dd89c89c562487b717fe027554e4bfff245f"/>
    <w:p>
      <w:pPr>
        <w:pStyle w:val="Heading3"/>
      </w:pPr>
      <w:r>
        <w:t xml:space="preserve">9.7 From Detectable Signal to Actionable Information</w:t>
      </w:r>
    </w:p>
    <w:p>
      <w:pPr>
        <w:pStyle w:val="FirstParagraph"/>
      </w:pPr>
      <w:r>
        <w:t xml:space="preserve">This review’s Chapters 3–8 have been almost entirely occupied with a single question: under what conditions is a wastewater measurement scientifically informative about the source signal that produced it. This section closes that arc with a distinct, final question this chapter has been building toward since §9.0: under what conditions does a scientifically informative signal become</w:t>
      </w:r>
      <w:r>
        <w:t xml:space="preserve"> </w:t>
      </w:r>
      <w:r>
        <w:rPr>
          <w:bCs/>
          <w:b/>
        </w:rPr>
        <w:t xml:space="preserve">actionable</w:t>
      </w:r>
      <w:r>
        <w:t xml:space="preserve"> </w:t>
      </w:r>
      <w:r>
        <w:t xml:space="preserve">— that is, under what conditions should it actually trigger a specific institutional response.</w:t>
      </w:r>
    </w:p>
    <w:p>
      <w:pPr>
        <w:pStyle w:val="BodyText"/>
      </w:pPr>
      <w:r>
        <w:t xml:space="preserve">A signal can be genuinely, defensibly</w:t>
      </w:r>
      <w:r>
        <w:t xml:space="preserve"> </w:t>
      </w:r>
      <w:r>
        <w:t xml:space="preserve">“</w:t>
      </w:r>
      <w:r>
        <w:t xml:space="preserve">detectable</w:t>
      </w:r>
      <w:r>
        <w:t xml:space="preserve">”</w:t>
      </w:r>
      <w:r>
        <w:t xml:space="preserve"> </w:t>
      </w:r>
      <w:r>
        <w:t xml:space="preserve">in every sense Chapters 3–8 formalized — above the LOD (§5.5, §8.11), statistically distinguishable from baseline noise at a stated confidence level (§9.2), and even correctly attributable to a real change in the source population (§7, conditional on its evidentiary criteria being met) — and still fail to be actionable, because actionability depends on conditions external to the signal’s own scientific validity. This review proposes four such conditions, synthesized from the frameworks and gaps identified across this chapter, none of which is reducible to</w:t>
      </w:r>
      <w:r>
        <w:t xml:space="preserve"> </w:t>
      </w:r>
      <w:r>
        <w:t xml:space="preserve">“</w:t>
      </w:r>
      <w:r>
        <w:t xml:space="preserve">is the signal statistically real</w:t>
      </w:r>
      <w:r>
        <w:t xml:space="preserve">”</w:t>
      </w:r>
      <w:r>
        <w:t xml:space="preserve">:</w:t>
      </w:r>
    </w:p>
    <w:p>
      <w:pPr>
        <w:numPr>
          <w:ilvl w:val="0"/>
          <w:numId w:val="1031"/>
        </w:numPr>
        <w:pStyle w:val="Compact"/>
      </w:pPr>
      <w:r>
        <w:rPr>
          <w:bCs/>
          <w:b/>
        </w:rPr>
        <w:t xml:space="preserve">The uncertainty has been quantified and communicated in decision-relevant terms</w:t>
      </w:r>
      <w:r>
        <w:t xml:space="preserve">, per §8.14’s distinction between an error bar (answering</w:t>
      </w:r>
      <w:r>
        <w:t xml:space="preserve"> </w:t>
      </w:r>
      <w:r>
        <w:t xml:space="preserve">“</w:t>
      </w:r>
      <w:r>
        <w:t xml:space="preserve">how uncertain is this number</w:t>
      </w:r>
      <w:r>
        <w:t xml:space="preserve">”</w:t>
      </w:r>
      <w:r>
        <w:t xml:space="preserve">) and a decision-relevant probability (answering</w:t>
      </w:r>
      <w:r>
        <w:t xml:space="preserve"> </w:t>
      </w:r>
      <w:r>
        <w:t xml:space="preserve">“</w:t>
      </w:r>
      <w:r>
        <w:t xml:space="preserve">what is the chance I should act, and what does acting cost me if I am wrong</w:t>
      </w:r>
      <w:r>
        <w:t xml:space="preserve">”</w:t>
      </w:r>
      <w:r>
        <w:t xml:space="preserve">). A signal reported only as a point estimate, without this translation, is not yet actionable regardless of how well-characterized its underlying uncertainty actually is.</w:t>
      </w:r>
    </w:p>
    <w:p>
      <w:pPr>
        <w:numPr>
          <w:ilvl w:val="0"/>
          <w:numId w:val="1031"/>
        </w:numPr>
        <w:pStyle w:val="Compact"/>
      </w:pPr>
      <w:r>
        <w:rPr>
          <w:bCs/>
          <w:b/>
        </w:rPr>
        <w:t xml:space="preserve">An institutional response protocol exists that the signal is designed to trigger.</w:t>
      </w:r>
      <w:r>
        <w:t xml:space="preserve"> </w:t>
      </w:r>
      <w:r>
        <w:t xml:space="preserve">Without a receiving decision process — a named actor, a defined action, a resource that can actually be deployed — an alert is data, not information in the operationally meaningful sense this section uses the term; national strategy guidance has explicitly named this coordination requirement (across local public health agencies, national coordinating bodies, laboratories, and utilities) as a precondition for wastewater surveillance achieving its intended public health impact, not an implementation detail to be solved later ([11]).</w:t>
      </w:r>
    </w:p>
    <w:p>
      <w:pPr>
        <w:numPr>
          <w:ilvl w:val="0"/>
          <w:numId w:val="1031"/>
        </w:numPr>
        <w:pStyle w:val="Compact"/>
      </w:pPr>
      <w:r>
        <w:rPr>
          <w:bCs/>
          <w:b/>
        </w:rPr>
        <w:t xml:space="preserve">The detection-to-action timescale is shorter than the timescale over which the underlying condition changes.</w:t>
      </w:r>
      <w:r>
        <w:t xml:space="preserve"> </w:t>
      </w:r>
      <w:r>
        <w:t xml:space="preserve">A signal that is scientifically valid but arrives too late to inform the decision it was meant to support is not actionable in practice, whatever its statistical properties — reporting-timeliness guidance in this space has specifically named the interval from sample collection to usable public health output, on the order of about a week, as a practical threshold for response-relevant utility (</w:t>
      </w:r>
      <w:r>
        <w:rPr>
          <w:bCs/>
          <w:b/>
        </w:rPr>
        <w:t xml:space="preserve">this specific figure is pending full-text verification and is stated here as an illustrative order of magnitude from the search-derived evidence base, not a precisely established universal standard</w:t>
      </w:r>
      <w:r>
        <w:t xml:space="preserve">).</w:t>
      </w:r>
    </w:p>
    <w:p>
      <w:pPr>
        <w:numPr>
          <w:ilvl w:val="0"/>
          <w:numId w:val="1031"/>
        </w:numPr>
        <w:pStyle w:val="Compact"/>
      </w:pPr>
      <w:r>
        <w:rPr>
          <w:bCs/>
          <w:b/>
        </w:rPr>
        <w:t xml:space="preserve">The alert has been validated against the false-alarm/missed-detection cost structure specific to its deployment context</w:t>
      </w:r>
      <w:r>
        <w:t xml:space="preserve"> </w:t>
      </w:r>
      <w:r>
        <w:t xml:space="preserve">(§9.2) — not borrowed unmodified from a different population’s or sewershed’s calibration, per §9.2’s caution against unwarranted performance-figure transfer.</w:t>
      </w:r>
    </w:p>
    <w:p>
      <w:pPr>
        <w:pStyle w:val="FirstParagraph"/>
      </w:pPr>
      <w:r>
        <w:rPr>
          <w:bCs/>
          <w:b/>
        </w:rPr>
        <w:t xml:space="preserve">A signal that fails any of these four conditions remains scientifically real and worth reporting — this section does not argue otherwise — but it is not yet actionable</w:t>
      </w:r>
      <w:r>
        <w:t xml:space="preserve">, and treating</w:t>
      </w:r>
      <w:r>
        <w:t xml:space="preserve"> </w:t>
      </w:r>
      <w:r>
        <w:t xml:space="preserve">“</w:t>
      </w:r>
      <w:r>
        <w:t xml:space="preserve">detectable</w:t>
      </w:r>
      <w:r>
        <w:t xml:space="preserve">”</w:t>
      </w:r>
      <w:r>
        <w:t xml:space="preserve"> </w:t>
      </w:r>
      <w:r>
        <w:t xml:space="preserve">and</w:t>
      </w:r>
      <w:r>
        <w:t xml:space="preserve"> </w:t>
      </w:r>
      <w:r>
        <w:t xml:space="preserve">“</w:t>
      </w:r>
      <w:r>
        <w:t xml:space="preserve">actionable</w:t>
      </w:r>
      <w:r>
        <w:t xml:space="preserve">”</w:t>
      </w:r>
      <w:r>
        <w:t xml:space="preserve"> </w:t>
      </w:r>
      <w:r>
        <w:t xml:space="preserve">as synonyms, a conflation this review’s evidence base does not show being consistently guarded against in applied practice, risks either triggering institutional responses the underlying signal cannot actually support (over-action on a scientifically real but decision-irrelevant fluctuation) or, just as plausibly, allowing a genuinely actionable signal to go unused because no explicit translation from</w:t>
      </w:r>
      <w:r>
        <w:t xml:space="preserve"> </w:t>
      </w:r>
      <w:r>
        <w:t xml:space="preserve">“</w:t>
      </w:r>
      <w:r>
        <w:t xml:space="preserve">detected</w:t>
      </w:r>
      <w:r>
        <w:t xml:space="preserve">”</w:t>
      </w:r>
      <w:r>
        <w:t xml:space="preserve"> </w:t>
      </w:r>
      <w:r>
        <w:t xml:space="preserve">to</w:t>
      </w:r>
      <w:r>
        <w:t xml:space="preserve"> </w:t>
      </w:r>
      <w:r>
        <w:t xml:space="preserve">“</w:t>
      </w:r>
      <w:r>
        <w:t xml:space="preserve">act on this</w:t>
      </w:r>
      <w:r>
        <w:t xml:space="preserve">”</w:t>
      </w:r>
      <w:r>
        <w:t xml:space="preserve"> </w:t>
      </w:r>
      <w:r>
        <w:t xml:space="preserve">was ever established.</w:t>
      </w:r>
    </w:p>
    <w:bookmarkEnd w:id="105"/>
    <w:bookmarkStart w:id="106" w:name="Xdb52962d2463fda6fe06df529d7eeeaeb9373e1"/>
    <w:p>
      <w:pPr>
        <w:pStyle w:val="Heading3"/>
      </w:pPr>
      <w:r>
        <w:t xml:space="preserve">9.8 Minimum Reporting Requirements for a Decision-Ready Wastewater Signal</w:t>
      </w:r>
    </w:p>
    <w:p>
      <w:pPr>
        <w:pStyle w:val="FirstParagraph"/>
      </w:pPr>
      <w:r>
        <w:t xml:space="preserve">Extending the reporting-standard device this review has used at the close of every methodological chapter since Chapter 5 (§5.7, §6.9, §7.7, §8.15) to the institutional/decision layer specifically: before a wastewater-derived signal is used to trigger a public health decision, this review proposes it should, at minimum, be accompanied by an explicit statement of — the</w:t>
      </w:r>
      <w:r>
        <w:t xml:space="preserve"> </w:t>
      </w:r>
      <w:r>
        <w:rPr>
          <w:bCs/>
          <w:b/>
        </w:rPr>
        <w:t xml:space="preserve">surveillance objective</w:t>
      </w:r>
      <w:r>
        <w:t xml:space="preserve"> </w:t>
      </w:r>
      <w:r>
        <w:t xml:space="preserve">it is serving (§9.1’s trend/anomaly/absolute-magnitude distinction, named explicitly rather than left implicit, since the appropriate validation standard differs by objective); the</w:t>
      </w:r>
      <w:r>
        <w:t xml:space="preserve"> </w:t>
      </w:r>
      <w:r>
        <w:rPr>
          <w:bCs/>
          <w:b/>
        </w:rPr>
        <w:t xml:space="preserve">alert threshold and its calibration basis</w:t>
      </w:r>
      <w:r>
        <w:t xml:space="preserve">, including which population, sewershed, and time period it was calibrated on (§9.2); the</w:t>
      </w:r>
      <w:r>
        <w:t xml:space="preserve"> </w:t>
      </w:r>
      <w:r>
        <w:rPr>
          <w:bCs/>
          <w:b/>
        </w:rPr>
        <w:t xml:space="preserve">estimated false-alarm and missed-detection rate for the specific deployment context</w:t>
      </w:r>
      <w:r>
        <w:t xml:space="preserve">, not a figure imported unmodified from a different published study (§9.2); which</w:t>
      </w:r>
      <w:r>
        <w:t xml:space="preserve"> </w:t>
      </w:r>
      <w:r>
        <w:rPr>
          <w:bCs/>
          <w:b/>
        </w:rPr>
        <w:t xml:space="preserve">upstream uncertainty sources</w:t>
      </w:r>
      <w:r>
        <w:t xml:space="preserve"> </w:t>
      </w:r>
      <w:r>
        <w:t xml:space="preserve">(§8.13’s decomposition) have, and have not, been incorporated into the reported interval or threshold; which</w:t>
      </w:r>
      <w:r>
        <w:t xml:space="preserve"> </w:t>
      </w:r>
      <w:r>
        <w:rPr>
          <w:bCs/>
          <w:b/>
        </w:rPr>
        <w:t xml:space="preserve">other data streams</w:t>
      </w:r>
      <w:r>
        <w:t xml:space="preserve"> </w:t>
      </w:r>
      <w:r>
        <w:t xml:space="preserve">it has and has not been fused with, and — where fusion has occurred — an explicit acknowledgment of whether cross-stream correlation was modeled or merely assumed away (§9.4); the</w:t>
      </w:r>
      <w:r>
        <w:t xml:space="preserve"> </w:t>
      </w:r>
      <w:r>
        <w:rPr>
          <w:bCs/>
          <w:b/>
        </w:rPr>
        <w:t xml:space="preserve">spatial resolution</w:t>
      </w:r>
      <w:r>
        <w:t xml:space="preserve"> </w:t>
      </w:r>
      <w:r>
        <w:t xml:space="preserve">at which the signal is reported and the associated privacy/stigma/equity review status, particularly at building- or small-catchment scale (§9.6); and an explicit</w:t>
      </w:r>
      <w:r>
        <w:t xml:space="preserve"> </w:t>
      </w:r>
      <w:r>
        <w:rPr>
          <w:bCs/>
          <w:b/>
        </w:rPr>
        <w:t xml:space="preserve">decision protocol</w:t>
      </w:r>
      <w:r>
        <w:t xml:space="preserve"> </w:t>
      </w:r>
      <w:r>
        <w:t xml:space="preserve">naming who acts on the signal, under what triggering condition, and with what action (§9.7’s second actionability condition).</w:t>
      </w:r>
    </w:p>
    <w:p>
      <w:pPr>
        <w:pStyle w:val="BodyText"/>
      </w:pPr>
      <w:r>
        <w:t xml:space="preserve">This is not, and is not intended as, a formal regulatory or accreditation checklist — this review has no authority to establish one, and existing institutional frameworks (WHO’s pathogen-prioritization and implementation guidance, [15]; the U.S. National Academies’ program-coordination strategy, [11]; and, for the EU/EEA context specifically, ECDC’s 2025 framework for integrating wastewater-based surveillance into infectious-disease surveillance and public health decision-making, European Centre for Disease Prevention and Control, 2025) are the actual, authoritative sources for that purpose and should be consulted directly rather than substituted for by this review’s synthesis. What this section adds, consistent with this review’s stated purpose throughout, is the connective argument for</w:t>
      </w:r>
      <w:r>
        <w:t xml:space="preserve"> </w:t>
      </w:r>
      <w:r>
        <w:rPr>
          <w:iCs/>
          <w:i/>
        </w:rPr>
        <w:t xml:space="preserve">why</w:t>
      </w:r>
      <w:r>
        <w:t xml:space="preserve"> </w:t>
      </w:r>
      <w:r>
        <w:t xml:space="preserve">each item above is necessary — tracing each requirement back to a specific failure mode this chapter and the seven preceding it have documented — rather than a novel or competing standard.</w:t>
      </w:r>
    </w:p>
    <w:bookmarkEnd w:id="106"/>
    <w:bookmarkStart w:id="107" w:name="X378c6ad3f2bf6f475d231ca86e8865e173308cb"/>
    <w:p>
      <w:pPr>
        <w:pStyle w:val="Heading3"/>
      </w:pPr>
      <w:r>
        <w:t xml:space="preserve">Table 7. Surveillance Objective × Decision Requirement × Primary Uncertainty Sensitivity × Representative Citation</w:t>
      </w:r>
    </w:p>
    <w:p>
      <w:pPr>
        <w:pStyle w:val="FirstParagraph"/>
      </w:pPr>
      <w:r>
        <w:rPr>
          <w:bCs/>
          <w:b/>
        </w:rPr>
        <w:t xml:space="preserve">Proposed by this review based on the conceptual synthesis of available guidance and methodological literature.</w:t>
      </w:r>
      <w:r>
        <w:t xml:space="preserve"> </w:t>
      </w:r>
      <w:r>
        <w:t xml:space="preserve">This table is this review’s own organizing device, consolidating §9.1–9.2’s argument that the three surveillance objectives are not interchangeable in what they require to be decision-ready — it is</w:t>
      </w:r>
      <w:r>
        <w:t xml:space="preserve"> </w:t>
      </w:r>
      <w:r>
        <w:rPr>
          <w:bCs/>
          <w:b/>
        </w:rPr>
        <w:t xml:space="preserve">not</w:t>
      </w:r>
      <w:r>
        <w:t xml:space="preserve"> </w:t>
      </w:r>
      <w:r>
        <w:t xml:space="preserve">a published, validated, or institutionally endorsed standard, and should not be read or cited as one. The</w:t>
      </w:r>
      <w:r>
        <w:t xml:space="preserve"> </w:t>
      </w:r>
      <w:r>
        <w:t xml:space="preserve">“</w:t>
      </w:r>
      <w:r>
        <w:t xml:space="preserve">what decision-ready requires</w:t>
      </w:r>
      <w:r>
        <w:t xml:space="preserve">”</w:t>
      </w:r>
      <w:r>
        <w:t xml:space="preserve"> </w:t>
      </w:r>
      <w:r>
        <w:t xml:space="preserve">and</w:t>
      </w:r>
      <w:r>
        <w:t xml:space="preserve"> </w:t>
      </w:r>
      <w:r>
        <w:t xml:space="preserve">“</w:t>
      </w:r>
      <w:r>
        <w:t xml:space="preserve">primary uncertainty sensitivity</w:t>
      </w:r>
      <w:r>
        <w:t xml:space="preserve">”</w:t>
      </w:r>
      <w:r>
        <w:t xml:space="preserve"> </w:t>
      </w:r>
      <w:r>
        <w:t xml:space="preserve">columns are this review’s analytical synthesis (cross-referenced to §3–8’s own formal content, not external claims requiring separate citation); the</w:t>
      </w:r>
      <w:r>
        <w:t xml:space="preserve"> </w:t>
      </w:r>
      <w:r>
        <w:t xml:space="preserve">“</w:t>
      </w:r>
      <w:r>
        <w:t xml:space="preserve">representative citation</w:t>
      </w:r>
      <w:r>
        <w:t xml:space="preserve">”</w:t>
      </w:r>
      <w:r>
        <w:t xml:space="preserve"> </w:t>
      </w:r>
      <w:r>
        <w:t xml:space="preserve">column names a real study illustrating the row, not a source that has validated the row’s general claim across settings — see</w:t>
      </w:r>
      <w:r>
        <w:t xml:space="preserve"> </w:t>
      </w:r>
      <w:r>
        <w:rPr>
          <w:rStyle w:val="VerbatimChar"/>
        </w:rPr>
        <w:t xml:space="preserve">WBE_Review_Table7_Evidence_Audit.md</w:t>
      </w:r>
      <w:r>
        <w:t xml:space="preserve"> </w:t>
      </w:r>
      <w:r>
        <w:t xml:space="preserve">for a cell-by-cell audit of this distinction.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Surveillance objective (§9.1)</w:t>
            </w:r>
          </w:p>
        </w:tc>
        <w:tc>
          <w:tcPr/>
          <w:p>
            <w:pPr>
              <w:pStyle w:val="Compact"/>
              <w:jc w:val="left"/>
            </w:pPr>
            <w:r>
              <w:t xml:space="preserve">What</w:t>
            </w:r>
            <w:r>
              <w:t xml:space="preserve"> </w:t>
            </w:r>
            <w:r>
              <w:t xml:space="preserve">“</w:t>
            </w:r>
            <w:r>
              <w:t xml:space="preserve">decision-ready</w:t>
            </w:r>
            <w:r>
              <w:t xml:space="preserve">”</w:t>
            </w:r>
            <w:r>
              <w:t xml:space="preserve"> </w:t>
            </w:r>
            <w:r>
              <w:t xml:space="preserve">requires</w:t>
            </w:r>
          </w:p>
        </w:tc>
        <w:tc>
          <w:tcPr/>
          <w:p>
            <w:pPr>
              <w:pStyle w:val="Compact"/>
              <w:jc w:val="left"/>
            </w:pPr>
            <w:r>
              <w:t xml:space="preserve">Primary uncertainty sensitivity (§8 cross-reference)</w:t>
            </w:r>
          </w:p>
        </w:tc>
        <w:tc>
          <w:tcPr/>
          <w:p>
            <w:pPr>
              <w:pStyle w:val="Compact"/>
              <w:jc w:val="left"/>
            </w:pPr>
            <w:r>
              <w:t xml:space="preserve">Fusion role (§9.3–9.4)</w:t>
            </w:r>
          </w:p>
        </w:tc>
        <w:tc>
          <w:tcPr/>
          <w:p>
            <w:pPr>
              <w:pStyle w:val="Compact"/>
              <w:jc w:val="left"/>
            </w:pPr>
            <w:r>
              <w:t xml:space="preserve">Representative citation</w:t>
            </w:r>
          </w:p>
        </w:tc>
      </w:tr>
      <w:tr>
        <w:tc>
          <w:tcPr/>
          <w:p>
            <w:pPr>
              <w:pStyle w:val="Compact"/>
              <w:jc w:val="left"/>
            </w:pPr>
            <w:r>
              <w:t xml:space="preserve">Trend monitoring</w:t>
            </w:r>
          </w:p>
        </w:tc>
        <w:tc>
          <w:tcPr/>
          <w:p>
            <w:pPr>
              <w:pStyle w:val="Compact"/>
              <w:jc w:val="left"/>
            </w:pPr>
            <w:r>
              <w:t xml:space="preserve">Stable bias over the monitoring window; direction/slope, not magnitude, needs to be reliable</w:t>
            </w:r>
          </w:p>
        </w:tc>
        <w:tc>
          <w:tcPr/>
          <w:p>
            <w:pPr>
              <w:pStyle w:val="Compact"/>
              <w:jc w:val="left"/>
            </w:pPr>
            <w:r>
              <w:t xml:space="preserve">Systematic, time-varying bias correlated with the trend itself (§4.2 rainfall/seasonality confound)</w:t>
            </w:r>
          </w:p>
        </w:tc>
        <w:tc>
          <w:tcPr/>
          <w:p>
            <w:pPr>
              <w:pStyle w:val="Compact"/>
              <w:jc w:val="left"/>
            </w:pPr>
            <w:r>
              <w:t xml:space="preserve">Weather as</w:t>
            </w:r>
            <w:r>
              <w:t xml:space="preserve"> </w:t>
            </w:r>
            <w:r>
              <w:rPr>
                <w:iCs/>
                <w:i/>
              </w:rPr>
              <w:t xml:space="preserve">correction covariate</w:t>
            </w:r>
            <w:r>
              <w:t xml:space="preserve">, not just corroborating stream (§9.3)</w:t>
            </w:r>
          </w:p>
        </w:tc>
        <w:tc>
          <w:tcPr/>
          <w:p>
            <w:pPr>
              <w:pStyle w:val="Compact"/>
              <w:jc w:val="left"/>
            </w:pPr>
            <w:r>
              <w:t xml:space="preserve">[8] Janssens et al. 2022 (illustrative single-program example; §4.2, §6.2)</w:t>
            </w:r>
          </w:p>
        </w:tc>
      </w:tr>
      <w:tr>
        <w:tc>
          <w:tcPr/>
          <w:p>
            <w:pPr>
              <w:pStyle w:val="Compact"/>
              <w:jc w:val="left"/>
            </w:pPr>
            <w:r>
              <w:t xml:space="preserve">Anomaly / early-warning detection</w:t>
            </w:r>
          </w:p>
        </w:tc>
        <w:tc>
          <w:tcPr/>
          <w:p>
            <w:pPr>
              <w:pStyle w:val="Compact"/>
              <w:jc w:val="left"/>
            </w:pPr>
            <w:r>
              <w:t xml:space="preserve">Explicit, auditable threshold; known false-alarm/missed-detection rate for the specific deployment</w:t>
            </w:r>
          </w:p>
        </w:tc>
        <w:tc>
          <w:tcPr/>
          <w:p>
            <w:pPr>
              <w:pStyle w:val="Compact"/>
              <w:jc w:val="left"/>
            </w:pPr>
            <w:r>
              <w:t xml:space="preserve">Noise-distribution shape and LOD-censoring behavior (§8.4, §8.11); threshold transfer risk across populations (§8.12)</w:t>
            </w:r>
          </w:p>
        </w:tc>
        <w:tc>
          <w:tcPr/>
          <w:p>
            <w:pPr>
              <w:pStyle w:val="Compact"/>
              <w:jc w:val="left"/>
            </w:pPr>
            <w:r>
              <w:t xml:space="preserve">Clinical/hospital data as independent corroboration, not substitute (§9.5)</w:t>
            </w:r>
          </w:p>
        </w:tc>
        <w:tc>
          <w:tcPr/>
          <w:p>
            <w:pPr>
              <w:pStyle w:val="Compact"/>
              <w:jc w:val="left"/>
            </w:pPr>
            <w:r>
              <w:t xml:space="preserve">[55] Assoum et al. 2023 (illustrative single-study example; specific setting not independently confirmed this session); [57] Link, Garrido, et al. 2026 (illustrative single-country/single-disease example, performance figures not established to transfer)</w:t>
            </w:r>
          </w:p>
        </w:tc>
      </w:tr>
      <w:tr>
        <w:tc>
          <w:tcPr/>
          <w:p>
            <w:pPr>
              <w:pStyle w:val="Compact"/>
              <w:jc w:val="left"/>
            </w:pPr>
            <w:r>
              <w:t xml:space="preserve">Absolute-magnitude estimation</w:t>
            </w:r>
          </w:p>
        </w:tc>
        <w:tc>
          <w:tcPr/>
          <w:p>
            <w:pPr>
              <w:pStyle w:val="Compact"/>
              <w:jc w:val="left"/>
            </w:pPr>
            <w:r>
              <w:t xml:space="preserve">Some meaningful subset of §7.0’s five evidentiary criteria actually demonstrated, not merely a correlation</w:t>
            </w:r>
          </w:p>
        </w:tc>
        <w:tc>
          <w:tcPr/>
          <w:p>
            <w:pPr>
              <w:pStyle w:val="Compact"/>
              <w:jc w:val="left"/>
            </w:pPr>
            <w:r>
              <w:t xml:space="preserve">Full propagated uncertainty (§8.13), including structural uncertainty (§8.12)</w:t>
            </w:r>
          </w:p>
        </w:tc>
        <w:tc>
          <w:tcPr/>
          <w:p>
            <w:pPr>
              <w:pStyle w:val="Compact"/>
              <w:jc w:val="left"/>
            </w:pPr>
            <w:r>
              <w:t xml:space="preserve">Multi-source joint modeling to constrain identifiability (§7.3), not simple averaging (§9.4)</w:t>
            </w:r>
          </w:p>
        </w:tc>
        <w:tc>
          <w:tcPr/>
          <w:p>
            <w:pPr>
              <w:pStyle w:val="Compact"/>
              <w:jc w:val="left"/>
            </w:pPr>
            <w:r>
              <w:t xml:space="preserve">[44] Dai et al. 2024 (single-city example); [46] Jones et al. 2014 (single chemical-target example)</w:t>
            </w:r>
          </w:p>
        </w:tc>
      </w:tr>
    </w:tbl>
    <w:bookmarkEnd w:id="107"/>
    <w:bookmarkStart w:id="108" w:name="X5f96a586ddd7b613f7eb79aec986890e8810e61"/>
    <w:p>
      <w:pPr>
        <w:pStyle w:val="Heading3"/>
      </w:pPr>
      <w:r>
        <w:t xml:space="preserve">Box —</w:t>
      </w:r>
      <w:r>
        <w:t xml:space="preserve"> </w:t>
      </w:r>
      <w:r>
        <w:t xml:space="preserve">“</w:t>
      </w:r>
      <w:r>
        <w:t xml:space="preserve">Detectable</w:t>
      </w:r>
      <w:r>
        <w:t xml:space="preserve">”</w:t>
      </w:r>
      <w:r>
        <w:t xml:space="preserve"> </w:t>
      </w:r>
      <w:r>
        <w:t xml:space="preserve">Is Not</w:t>
      </w:r>
      <w:r>
        <w:t xml:space="preserve"> </w:t>
      </w:r>
      <w:r>
        <w:t xml:space="preserve">“</w:t>
      </w:r>
      <w:r>
        <w:t xml:space="preserve">Actionable</w:t>
      </w:r>
      <w:r>
        <w:t xml:space="preserve">”</w:t>
      </w:r>
      <w:r>
        <w:t xml:space="preserve">: Why the Same Signal Can Be Both Real and Not Yet Decision-Ready</w:t>
      </w:r>
    </w:p>
    <w:p>
      <w:pPr>
        <w:pStyle w:val="BlockText"/>
      </w:pPr>
      <w:r>
        <w:t xml:space="preserve">A wastewater concentration series can clear every scientific bar this review has set — above the LOD, statistically distinguishable from baseline (§9.2), and, conditional on §7’s criteria being satisfied, correctly attributable to a real change in the source population — and still not be ready to trigger a public health decision. Suppose a monitoring program observes a sustained upward shift flagged by a well-specified detection rule (§9.2). Before that flagged shift becomes an action, §9.7’s four conditions still have to be checked: has the uncertainty been translated into a decision-relevant probability rather than left as a bare point estimate (condition 1)? Is there a named institutional actor and protocol this specific alert is supposed to trigger (condition 2)? Will that actor’s response still be useful by the time it can be delivered, given the interval between sample collection and usable output (condition 3)? And was the alert threshold calibrated on a false-alarm/missed-detection cost structure that actually reflects</w:t>
      </w:r>
      <w:r>
        <w:t xml:space="preserve"> </w:t>
      </w:r>
      <w:r>
        <w:rPr>
          <w:iCs/>
          <w:i/>
        </w:rPr>
        <w:t xml:space="preserve">this</w:t>
      </w:r>
      <w:r>
        <w:t xml:space="preserve"> </w:t>
      </w:r>
      <w:r>
        <w:t xml:space="preserve">deployment’s consequences, or borrowed from a different study’s population and sewershed (condition 4)? A signal that is detectable but fails any one of these is not a failure of the science in Chapters 3–8 — it is an unfinished translation, and the correct response is to finish the translation, not to either force an action the signal cannot yet support or dismiss a scientifically real finding because the institutional half of the pipeline was never built.</w:t>
      </w:r>
      <w:r>
        <w:t xml:space="preserve"> </w:t>
      </w:r>
      <w:r>
        <w:rPr>
          <w:bCs/>
          <w:b/>
        </w:rPr>
        <w:t xml:space="preserve">This box is this review’s own illustrative construction, not a restatement of any cited source’s worked example.</w:t>
      </w:r>
    </w:p>
    <w:bookmarkEnd w:id="108"/>
    <w:bookmarkStart w:id="109" w:name="X8b12a2496ea9de7379f7c938020c8522bdac459"/>
    <w:p>
      <w:pPr>
        <w:pStyle w:val="Heading3"/>
      </w:pPr>
      <w:r>
        <w:t xml:space="preserve">9.9 Evidentiary Note: One Source Withdrawn From Citation This Round</w:t>
      </w:r>
    </w:p>
    <w:p>
      <w:pPr>
        <w:pStyle w:val="FirstParagraph"/>
      </w:pPr>
      <w:r>
        <w:t xml:space="preserve">Per this review’s standing rule that a source’s basic identity (title, authorship, venue) must be independently confirmed before it supports any claim in the main text, one source considered for this chapter — a proposed EWMA-based early-warning index for wastewater-derived respiratory-virus signals, encountered during the §9.1–9.2 search — has been</w:t>
      </w:r>
      <w:r>
        <w:t xml:space="preserve"> </w:t>
      </w:r>
      <w:r>
        <w:rPr>
          <w:bCs/>
          <w:b/>
        </w:rPr>
        <w:t xml:space="preserve">withdrawn from confident citation and removed from Table 7</w:t>
      </w:r>
      <w:r>
        <w:t xml:space="preserve">, because even a possible co-author’s name could not be corroborated beyond a single, non-independently-repeated search result, below the bar this review applies everywhere else (compare, e.g., [7] Han et al. or [19] Cha et al., both cited with a confirmed lead author and an explicit</w:t>
      </w:r>
      <w:r>
        <w:t xml:space="preserve"> </w:t>
      </w:r>
      <w:r>
        <w:t xml:space="preserve">“</w:t>
      </w:r>
      <w:r>
        <w:t xml:space="preserve">et al., truncated</w:t>
      </w:r>
      <w:r>
        <w:t xml:space="preserve">”</w:t>
      </w:r>
      <w:r>
        <w:t xml:space="preserve"> </w:t>
      </w:r>
      <w:r>
        <w:t xml:space="preserve">flag — a materially stronger evidentiary position than what this withdrawn source could support). The underlying design idea — transparent, auditable statistical-process-control detection favored over opaque forecasting complexity — is retained in §9.1–9.2’s prose as a conceptual point worth naming, consistent with instruction that a conceptual judgment need not be discarded along with an unusable citation, but it is not attributed to, or used as evidence from, that specific source. This is tracked in</w:t>
      </w:r>
      <w:r>
        <w:t xml:space="preserve"> </w:t>
      </w:r>
      <w:r>
        <w:rPr>
          <w:rStyle w:val="VerbatimChar"/>
        </w:rPr>
        <w:t xml:space="preserve">WBE_Review_Pending_Verification_List.md</w:t>
      </w:r>
      <w:r>
        <w:t xml:space="preserve"> </w:t>
      </w:r>
      <w:r>
        <w:t xml:space="preserve">under</w:t>
      </w:r>
      <w:r>
        <w:t xml:space="preserve"> </w:t>
      </w:r>
      <w:r>
        <w:t xml:space="preserve">“</w:t>
      </w:r>
      <w:r>
        <w:t xml:space="preserve">do not cite until metadata resolved,</w:t>
      </w:r>
      <w:r>
        <w:t xml:space="preserve">”</w:t>
      </w:r>
      <w:r>
        <w:t xml:space="preserve"> </w:t>
      </w:r>
      <w:r>
        <w:t xml:space="preserve">not simply left as a lower-confidence citation the way this review’s other incomplete-author-list sources are handled.</w:t>
      </w:r>
    </w:p>
    <w:p>
      <w:r>
        <w:pict>
          <v:rect style="width:0;height:1.5pt" o:hralign="center" o:hrstd="t" o:hr="t"/>
        </w:pict>
      </w:r>
    </w:p>
    <w:bookmarkEnd w:id="109"/>
    <w:bookmarkEnd w:id="110"/>
    <w:bookmarkStart w:id="124" w:name="Xdfa5f3cf32adc9b77c74358ec12bd6920401cce"/>
    <w:p>
      <w:pPr>
        <w:pStyle w:val="Heading2"/>
      </w:pPr>
      <w:r>
        <w:t xml:space="preserve">10. Enabling Technologies and Research Infrastructures for Process-Informed Wastewater-Based Epidemiology</w:t>
      </w:r>
    </w:p>
    <w:p>
      <w:pPr>
        <w:pStyle w:val="FirstParagraph"/>
      </w:pPr>
      <w:r>
        <w:rPr>
          <w:bCs/>
          <w:b/>
        </w:rPr>
        <w:t xml:space="preserve">Status note, same standard as every chapter above:</w:t>
      </w:r>
      <w:r>
        <w:t xml:space="preserve"> </w:t>
      </w:r>
      <w:r>
        <w:t xml:space="preserve">Chapter 10 is a</w:t>
      </w:r>
      <w:r>
        <w:t xml:space="preserve"> </w:t>
      </w:r>
      <w:r>
        <w:rPr>
          <w:bCs/>
          <w:b/>
        </w:rPr>
        <w:t xml:space="preserve">conceptual working draft</w:t>
      </w:r>
      <w:r>
        <w:t xml:space="preserve">, assembled from the identical web-search/metadata-cross-reference methodology as every prior chapter, never full-text-verified. This chapter carries one additional, explicit discipline beyond the general standard, stated once here rather than re-flagged after every claim:</w:t>
      </w:r>
      <w:r>
        <w:t xml:space="preserve"> </w:t>
      </w:r>
      <w:r>
        <w:rPr>
          <w:bCs/>
          <w:b/>
        </w:rPr>
        <w:t xml:space="preserve">no unverified market size, cost, sensitivity, or deployment-count figure appears anywhere below; no preprint is used to solely support a key conclusion (every source cited in this chapter is a peer-reviewed journal article, a deliberate improvement over Chapter 9’s necessarily preprint-inclusive alert-detection evidence base); no institutional project webpage is treated as proof of technical performance; and no detection-capability paper is treated as automatically establishing epidemiological inference capability.</w:t>
      </w:r>
      <w:r>
        <w:t xml:space="preserve"> </w:t>
      </w:r>
      <w:r>
        <w:t xml:space="preserve">Every</w:t>
      </w:r>
      <w:r>
        <w:t xml:space="preserve"> </w:t>
      </w:r>
      <w:r>
        <w:t xml:space="preserve">“</w:t>
      </w:r>
      <w:r>
        <w:t xml:space="preserve">future</w:t>
      </w:r>
      <w:r>
        <w:t xml:space="preserve">”</w:t>
      </w:r>
      <w:r>
        <w:t xml:space="preserve"> </w:t>
      </w:r>
      <w:r>
        <w:t xml:space="preserve">or</w:t>
      </w:r>
      <w:r>
        <w:t xml:space="preserve"> </w:t>
      </w:r>
      <w:r>
        <w:t xml:space="preserve">“</w:t>
      </w:r>
      <w:r>
        <w:t xml:space="preserve">emerging</w:t>
      </w:r>
      <w:r>
        <w:t xml:space="preserve">”</w:t>
      </w:r>
      <w:r>
        <w:t xml:space="preserve"> </w:t>
      </w:r>
      <w:r>
        <w:t xml:space="preserve">claim below is explicitly classified as one of four distinct maturity levels —</w:t>
      </w:r>
      <w:r>
        <w:t xml:space="preserve"> </w:t>
      </w:r>
      <w:r>
        <w:rPr>
          <w:bCs/>
          <w:b/>
        </w:rPr>
        <w:t xml:space="preserve">technically possible</w:t>
      </w:r>
      <w:r>
        <w:t xml:space="preserve">,</w:t>
      </w:r>
      <w:r>
        <w:t xml:space="preserve"> </w:t>
      </w:r>
      <w:r>
        <w:rPr>
          <w:bCs/>
          <w:b/>
        </w:rPr>
        <w:t xml:space="preserve">field-demonstrated</w:t>
      </w:r>
      <w:r>
        <w:t xml:space="preserve">,</w:t>
      </w:r>
      <w:r>
        <w:t xml:space="preserve"> </w:t>
      </w:r>
      <w:r>
        <w:rPr>
          <w:bCs/>
          <w:b/>
        </w:rPr>
        <w:t xml:space="preserve">operationally deployed</w:t>
      </w:r>
      <w:r>
        <w:t xml:space="preserve">, or</w:t>
      </w:r>
      <w:r>
        <w:t xml:space="preserve"> </w:t>
      </w:r>
      <w:r>
        <w:rPr>
          <w:bCs/>
          <w:b/>
        </w:rPr>
        <w:t xml:space="preserve">decision-value validated</w:t>
      </w:r>
      <w:r>
        <w:t xml:space="preserve"> </w:t>
      </w:r>
      <w:r>
        <w:t xml:space="preserve">— per §10.10’s framework, rather than left as an undifferentiated</w:t>
      </w:r>
      <w:r>
        <w:t xml:space="preserve"> </w:t>
      </w:r>
      <w:r>
        <w:t xml:space="preserve">“</w:t>
      </w:r>
      <w:r>
        <w:t xml:space="preserve">promising direction.</w:t>
      </w:r>
      <w:r>
        <w:t xml:space="preserve">”</w:t>
      </w:r>
      <w:r>
        <w:t xml:space="preserve"> </w:t>
      </w:r>
      <w:r>
        <w:t xml:space="preserve">One citation-verification note specific to this chapter: an initial search result attributed the foundational passive-sampling study in §10.1 to</w:t>
      </w:r>
      <w:r>
        <w:t xml:space="preserve"> </w:t>
      </w:r>
      <w:r>
        <w:t xml:space="preserve">“</w:t>
      </w:r>
      <w:r>
        <w:t xml:space="preserve">Moore et al.,</w:t>
      </w:r>
      <w:r>
        <w:t xml:space="preserve">”</w:t>
      </w:r>
      <w:r>
        <w:t xml:space="preserve"> </w:t>
      </w:r>
      <w:r>
        <w:t xml:space="preserve">which on closer inspection was a citogenesis artifact — the</w:t>
      </w:r>
      <w:r>
        <w:t xml:space="preserve"> </w:t>
      </w:r>
      <w:r>
        <w:t xml:space="preserve">“</w:t>
      </w:r>
      <w:r>
        <w:t xml:space="preserve">Moore swab</w:t>
      </w:r>
      <w:r>
        <w:t xml:space="preserve">”</w:t>
      </w:r>
      <w:r>
        <w:t xml:space="preserve"> </w:t>
      </w:r>
      <w:r>
        <w:t xml:space="preserve">is a historically named</w:t>
      </w:r>
      <w:r>
        <w:t xml:space="preserve"> </w:t>
      </w:r>
      <w:r>
        <w:rPr>
          <w:iCs/>
          <w:i/>
        </w:rPr>
        <w:t xml:space="preserve">method</w:t>
      </w:r>
      <w:r>
        <w:t xml:space="preserve">, not this specific paper’s author — and the actual author list (Schang et al., 23 authors, confirmed via a dedicated re-search) is used instead. This is recorded here as a documented instance of exactly the search-engine-summary failure mode this review has warned about since §2.3, caught before entering the text rather than after.</w:t>
      </w:r>
    </w:p>
    <w:bookmarkStart w:id="111" w:name="X608470e24b573731d0076dc300fd127407da5a2"/>
    <w:p>
      <w:pPr>
        <w:pStyle w:val="Heading3"/>
      </w:pPr>
      <w:r>
        <w:t xml:space="preserve">10.0 What Chapter 9 Hands to Chapter 10, and the Boundary Between Them</w:t>
      </w:r>
    </w:p>
    <w:p>
      <w:pPr>
        <w:pStyle w:val="FirstParagraph"/>
      </w:pPr>
      <w:r>
        <w:t xml:space="preserve">Chapter 9 asked what a public health system should</w:t>
      </w:r>
      <w:r>
        <w:t xml:space="preserve"> </w:t>
      </w:r>
      <w:r>
        <w:rPr>
          <w:iCs/>
          <w:i/>
        </w:rPr>
        <w:t xml:space="preserve">do</w:t>
      </w:r>
      <w:r>
        <w:t xml:space="preserve"> </w:t>
      </w:r>
      <w:r>
        <w:t xml:space="preserve">with an already-produced, uncertainty-quantified wastewater signal — surveillance objectives, decision thresholds, data fusion, institutional boundaries, equity. Chapter 10 asks a different, upstream question:</w:t>
      </w:r>
      <w:r>
        <w:t xml:space="preserve"> </w:t>
      </w:r>
      <w:r>
        <w:rPr>
          <w:bCs/>
          <w:b/>
        </w:rPr>
        <w:t xml:space="preserve">what technical and infrastructural capabilities determine whether that signal can be produced with better spatial resolution, lower latency, richer biological content, more defensible process-based correction, and better cross-site comparability in the first place.</w:t>
      </w:r>
      <w:r>
        <w:t xml:space="preserve"> </w:t>
      </w:r>
      <w:r>
        <w:t xml:space="preserve">This is deliberately not a restatement of Chapter 9’s multi-source public-health data fusion (clinical/mobility/weather/pharmacy/hospital, §9.3–9.4) — this chapter’s</w:t>
      </w:r>
      <w:r>
        <w:t xml:space="preserve"> </w:t>
      </w:r>
      <w:r>
        <w:t xml:space="preserve">“</w:t>
      </w:r>
      <w:r>
        <w:t xml:space="preserve">fusion</w:t>
      </w:r>
      <w:r>
        <w:t xml:space="preserve">”</w:t>
      </w:r>
      <w:r>
        <w:t xml:space="preserve"> </w:t>
      </w:r>
      <w:r>
        <w:t xml:space="preserve">concern, where it appears at all (§10.7), is about</w:t>
      </w:r>
      <w:r>
        <w:t xml:space="preserve"> </w:t>
      </w:r>
      <w:r>
        <w:rPr>
          <w:iCs/>
          <w:i/>
        </w:rPr>
        <w:t xml:space="preserve">wastewater-system data infrastructure interoperability</w:t>
      </w:r>
      <w:r>
        <w:t xml:space="preserve">, a different problem from combining wastewater with external public-health data streams. Nor does this chapter re-derive the normalization decision framework (§6.9), the validation requirements (§7.5), decision uncertainty (§8.14), or the minimum-reporting-requirement pattern established since Chapter 5 and extended institutionally in §9.8 — each is cross-referenced where directly relevant, never re-explained.</w:t>
      </w:r>
    </w:p>
    <w:bookmarkEnd w:id="111"/>
    <w:bookmarkStart w:id="112" w:name="distributed-sewer-network-sensing"/>
    <w:p>
      <w:pPr>
        <w:pStyle w:val="Heading3"/>
      </w:pPr>
      <w:r>
        <w:t xml:space="preserve">10.1 Distributed Sewer-Network Sensing</w:t>
      </w:r>
    </w:p>
    <w:p>
      <w:pPr>
        <w:pStyle w:val="FirstParagraph"/>
      </w:pPr>
      <w:r>
        <w:t xml:space="preserve">The signal-formation chain formalized in §3.0 and developed through §4 treats a single treatment-plant-inlet observation as the review’s default unit of analysis — but §9.1 and §9.6 already established that</w:t>
      </w:r>
      <w:r>
        <w:t xml:space="preserve"> </w:t>
      </w:r>
      <w:r>
        <w:rPr>
          <w:iCs/>
          <w:i/>
        </w:rPr>
        <w:t xml:space="preserve">where</w:t>
      </w:r>
      <w:r>
        <w:t xml:space="preserve"> </w:t>
      </w:r>
      <w:r>
        <w:t xml:space="preserve">in the network a sample is taken changes both what the sample can support (finer-grained early warning, §9.1) and what risk it carries (re-identification, §9.6). Monitoring upstream of the treatment plant — at pump stations, sewer manholes, or specific at-risk facilities — allows a single citywide catchment to be disaggregated into smaller, geographically defined sub-catchments for targeted, traceable action, rather than only a single aggregate figure. This is a</w:t>
      </w:r>
      <w:r>
        <w:t xml:space="preserve"> </w:t>
      </w:r>
      <w:r>
        <w:rPr>
          <w:bCs/>
          <w:b/>
        </w:rPr>
        <w:t xml:space="preserve">spatial-resolution/signal-stability trade-off</w:t>
      </w:r>
      <w:r>
        <w:t xml:space="preserve">, not a strictly-better upgrade: a foundational passive-sampling study validated a low-cost, easily deployable Moore-swab-type sampler across three nested spatial scales (lot, suburb, and city), providing the first evidence that passive samplers could detect SARS-CoV-2 in wastewater from populations with very low prevalence — as low as roughly 0.03 to 0.3 cases per 10,000 population, a figure this review flags as pending full-text verification rather than treating as an established general detection floor — demonstrating early-detection capability specifically at the finer spatial scales autosamplers and grab sampling are poorly suited to deploying quickly and repeatedly (Schang et al., 2021). Automated composite samplers remain the reference method at treatment-plant scale (§5.2) precisely because they average out the within-day variability that becomes proportionally more consequential — smaller volumes, fewer contributing individuals, more intermittent flow — as the monitored catchment shrinks toward a single building or facility (§9.6’s re-identification-risk discussion is the ethical mirror of this same spatial-resolution trade-off).</w:t>
      </w:r>
      <w:r>
        <w:t xml:space="preserve"> </w:t>
      </w:r>
      <w:r>
        <w:rPr>
          <w:bCs/>
          <w:b/>
        </w:rPr>
        <w:t xml:space="preserve">Distributed sensing does not change any of Chapters 3–8’s underlying signal-formation physics; it changes the spatial granularity at which those same distortions and uncertainties must be characterized, and finer granularity generally means less averaging-out of exactly the aleatory variability §8.2 formalized, not less uncertainty overall.</w:t>
      </w:r>
    </w:p>
    <w:bookmarkEnd w:id="112"/>
    <w:bookmarkStart w:id="113" w:name="near-real-time-and-online-measurements"/>
    <w:p>
      <w:pPr>
        <w:pStyle w:val="Heading3"/>
      </w:pPr>
      <w:r>
        <w:t xml:space="preserve">10.2 Near-Real-Time and Online Measurements</w:t>
      </w:r>
    </w:p>
    <w:p>
      <w:pPr>
        <w:pStyle w:val="FirstParagraph"/>
      </w:pPr>
      <w:r>
        <w:t xml:space="preserve">Every quantitative method audited in Chapters 5–8 assumes a sample is transported to a laboratory, processed, and reported with a latency ranging from hours to days — a latency §9.7’s third actionability condition already identified as a hard constraint on whether a signal remains decision-relevant by the time it can be acted on. Automated, on-site, or near-real-time measurement technologies aim to compress that latency. A representative example integrates a particle-based viral concentration step with an isothermal amplification and paper-based lateral-flow readout, reporting detection of heat-inactivated SARS-CoV-2 in wastewater at a stated concentration within about one hour of sample collection under laboratory bench-top conditions (Sharma, Takamura, Biyani, &amp; Honda, 2024 — the specific concentration and turnaround figures are pending full-text verification; the qualitative claim of sub-two-hour turnaround under controlled conditions is the load-bearing finding for this section).</w:t>
      </w:r>
      <w:r>
        <w:t xml:space="preserve"> </w:t>
      </w:r>
      <w:r>
        <w:rPr>
          <w:bCs/>
          <w:b/>
        </w:rPr>
        <w:t xml:space="preserve">This review classifies this class of result explicitly as technically possible and, at most, laboratory field-demonstrated (§10.10) — not operationally deployed and not decision-value validated.</w:t>
      </w:r>
      <w:r>
        <w:t xml:space="preserve"> </w:t>
      </w:r>
      <w:r>
        <w:t xml:space="preserve">A bench-top or single-site proof-of-concept detection result does not by itself establish: analytical validation against the recovery/inhibition/precision standards §5.5 requires; false-positive control under the matrix complexity of real, unprocessed wastewater (as opposed to a spiked or heat-inactivated laboratory sample); reproducibility across operators, sites, and seasons; or — the distinction this chapter insists on throughout — that faster detection translates into a decision-relevant improvement per §9.7’s four actionability conditions, as opposed to simply a faster wrong number if the underlying process-informed correction (Chapters 4, 6, 7) has not also been validated for the same near-real-time context.</w:t>
      </w:r>
      <w:r>
        <w:t xml:space="preserve"> </w:t>
      </w:r>
      <w:r>
        <w:rPr>
          <w:bCs/>
          <w:b/>
        </w:rPr>
        <w:t xml:space="preserve">Prototype biosensors are not, by that fact alone, ready for routine public-health deployment, and this chapter does not describe any as such.</w:t>
      </w:r>
    </w:p>
    <w:bookmarkEnd w:id="113"/>
    <w:bookmarkStart w:id="114" w:name="sewer-digital-twins"/>
    <w:p>
      <w:pPr>
        <w:pStyle w:val="Heading3"/>
      </w:pPr>
      <w:r>
        <w:t xml:space="preserve">10.3 Sewer Digital Twins</w:t>
      </w:r>
    </w:p>
    <w:p>
      <w:pPr>
        <w:pStyle w:val="FirstParagraph"/>
      </w:pPr>
      <w:r>
        <w:t xml:space="preserve">§4’s mechanistic treatment of in-sewer transport (retention time, decay, sedimentation/resuspension, rainfall-driven dilution) and §8.3’s formalization of the resulting process uncertainty both describe the sewer network as a physical system that could, in principle, be simulated explicitly rather than treated as an unobserved black box between source and sample. A</w:t>
      </w:r>
      <w:r>
        <w:t xml:space="preserve"> </w:t>
      </w:r>
      <w:r>
        <w:rPr>
          <w:bCs/>
          <w:b/>
        </w:rPr>
        <w:t xml:space="preserve">digital twin</w:t>
      </w:r>
      <w:r>
        <w:t xml:space="preserve"> </w:t>
      </w:r>
      <w:r>
        <w:t xml:space="preserve">— a continuously updated virtual replica of the physical sewer network, combining hydraulic modeling with real-time sensor data — is the infrastructural device that would make such explicit simulation operational. A recent synthesis of 147 peer-reviewed studies across the urban water cycle (spanning wastewater collection, treatment, water distribution, and reclamation) found substantial recent growth in digital-twin research specifically, from essentially no publications in 2015 to dozens per year by 2025, with a substantial minority of studies (a specific fraction is pending full-text verification) incorporating machine-learning components alongside the underlying hydraulic model, and identified persistent gaps particularly for membrane-based systems and for applications in low- and middle-income regions (Bam, Rezaei, Roubanis, Austin, Austin, Tarroja, Takacs, Villez, &amp; Rosso, 2025).</w:t>
      </w:r>
      <w:r>
        <w:t xml:space="preserve"> </w:t>
      </w:r>
      <w:r>
        <w:rPr>
          <w:bCs/>
          <w:b/>
        </w:rPr>
        <w:t xml:space="preserve">This review states explicitly, per instruction, what a sewer digital twin’s epistemic contribution actually is and is not</w:t>
      </w:r>
      <w:r>
        <w:t xml:space="preserve">: a hydraulic-model-based digital twin can supply §4’s residence-time distribution, simulate rainfall/infiltration response scenarios (§4.2, §8.3), and support source-attribution reasoning by modeling which sub-catchments could plausibly have contributed to an observed signal under specific flow conditions — it is, in this review’s own vocabulary, a</w:t>
      </w:r>
      <w:r>
        <w:t xml:space="preserve"> </w:t>
      </w:r>
      <w:r>
        <w:rPr>
          <w:bCs/>
          <w:b/>
        </w:rPr>
        <w:t xml:space="preserve">process-constraint-generating tool</w:t>
      </w:r>
      <w:r>
        <w:t xml:space="preserve">, directly analogous to the process-informed correction this review has argued for since §3.0.</w:t>
      </w:r>
      <w:r>
        <w:t xml:space="preserve"> </w:t>
      </w:r>
      <w:r>
        <w:rPr>
          <w:bCs/>
          <w:b/>
        </w:rPr>
        <w:t xml:space="preserve">It does not, by running the simulation, automatically produce a validated true source-end signal</w:t>
      </w:r>
      <w:r>
        <w:t xml:space="preserve"> </w:t>
      </w:r>
      <w:r>
        <w:t xml:space="preserve">— a digital twin’s hydraulic outputs are themselves a model subject to exactly the structural-uncertainty caution of §8.12: a well-calibrated flow model reduces the space of admissible transport scenarios, it does not eliminate the identifiability limits §7.0 established, and a digital twin’s simulated residence-time distribution is only as trustworthy as the calibration and validation data feeding it, which the reviewed literature’s own gap analysis suggests remains uneven across system types and geographies.</w:t>
      </w:r>
    </w:p>
    <w:bookmarkEnd w:id="114"/>
    <w:bookmarkStart w:id="115" w:name="Xffe2673c0eef09cd47f7dd5184b71a7d93c775a"/>
    <w:p>
      <w:pPr>
        <w:pStyle w:val="Heading3"/>
      </w:pPr>
      <w:r>
        <w:t xml:space="preserve">10.4 Multi-Omics and Expanded Biomarker Panels</w:t>
      </w:r>
    </w:p>
    <w:p>
      <w:pPr>
        <w:pStyle w:val="FirstParagraph"/>
      </w:pPr>
      <w:r>
        <w:t xml:space="preserve">Chapters 3–8 are written almost entirely around single- or few-target quantification (a pathogen’s RNA/DNA concentration, a chemical biomarker’s concentration) — the dominant paradigm this review’s evidence base reflects. Multi-omics approaches (metagenomics, transcriptomics, proteomics, metabolomics) and expanded biomarker panels (multi-pathogen, antimicrobial-resistance-gene, and host-response marker panels) extend this to simultaneously characterizing many biological signals from a single sample. A narrative review of 29 papers applying wastewater-based epidemiology to antimicrobial-resistance surveillance specifically found the field spans culture-based, PCR-based, whole-genome-sequencing, mass-spectrometry, bioinformatics/metagenomic, and antimicrobial-susceptibility-testing methods, with</w:t>
      </w:r>
      <w:r>
        <w:t xml:space="preserve"> </w:t>
      </w:r>
      <w:r>
        <w:rPr>
          <w:iCs/>
          <w:i/>
        </w:rPr>
        <w:t xml:space="preserve">Escherichia coli</w:t>
      </w:r>
      <w:r>
        <w:t xml:space="preserve">,</w:t>
      </w:r>
      <w:r>
        <w:t xml:space="preserve"> </w:t>
      </w:r>
      <w:r>
        <w:rPr>
          <w:iCs/>
          <w:i/>
        </w:rPr>
        <w:t xml:space="preserve">Enterococcus</w:t>
      </w:r>
      <w:r>
        <w:t xml:space="preserve"> </w:t>
      </w:r>
      <w:r>
        <w:t xml:space="preserve">spp., and</w:t>
      </w:r>
      <w:r>
        <w:t xml:space="preserve"> </w:t>
      </w:r>
      <w:r>
        <w:rPr>
          <w:iCs/>
          <w:i/>
        </w:rPr>
        <w:t xml:space="preserve">Pseudomonas</w:t>
      </w:r>
      <w:r>
        <w:t xml:space="preserve"> </w:t>
      </w:r>
      <w:r>
        <w:t xml:space="preserve">spp. identified as the most consistently studied resistant taxa and hospital effluent showing higher abundance of clinically relevant resistance genes than community wastewater — a finding directly relevant to §9.3’s data-fusion discussion, since hospital-effluent AMR signal and community AMR signal are not interchangeable data sources despite superficially measuring</w:t>
      </w:r>
      <w:r>
        <w:t xml:space="preserve"> </w:t>
      </w:r>
      <w:r>
        <w:t xml:space="preserve">“</w:t>
      </w:r>
      <w:r>
        <w:t xml:space="preserve">the same thing</w:t>
      </w:r>
      <w:r>
        <w:t xml:space="preserve">”</w:t>
      </w:r>
      <w:r>
        <w:t xml:space="preserve"> </w:t>
      </w:r>
      <w:r>
        <w:t xml:space="preserve">(Malcom &amp; Bowes, 2025; the specific taxon-prevalence percentages are pending full-text verification). A separately identified metagenomics-based approach specifically for AMR source attribution reports being able to computationally separate human-derived from sewer-environment-derived resistance-gene contributions within a single wastewater sample — a capability directly relevant to this review’s own recurring spatial/source-attribution concern (§3.0, §9.5), since a resistance signal of purely environmental (non-human) origin would otherwise be misread as a public-health-relevant finding.</w:t>
      </w:r>
    </w:p>
    <w:p>
      <w:pPr>
        <w:pStyle w:val="BodyText"/>
      </w:pPr>
      <w:r>
        <w:rPr>
          <w:bCs/>
          <w:b/>
        </w:rPr>
        <w:t xml:space="preserve">This section’s required caution, stated as directly as §10.2’s</w:t>
      </w:r>
      <w:r>
        <w:t xml:space="preserve">: multi-omics detection capability is not, by itself, population-level epidemiological inference capability — the same distinction this review has made for every single-target method since Chapter 3 applies with, if anything, greater force here. Three specific challenges recur across this literature and are worth naming explicitly:</w:t>
      </w:r>
      <w:r>
        <w:t xml:space="preserve"> </w:t>
      </w:r>
      <w:r>
        <w:rPr>
          <w:bCs/>
          <w:b/>
        </w:rPr>
        <w:t xml:space="preserve">interpretability</w:t>
      </w:r>
      <w:r>
        <w:t xml:space="preserve"> </w:t>
      </w:r>
      <w:r>
        <w:t xml:space="preserve">(a metagenomic or proteomic profile is a high-dimensional object; converting it into a decision-relevant quantity requires the same back-calculation and identifiability discipline Chapter 7 established for a single target, not a different, easier problem because more data was collected);</w:t>
      </w:r>
      <w:r>
        <w:t xml:space="preserve"> </w:t>
      </w:r>
      <w:r>
        <w:rPr>
          <w:bCs/>
          <w:b/>
        </w:rPr>
        <w:t xml:space="preserve">reference-database and compositional-data effects</w:t>
      </w:r>
      <w:r>
        <w:t xml:space="preserve"> </w:t>
      </w:r>
      <w:r>
        <w:t xml:space="preserve">(metagenomic taxonomic/functional assignment depends on reference-database completeness and currency, and relative-abundance compositional data carry well-known statistical artifacts — e.g., an apparent change in one taxon’s relative abundance can be driven entirely by a change in a different, unrelated taxon — that a naive analysis can misread as a real biological signal); and</w:t>
      </w:r>
      <w:r>
        <w:t xml:space="preserve"> </w:t>
      </w:r>
      <w:r>
        <w:rPr>
          <w:bCs/>
          <w:b/>
        </w:rPr>
        <w:t xml:space="preserve">batch effects</w:t>
      </w:r>
      <w:r>
        <w:t xml:space="preserve"> </w:t>
      </w:r>
      <w:r>
        <w:t xml:space="preserve">(sequencing-run and extraction-batch effects can dominate genuine biological signal in multi-omics data, a documented general problem in metagenomics this review treats as directly applicable to WBE multi-omics applications, per the same discipline as this review’s other general-methodology, non-WBE-specific citations in Chapter 7).</w:t>
      </w:r>
    </w:p>
    <w:bookmarkEnd w:id="115"/>
    <w:bookmarkStart w:id="116" w:name="process-informed-artificial-intelligence"/>
    <w:p>
      <w:pPr>
        <w:pStyle w:val="Heading3"/>
      </w:pPr>
      <w:r>
        <w:t xml:space="preserve">10.5 Process-Informed Artificial Intelligence</w:t>
      </w:r>
    </w:p>
    <w:p>
      <w:pPr>
        <w:pStyle w:val="FirstParagraph"/>
      </w:pPr>
      <w:r>
        <w:t xml:space="preserve">Chapter 7 already surveyed machine-learning approaches to WBE-based prediction as one of several method families (§7.1.2, §7.4, Table 5), finding useful short-horizon predictive performance in at least one reviewed study without full identifiability or structural-adequacy validation. This section extends that discussion specifically to</w:t>
      </w:r>
      <w:r>
        <w:t xml:space="preserve"> </w:t>
      </w:r>
      <w:r>
        <w:rPr>
          <w:bCs/>
          <w:b/>
        </w:rPr>
        <w:t xml:space="preserve">process-informed</w:t>
      </w:r>
      <w:r>
        <w:t xml:space="preserve"> </w:t>
      </w:r>
      <w:r>
        <w:t xml:space="preserve">(also called physics-informed or hybrid mechanistic-statistical) machine learning — architectures that explicitly incorporate the mechanistic structure Chapters 3–8 developed (transport equations, decay kinetics, mass-balance constraints) as constraints on, rather than a replacement for, a statistical/ML model. A recent review frames this hybrid approach as combining mechanistic and data-driven paradigms specifically to fill gaps in mechanistic understanding with a learned component rather than discarding the mechanistic structure altogether, and separately surveys machine-learning applications to WBE data analytics for infectious-disease risk management specifically (Pagsuyoin, Ng, Molejon, &amp; Luo, 2025 — the specific model architectures and performance comparisons surveyed are pending full-text verification).</w:t>
      </w:r>
    </w:p>
    <w:p>
      <w:pPr>
        <w:pStyle w:val="BodyText"/>
      </w:pPr>
      <w:r>
        <w:rPr>
          <w:bCs/>
          <w:b/>
        </w:rPr>
        <w:t xml:space="preserve">This chapter’s central caution for this section, stated as an instruction this review is required to honor rather than a stylistic preference</w:t>
      </w:r>
      <w:r>
        <w:t xml:space="preserve">: process-informed AI is not permitted, anywhere in this review, to substitute for the mechanistic understanding Chapters 3–8 developed — a neural network trained to predict an epidemiological outcome from a wastewater time series, however accurate its short-horizon forecasts, does not by that accuracy alone establish</w:t>
      </w:r>
      <w:r>
        <w:t xml:space="preserve"> </w:t>
      </w:r>
      <w:r>
        <w:rPr>
          <w:iCs/>
          <w:i/>
        </w:rPr>
        <w:t xml:space="preserve">why</w:t>
      </w:r>
      <w:r>
        <w:t xml:space="preserve"> </w:t>
      </w:r>
      <w:r>
        <w:t xml:space="preserve">the relationship holds, does not resolve the identifiability questions Chapter 7 formalized, and is exactly as vulnerable to §7.6’s state-observability failures and §8.12’s structural-uncertainty caution as any purely statistical model — arguably more so, given the added difficulty of auditing what a learned model has actually encoded (§9.8’s minimum-reporting-requirement discipline, extended here, would require any such model to disclose not just performance metrics but what mechanistic constraints, if any, were actually imposed during training). Two specific validation failure modes recur in the general (non-WBE) machine-learning-for-epidemic-forecasting literature and apply here without modification:</w:t>
      </w:r>
      <w:r>
        <w:t xml:space="preserve"> </w:t>
      </w:r>
      <w:r>
        <w:rPr>
          <w:bCs/>
          <w:b/>
        </w:rPr>
        <w:t xml:space="preserve">temporal leakage</w:t>
      </w:r>
      <w:r>
        <w:t xml:space="preserve"> </w:t>
      </w:r>
      <w:r>
        <w:t xml:space="preserve">(a model inadvertently trained on information that would not actually have been available at true prediction time, producing an inflated apparent performance that will not replicate prospectively) and</w:t>
      </w:r>
      <w:r>
        <w:t xml:space="preserve"> </w:t>
      </w:r>
      <w:r>
        <w:rPr>
          <w:bCs/>
          <w:b/>
        </w:rPr>
        <w:t xml:space="preserve">cross-city/cross-population validation failure</w:t>
      </w:r>
      <w:r>
        <w:t xml:space="preserve"> </w:t>
      </w:r>
      <w:r>
        <w:t xml:space="preserve">(a model tuned on one city’s or one outbreak’s data performing markedly worse when applied to a different setting without retraining) — both are direct AI-specific instances of the transferability caution §9.2 already established for a non-ML detection threshold, and neither is addressed by adding more mechanistic structure to a model unless that structure, and its transfer properties, are themselves explicitly validated in the new setting, not merely assumed to carry over.</w:t>
      </w:r>
    </w:p>
    <w:bookmarkEnd w:id="116"/>
    <w:bookmarkStart w:id="117" w:name="Xcca572c6dfbe00b15fa697f590da7ce579a786a"/>
    <w:p>
      <w:pPr>
        <w:pStyle w:val="Heading3"/>
      </w:pPr>
      <w:r>
        <w:t xml:space="preserve">10.6 Standard Reference Materials and Interlaboratory Comparability</w:t>
      </w:r>
    </w:p>
    <w:p>
      <w:pPr>
        <w:pStyle w:val="FirstParagraph"/>
      </w:pPr>
      <w:r>
        <w:t xml:space="preserve">§5.5 already established, via Pecson et al.’s 36-method interlaboratory comparison, that method-to-method variability in this literature is large and consequential (§8.4’s Table 6 entry for</w:t>
      </w:r>
      <w:r>
        <w:t xml:space="preserve"> </w:t>
      </w:r>
      <w:r>
        <w:t xml:space="preserve">“</w:t>
      </w:r>
      <w:r>
        <w:t xml:space="preserve">interlaboratory/method effect</w:t>
      </w:r>
      <w:r>
        <w:t xml:space="preserve">”</w:t>
      </w:r>
      <w:r>
        <w:t xml:space="preserve"> </w:t>
      </w:r>
      <w:r>
        <w:t xml:space="preserve">traces directly to this finding). This section addresses the infrastructural remedy: standard reference materials, surrogate/recovery controls, and formal interlaboratory proficiency-testing programs, which convert an individual laboratory’s internal precision (which §5.5 already showed can be good) into cross-laboratory, cross-study</w:t>
      </w:r>
      <w:r>
        <w:t xml:space="preserve"> </w:t>
      </w:r>
      <w:r>
        <w:rPr>
          <w:bCs/>
          <w:b/>
        </w:rPr>
        <w:t xml:space="preserve">comparability</w:t>
      </w:r>
      <w:r>
        <w:t xml:space="preserve"> </w:t>
      </w:r>
      <w:r>
        <w:t xml:space="preserve">(which §5.5 already showed frequently is not). A recent position paper from a national metrology-standards working group argues explicitly that standardized reporting and routine proficiency testing are</w:t>
      </w:r>
      <w:r>
        <w:t xml:space="preserve"> </w:t>
      </w:r>
      <w:r>
        <w:rPr>
          <w:iCs/>
          <w:i/>
        </w:rPr>
        <w:t xml:space="preserve">necessary</w:t>
      </w:r>
      <w:r>
        <w:t xml:space="preserve">, not merely desirable, preconditions for wastewater surveillance data to be used reliably for public health decisions across multiple laboratories and jurisdictions, describing active development of physical reference standards (e.g., a DNA standard for one specific pathogen’s assay validation) and evaluation of synthetic wastewater matrices for ground-truth method validation (Keenum, Lin, Logan, Gushgari, D’Souza, Steele, Kaya, &amp; Gushgari, 2024 — ⚠ this review flags an internal inconsistency in its own retrieved author list:</w:t>
      </w:r>
      <w:r>
        <w:t xml:space="preserve"> </w:t>
      </w:r>
      <w:r>
        <w:t xml:space="preserve">“</w:t>
      </w:r>
      <w:r>
        <w:t xml:space="preserve">Gushgari</w:t>
      </w:r>
      <w:r>
        <w:t xml:space="preserve">”</w:t>
      </w:r>
      <w:r>
        <w:t xml:space="preserve"> </w:t>
      </w:r>
      <w:r>
        <w:t xml:space="preserve">appears twice, associated with two different given-name initials, which was not independently resolved this session and may reflect either two distinct co-authors sharing a surname or a search-summarization duplication error; treat this reference’s author list as unconfirmed pending a second independent check, following this review’s standing practice for exactly this kind of internal inconsistency, per §2.3’s Miura/Kitajima/Omori precedent). Separately, ongoing international harmonization efforts (cited by name in the retrieved search results but not independently verified this session beyond their stated existence) aim to align procedures and indicators for wastewater-based public-health surveillance across multiple national systems.</w:t>
      </w:r>
    </w:p>
    <w:p>
      <w:pPr>
        <w:pStyle w:val="BodyText"/>
      </w:pPr>
      <w:r>
        <w:rPr>
          <w:bCs/>
          <w:b/>
        </w:rPr>
        <w:t xml:space="preserve">Why this matters directly for this review’s own argument, not just as a general good-practice note</w:t>
      </w:r>
      <w:r>
        <w:t xml:space="preserve">: every method-comparison caution this review has raised since Chapter 5 — recovery/inhibition variability (§5.5), interlaboratory spread (§5.5, §8.4), the risk of a method effect being mistaken for a genuine temporal or spatial signal (§5.5’s own stated risk) — is a problem that reference materials and proficiency testing are specifically designed to make visible and correctable, rather than left as an unmeasured, unaddressed source of the</w:t>
      </w:r>
      <w:r>
        <w:t xml:space="preserve"> </w:t>
      </w:r>
      <w:r>
        <w:t xml:space="preserve">“</w:t>
      </w:r>
      <w:r>
        <w:t xml:space="preserve">residual effect if unaddressed</w:t>
      </w:r>
      <w:r>
        <w:t xml:space="preserve">”</w:t>
      </w:r>
      <w:r>
        <w:t xml:space="preserve"> </w:t>
      </w:r>
      <w:r>
        <w:t xml:space="preserve">column in Chapter 8’s Table 6. Absent this infrastructure, cross-site or cross-study comparisons this review’s own §9.2 threshold-transferability caution and §9.4 fusion-uncertainty caution depend on remain harder to make with confidence, not because the underlying science is wrong but because the measurement infrastructure to support the comparison does not yet exist at the scale this literature’s own applied ambitions require.</w:t>
      </w:r>
    </w:p>
    <w:bookmarkEnd w:id="117"/>
    <w:bookmarkStart w:id="118" w:name="interoperable-data-infrastructure"/>
    <w:p>
      <w:pPr>
        <w:pStyle w:val="Heading3"/>
      </w:pPr>
      <w:r>
        <w:t xml:space="preserve">10.7 Interoperable Data Infrastructure</w:t>
      </w:r>
    </w:p>
    <w:p>
      <w:pPr>
        <w:pStyle w:val="FirstParagraph"/>
      </w:pPr>
      <w:r>
        <w:t xml:space="preserve">Independent of any specific measurement technology, this review’s evidence base itself illustrates a recurring, structural data-infrastructure problem: this project’s own References file documents repeated instances of ambiguous relationships between apparently-related datasets (e.g., §6.4’s unresolved Hsu et al. published-paper/preprint relationship, flagged as possibly a single dataset double-counted as two independent validations), volume/page/DOI information that could not be confirmed despite a source clearly existing, and author-list inconsistencies of the same kind just flagged in §10.6 — problems that a shared, machine-readable metadata standard would not, by itself, retroactively fix in already-published literature, but that consistent forward adoption could prevent from recurring. A collaboratively developed, open-source relational data model for wastewater and environmental surveillance has been extended through at least three major versions specifically to address this class of problem — standardizing sample, site, measurement, and population metadata across studies and jurisdictions, explicitly aligned with the FAIR (Findable, Accessible, Interoperable, Reusable) data principles, and reported as adopted by multiple national surveillance programs (the specific adoption count and list of adopting countries are pending full-text verification) (Therrien, Thomson, Sion, Lee, Maere, Nicolaï, Manuel, &amp; Vanrolleghem, 2026).</w:t>
      </w:r>
    </w:p>
    <w:p>
      <w:pPr>
        <w:pStyle w:val="BodyText"/>
      </w:pPr>
      <w:r>
        <w:t xml:space="preserve">Four specific interoperability requirements follow directly from problems this review’s own reference-management practice has encountered firsthand, not merely from general data-management best practice: a</w:t>
      </w:r>
      <w:r>
        <w:t xml:space="preserve"> </w:t>
      </w:r>
      <w:r>
        <w:rPr>
          <w:bCs/>
          <w:b/>
        </w:rPr>
        <w:t xml:space="preserve">minimum metadata schema</w:t>
      </w:r>
      <w:r>
        <w:t xml:space="preserve"> </w:t>
      </w:r>
      <w:r>
        <w:t xml:space="preserve">sufficient to distinguish a genuinely independent replication from a re-analysis of the same underlying dataset (directly addressing the Hsu et al.-type ambiguity just named);</w:t>
      </w:r>
      <w:r>
        <w:t xml:space="preserve"> </w:t>
      </w:r>
      <w:r>
        <w:rPr>
          <w:bCs/>
          <w:b/>
        </w:rPr>
        <w:t xml:space="preserve">machine-readable reporting</w:t>
      </w:r>
      <w:r>
        <w:t xml:space="preserve"> </w:t>
      </w:r>
      <w:r>
        <w:t xml:space="preserve">of the kind §5.7, §6.9, §7.7, §8.15, and §9.8’s minimum-reporting-requirement boxes have each specified in prose but that no shared schema in this review’s own citation practice was available to check against;</w:t>
      </w:r>
      <w:r>
        <w:t xml:space="preserve"> </w:t>
      </w:r>
      <w:r>
        <w:rPr>
          <w:bCs/>
          <w:b/>
        </w:rPr>
        <w:t xml:space="preserve">data provenance</w:t>
      </w:r>
      <w:r>
        <w:t xml:space="preserve"> </w:t>
      </w:r>
      <w:r>
        <w:t xml:space="preserve">tracking sufficient to distinguish a preprint from its eventual peer-reviewed publication (directly addressing this review’s own repeated need, since Chapter 5, to flag exactly this ambiguity manually rather than resolve it via a persistent identifier linking the two records); and</w:t>
      </w:r>
      <w:r>
        <w:t xml:space="preserve"> </w:t>
      </w:r>
      <w:r>
        <w:rPr>
          <w:bCs/>
          <w:b/>
        </w:rPr>
        <w:t xml:space="preserve">reproducible code and parameter registries</w:t>
      </w:r>
      <w:r>
        <w:t xml:space="preserve">, extending §8.15’s requirement that Monte Carlo/Bayesian propagation studies report their simulation code and parameter tables, to a shared, citable, versioned registry rather than a study-specific supplementary file that may not persist or may not be discoverable by a later reviewer performing exactly the kind of search-based synthesis this review itself has had to perform.</w:t>
      </w:r>
    </w:p>
    <w:bookmarkEnd w:id="118"/>
    <w:bookmarkStart w:id="119" w:name="Xd4686930327ee3aa9e5d7813c5c637d72b55e02"/>
    <w:p>
      <w:pPr>
        <w:pStyle w:val="Heading3"/>
      </w:pPr>
      <w:r>
        <w:t xml:space="preserve">10.8 Privacy-Preserving and Equitable Analytics</w:t>
      </w:r>
    </w:p>
    <w:p>
      <w:pPr>
        <w:pStyle w:val="FirstParagraph"/>
      </w:pPr>
      <w:r>
        <w:t xml:space="preserve">§9.6 already established that spatial aggregation is the property making WBE’s consent-free status defensible, and that this property degrades as spatial resolution narrows — this section addresses technical, not only policy, responses to that same tension.</w:t>
      </w:r>
      <w:r>
        <w:t xml:space="preserve"> </w:t>
      </w:r>
      <w:r>
        <w:rPr>
          <w:bCs/>
          <w:b/>
        </w:rPr>
        <w:t xml:space="preserve">Federated analysis</w:t>
      </w:r>
      <w:r>
        <w:t xml:space="preserve"> </w:t>
      </w:r>
      <w:r>
        <w:t xml:space="preserve">— training a shared statistical or machine-learning model across multiple data-holding sites without moving the underlying raw data to a central location — is one concrete technical mechanism for extracting cross-site statistical value while limiting a single party’s access to another site’s raw, potentially re-identifiable records. A recent water-quality application demonstrates the general mechanism directly relevant to WBE data-sharing concerns: a federated-learning framework trained shared models across six wastewater treatment plants over several years, exchanging only trained model parameters rather than raw plant-level data, explicitly to enable multi-site risk-management analytics under data-sharing and privacy constraints (Wang, Wang, Wang, Yang, Chen, Fan, Yin, Lv, Luo, Zhou, &amp; Wang, 2025 — the specific privacy-guarantee formalism and performance-versus-centralized-training comparison are pending full-text verification; this is a water-quality, not epidemiological-surveillance, application, and this review states that scope distinction explicitly rather than implying direct WBE validation, consistent with the non-WBE-general-methodology citation practice already established in Chapter 7 for [37] and [39]).</w:t>
      </w:r>
    </w:p>
    <w:p>
      <w:pPr>
        <w:pStyle w:val="BodyText"/>
      </w:pPr>
      <w:r>
        <w:rPr>
          <w:bCs/>
          <w:b/>
        </w:rPr>
        <w:t xml:space="preserve">Federated analysis addresses one specific privacy mechanism — limiting raw-data movement — and does not, by itself, resolve every concern §9.6 raised.</w:t>
      </w:r>
      <w:r>
        <w:t xml:space="preserve"> </w:t>
      </w:r>
      <w:r>
        <w:t xml:space="preserve">Differential-privacy techniques (adding calibrated statistical noise to model outputs or updates) address a related but distinct concern: even a shared model’s</w:t>
      </w:r>
      <w:r>
        <w:t xml:space="preserve"> </w:t>
      </w:r>
      <w:r>
        <w:rPr>
          <w:iCs/>
          <w:i/>
        </w:rPr>
        <w:t xml:space="preserve">output</w:t>
      </w:r>
      <w:r>
        <w:t xml:space="preserve">, not just the raw input data, can leak information about individual records if queried repeatedly or precisely enough, a risk that grows, not shrinks, as spatial resolution narrows toward §9.6’s building/facility scale.</w:t>
      </w:r>
      <w:r>
        <w:t xml:space="preserve"> </w:t>
      </w:r>
      <w:r>
        <w:rPr>
          <w:bCs/>
          <w:b/>
        </w:rPr>
        <w:t xml:space="preserve">Access control, small-community governance, and the equitable-infrastructure-deployment question §9.6 raised from the policy side are not solved by any purely technical privacy mechanism</w:t>
      </w:r>
      <w:r>
        <w:t xml:space="preserve"> </w:t>
      </w:r>
      <w:r>
        <w:t xml:space="preserve">— a federated or differentially private system can still be deployed unevenly across communities (§9.5’s non-sewered-population exclusion, §9.6’s structural-equity point), and a technically well-protected small-catchment monitoring program can still generate exactly the group-level stigmatization risk §9.6 identified, since that harm does not depend on any individual record being technically re-identifiable. This section’s required conclusion: privacy-preserving analytics are a necessary complement to, not a substitute for, the governance and equity review §9.6 and §9.8 already require.</w:t>
      </w:r>
    </w:p>
    <w:bookmarkEnd w:id="119"/>
    <w:bookmarkStart w:id="120" w:name="climate-resilient-wbe-infrastructure"/>
    <w:p>
      <w:pPr>
        <w:pStyle w:val="Heading3"/>
      </w:pPr>
      <w:r>
        <w:t xml:space="preserve">10.9 Climate-Resilient WBE Infrastructure</w:t>
      </w:r>
    </w:p>
    <w:p>
      <w:pPr>
        <w:pStyle w:val="FirstParagraph"/>
      </w:pPr>
      <w:r>
        <w:t xml:space="preserve">This section is deliberately positioned to connect Chapter 4’s mechanistic treatment of rainfall/inflow-infiltration distortion directly to Chapter 8’s uncertainty-propagation framework, rather than introducing new external evidence, consistent with this chapter’s redundancy-avoidance discipline (§10.0). §4.2 already established that rainfall dilutes signal and, under combined-sewer-overflow conditions, can cap or mask it entirely; §8.3’s Table 6 entry for</w:t>
      </w:r>
      <w:r>
        <w:t xml:space="preserve"> </w:t>
      </w:r>
      <w:r>
        <w:t xml:space="preserve">“</w:t>
      </w:r>
      <w:r>
        <w:t xml:space="preserve">CSO/overflow mass loss</w:t>
      </w:r>
      <w:r>
        <w:t xml:space="preserve">”</w:t>
      </w:r>
      <w:r>
        <w:t xml:space="preserve"> </w:t>
      </w:r>
      <w:r>
        <w:t xml:space="preserve">already classified this as a discrete scenario-uncertainty problem, not a continuously-distributed parameter uncertainty, requiring scenario-envelope treatment (§8.12) rather than standard Monte Carlo propagation.</w:t>
      </w:r>
      <w:r>
        <w:t xml:space="preserve"> </w:t>
      </w:r>
      <w:r>
        <w:rPr>
          <w:bCs/>
          <w:b/>
        </w:rPr>
        <w:t xml:space="preserve">Nonstationary rainfall patterns, increasing heat, and increasing flood frequency</w:t>
      </w:r>
      <w:r>
        <w:t xml:space="preserve"> </w:t>
      </w:r>
      <w:r>
        <w:t xml:space="preserve">— climate trends this review does not independently verify with a dedicated citation here, treating their qualitative direction as sufficiently well-established general climate-science background not requiring the same evidentiary scrutiny this review applies to WBE-specific claims — mean that the rainfall-driven distortion mechanisms §4.2 characterized from historical monitoring data cannot be assumed stationary going forward: a sewer network’s overflow frequency, retention-time distribution under storm conditions (§4.1, §8.3), and infrastructure failure risk are all plausibly shifting in ways a fixed, historically-calibrated correction model (§4.3’s process-informed correction, §7’s back-calculation models) would not automatically capture.</w:t>
      </w:r>
    </w:p>
    <w:p>
      <w:pPr>
        <w:pStyle w:val="BodyText"/>
      </w:pPr>
      <w:r>
        <w:t xml:space="preserve">Two specific infrastructural responses follow directly from this review’s own established framework rather than requiring new external evidence:</w:t>
      </w:r>
      <w:r>
        <w:t xml:space="preserve"> </w:t>
      </w:r>
      <w:r>
        <w:rPr>
          <w:bCs/>
          <w:b/>
        </w:rPr>
        <w:t xml:space="preserve">event-responsive sampling</w:t>
      </w:r>
      <w:r>
        <w:t xml:space="preserve"> </w:t>
      </w:r>
      <w:r>
        <w:t xml:space="preserve">— adjusting sampling frequency or triggering supplemental samples specifically around storm events, rather than maintaining a fixed schedule blind to the CSO/dilution risk §4.2 and §6.8 already established — directly targets the scenario-uncertainty category §8.12 identified as requiring explicit flagging rather than silent averaging; and</w:t>
      </w:r>
      <w:r>
        <w:t xml:space="preserve"> </w:t>
      </w:r>
      <w:r>
        <w:rPr>
          <w:bCs/>
          <w:b/>
        </w:rPr>
        <w:t xml:space="preserve">climate-region transferability</w:t>
      </w:r>
      <w:r>
        <w:t xml:space="preserve"> </w:t>
      </w:r>
      <w:r>
        <w:t xml:space="preserve">of any process-informed correction model (§4.3, §7) requires the same transfer-validation discipline this chapter has already applied to detection thresholds (§9.2) and AI models (§10.5) — a correction model calibrated on one region’s historical rainfall-response relationship should not be assumed valid under a materially different or shifting rainfall regime without explicit re-validation, extending §7.0’s structural-adequacy criterion to cover temporal, not just cross-population, transfer.</w:t>
      </w:r>
    </w:p>
    <w:bookmarkEnd w:id="120"/>
    <w:bookmarkStart w:id="121" w:name="X7f5c0498167f573fe47ad980378a570b0703c27"/>
    <w:p>
      <w:pPr>
        <w:pStyle w:val="Heading3"/>
      </w:pPr>
      <w:r>
        <w:t xml:space="preserve">10.10 A Technology-Readiness Framework for Process-Informed WBE</w:t>
      </w:r>
    </w:p>
    <w:p>
      <w:pPr>
        <w:pStyle w:val="FirstParagraph"/>
      </w:pPr>
      <w:r>
        <w:t xml:space="preserve">Sections 10.1–10.9 each described a technology or infrastructure element at a different stage of maturity, and this review has repeatedly cautioned against treating early-stage technical results as if they carried the same evidentiary weight as an operationally validated, decision-value-demonstrated system. This section makes that distinction explicit and systematic,</w:t>
      </w:r>
      <w:r>
        <w:t xml:space="preserve"> </w:t>
      </w:r>
      <w:r>
        <w:rPr>
          <w:bCs/>
          <w:b/>
        </w:rPr>
        <w:t xml:space="preserve">proposed by this review based on the conceptual synthesis of the technologies surveyed above, not a published or institutionally endorsed technology-readiness standard</w:t>
      </w:r>
      <w:r>
        <w:t xml:space="preserve"> </w:t>
      </w:r>
      <w:r>
        <w:t xml:space="preserve">— the same disclaimer this review attached to Table 7 in Chapter 9, applied here for the identical reason.</w:t>
      </w:r>
    </w:p>
    <w:p>
      <w:pPr>
        <w:pStyle w:val="BodyText"/>
      </w:pPr>
      <w:r>
        <w:t xml:space="preserve">Six levels, adapted from the general technology-readiness-level concept to this review’s own five-criteria evidentiary framework (§7.0) and this chapter’s specific technologies:</w:t>
      </w:r>
    </w:p>
    <w:p>
      <w:pPr>
        <w:numPr>
          <w:ilvl w:val="0"/>
          <w:numId w:val="1032"/>
        </w:numPr>
        <w:pStyle w:val="Compact"/>
      </w:pPr>
      <w:r>
        <w:rPr>
          <w:bCs/>
          <w:b/>
        </w:rPr>
        <w:t xml:space="preserve">Proof of analytical detection</w:t>
      </w:r>
      <w:r>
        <w:t xml:space="preserve"> </w:t>
      </w:r>
      <w:r>
        <w:t xml:space="preserve">— a target can be measured in a wastewater matrix under laboratory or controlled conditions (e.g., §10.2’s bench-top biosensor result).</w:t>
      </w:r>
    </w:p>
    <w:p>
      <w:pPr>
        <w:numPr>
          <w:ilvl w:val="0"/>
          <w:numId w:val="1032"/>
        </w:numPr>
        <w:pStyle w:val="Compact"/>
      </w:pPr>
      <w:r>
        <w:rPr>
          <w:bCs/>
          <w:b/>
        </w:rPr>
        <w:t xml:space="preserve">Repeatable laboratory performance</w:t>
      </w:r>
      <w:r>
        <w:t xml:space="preserve"> </w:t>
      </w:r>
      <w:r>
        <w:t xml:space="preserve">— the method achieves consistent recovery, precision, and specificity across repeated laboratory trials, meeting §5.5’s analytical-validation standard.</w:t>
      </w:r>
    </w:p>
    <w:p>
      <w:pPr>
        <w:numPr>
          <w:ilvl w:val="0"/>
          <w:numId w:val="1032"/>
        </w:numPr>
        <w:pStyle w:val="Compact"/>
      </w:pPr>
      <w:r>
        <w:rPr>
          <w:bCs/>
          <w:b/>
        </w:rPr>
        <w:t xml:space="preserve">Field validation</w:t>
      </w:r>
      <w:r>
        <w:t xml:space="preserve"> </w:t>
      </w:r>
      <w:r>
        <w:t xml:space="preserve">— the method performs adequately on real, unprocessed wastewater samples from an actual sewershed, under the matrix complexity and interference conditions §5.5 and §5.6 established as materially different from a spiked laboratory sample.</w:t>
      </w:r>
    </w:p>
    <w:p>
      <w:pPr>
        <w:numPr>
          <w:ilvl w:val="0"/>
          <w:numId w:val="1032"/>
        </w:numPr>
        <w:pStyle w:val="Compact"/>
      </w:pPr>
      <w:r>
        <w:rPr>
          <w:bCs/>
          <w:b/>
        </w:rPr>
        <w:t xml:space="preserve">Cross-site validation</w:t>
      </w:r>
      <w:r>
        <w:t xml:space="preserve"> </w:t>
      </w:r>
      <w:r>
        <w:t xml:space="preserve">— the method or model’s performance is confirmed across multiple, materially different deployment contexts (different populations, sewer networks, climates), directly addressing the transferability caution this chapter has raised for detection thresholds (§9.2), AI models (§10.5), and climate-region correction models (§10.9) alike.</w:t>
      </w:r>
    </w:p>
    <w:p>
      <w:pPr>
        <w:numPr>
          <w:ilvl w:val="0"/>
          <w:numId w:val="1032"/>
        </w:numPr>
        <w:pStyle w:val="Compact"/>
      </w:pPr>
      <w:r>
        <w:rPr>
          <w:bCs/>
          <w:b/>
        </w:rPr>
        <w:t xml:space="preserve">Operational integration</w:t>
      </w:r>
      <w:r>
        <w:t xml:space="preserve"> </w:t>
      </w:r>
      <w:r>
        <w:t xml:space="preserve">— the technology is embedded in a routine, ongoing public-health surveillance program with the institutional reporting, threshold, and decision-protocol infrastructure §9.8 specified, not merely a research deployment.</w:t>
      </w:r>
    </w:p>
    <w:p>
      <w:pPr>
        <w:numPr>
          <w:ilvl w:val="0"/>
          <w:numId w:val="1032"/>
        </w:numPr>
        <w:pStyle w:val="Compact"/>
      </w:pPr>
      <w:r>
        <w:rPr>
          <w:bCs/>
          <w:b/>
        </w:rPr>
        <w:t xml:space="preserve">Demonstrated decision value</w:t>
      </w:r>
      <w:r>
        <w:t xml:space="preserve"> </w:t>
      </w:r>
      <w:r>
        <w:t xml:space="preserve">— per §9.7’s actionability framework, the technology has been shown, not merely argued, to improve an actual public-health decision outcome relative to what would have occurred without it — the strongest and, per this review’s evidence base, least commonly achieved level for any technology surveyed in this chapter.</w:t>
      </w:r>
    </w:p>
    <w:p>
      <w:pPr>
        <w:pStyle w:val="FirstParagraph"/>
      </w:pPr>
      <w:r>
        <w:rPr>
          <w:bCs/>
          <w:b/>
        </w:rPr>
        <w:t xml:space="preserve">This review’s required, load-bearing distinction, restated as the chapter’s closing point</w:t>
      </w:r>
      <w:r>
        <w:t xml:space="preserve">:</w:t>
      </w:r>
      <w:r>
        <w:t xml:space="preserve"> </w:t>
      </w:r>
      <w:r>
        <w:rPr>
          <w:iCs/>
          <w:i/>
        </w:rPr>
        <w:t xml:space="preserve">analytical novelty</w:t>
      </w:r>
      <w:r>
        <w:t xml:space="preserve"> </w:t>
      </w:r>
      <w:r>
        <w:t xml:space="preserve">(levels 1–2),</w:t>
      </w:r>
      <w:r>
        <w:t xml:space="preserve"> </w:t>
      </w:r>
      <w:r>
        <w:rPr>
          <w:iCs/>
          <w:i/>
        </w:rPr>
        <w:t xml:space="preserve">field or cross-site demonstration</w:t>
      </w:r>
      <w:r>
        <w:t xml:space="preserve"> </w:t>
      </w:r>
      <w:r>
        <w:t xml:space="preserve">(levels 3–4), and</w:t>
      </w:r>
      <w:r>
        <w:t xml:space="preserve"> </w:t>
      </w:r>
      <w:r>
        <w:rPr>
          <w:iCs/>
          <w:i/>
        </w:rPr>
        <w:t xml:space="preserve">operational or decision-value readiness</w:t>
      </w:r>
      <w:r>
        <w:t xml:space="preserve"> </w:t>
      </w:r>
      <w:r>
        <w:t xml:space="preserve">(levels 5–6) are three genuinely different achievements, not three points on a single obvious continuum where success at one level implies progress toward the next — a technology can be highly novel analytically (§10.2’s biosensors, §10.4’s multi-omics panels) while remaining entirely unvalidated at the operational or decision-value level, and this chapter has not identified any single technology surveyed above that this review’s evidence base can confidently place above level 3–4 for routine public-health use, a finding this review states directly rather than allowing the chapter’s necessarily forward-looking framing to imply otherwise.</w:t>
      </w:r>
    </w:p>
    <w:bookmarkEnd w:id="121"/>
    <w:bookmarkStart w:id="122" w:name="X87fb6c5376fe824cb1436c2cddc59cd7fdb4fb2"/>
    <w:p>
      <w:pPr>
        <w:pStyle w:val="Heading3"/>
      </w:pPr>
      <w:r>
        <w:t xml:space="preserve">Table 8. Technology × Required Evidence × Failure Mode × Readiness Level (§10.10)</w:t>
      </w:r>
    </w:p>
    <w:p>
      <w:pPr>
        <w:pStyle w:val="FirstParagraph"/>
      </w:pPr>
      <w:r>
        <w:rPr>
          <w:bCs/>
          <w:b/>
        </w:rPr>
        <w:t xml:space="preserve">Proposed by this review based on the conceptual synthesis of available guidance and methodological literature — not a published or validated standard.</w:t>
      </w:r>
      <w:r>
        <w:t xml:space="preserve"> </w:t>
      </w:r>
      <w:r>
        <w:t xml:space="preserve">Consolidates §10.1–10.9 against the §10.10 framework;</w:t>
      </w:r>
      <w:r>
        <w:t xml:space="preserve"> </w:t>
      </w:r>
      <w:r>
        <w:t xml:space="preserve">“</w:t>
      </w:r>
      <w:r>
        <w:t xml:space="preserve">Readiness level (this review’s assessment)</w:t>
      </w:r>
      <w:r>
        <w:t xml:space="preserve">”</w:t>
      </w:r>
      <w:r>
        <w:t xml:space="preserve"> </w:t>
      </w:r>
      <w:r>
        <w:t xml:space="preserve">reflects this review’s own evidence-based judgment given the sources surveyed, not a claim by the cited studies themselves about their own maturity.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Technology (§)</w:t>
            </w:r>
          </w:p>
        </w:tc>
        <w:tc>
          <w:tcPr/>
          <w:p>
            <w:pPr>
              <w:pStyle w:val="Compact"/>
              <w:jc w:val="left"/>
            </w:pPr>
            <w:r>
              <w:t xml:space="preserve">Required evidence beyond detection</w:t>
            </w:r>
          </w:p>
        </w:tc>
        <w:tc>
          <w:tcPr/>
          <w:p>
            <w:pPr>
              <w:pStyle w:val="Compact"/>
              <w:jc w:val="left"/>
            </w:pPr>
            <w:r>
              <w:t xml:space="preserve">Characteristic failure mode if skipped</w:t>
            </w:r>
          </w:p>
        </w:tc>
        <w:tc>
          <w:tcPr/>
          <w:p>
            <w:pPr>
              <w:pStyle w:val="Compact"/>
              <w:jc w:val="left"/>
            </w:pPr>
            <w:r>
              <w:t xml:space="preserve">Readiness level (this review’s assessment)</w:t>
            </w:r>
          </w:p>
        </w:tc>
        <w:tc>
          <w:tcPr/>
          <w:p>
            <w:pPr>
              <w:pStyle w:val="Compact"/>
              <w:jc w:val="left"/>
            </w:pPr>
            <w:r>
              <w:t xml:space="preserve">Representative citation</w:t>
            </w:r>
          </w:p>
        </w:tc>
      </w:tr>
      <w:tr>
        <w:tc>
          <w:tcPr/>
          <w:p>
            <w:pPr>
              <w:pStyle w:val="Compact"/>
              <w:jc w:val="left"/>
            </w:pPr>
            <w:r>
              <w:t xml:space="preserve">Distributed/upstream sensing (§10.1)</w:t>
            </w:r>
          </w:p>
        </w:tc>
        <w:tc>
          <w:tcPr/>
          <w:p>
            <w:pPr>
              <w:pStyle w:val="Compact"/>
              <w:jc w:val="left"/>
            </w:pPr>
            <w:r>
              <w:t xml:space="preserve">Field validation of finer-resolution sampling against §5.5’s recovery/precision standard at each new spatial scale</w:t>
            </w:r>
          </w:p>
        </w:tc>
        <w:tc>
          <w:tcPr/>
          <w:p>
            <w:pPr>
              <w:pStyle w:val="Compact"/>
              <w:jc w:val="left"/>
            </w:pPr>
            <w:r>
              <w:t xml:space="preserve">Signal instability mistaken for a real fine-grained epidemiological pattern, when it is really reduced averaging of aleatory variability (§8.2)</w:t>
            </w:r>
          </w:p>
        </w:tc>
        <w:tc>
          <w:tcPr/>
          <w:p>
            <w:pPr>
              <w:pStyle w:val="Compact"/>
              <w:jc w:val="left"/>
            </w:pPr>
            <w:r>
              <w:t xml:space="preserve">3–4 (field-validated at multiple scales in the cited study)</w:t>
            </w:r>
          </w:p>
        </w:tc>
        <w:tc>
          <w:tcPr/>
          <w:p>
            <w:pPr>
              <w:pStyle w:val="Compact"/>
              <w:jc w:val="left"/>
            </w:pPr>
            <w:r>
              <w:t xml:space="preserve">[60] Schang et al. 2021</w:t>
            </w:r>
          </w:p>
        </w:tc>
      </w:tr>
      <w:tr>
        <w:tc>
          <w:tcPr/>
          <w:p>
            <w:pPr>
              <w:pStyle w:val="Compact"/>
              <w:jc w:val="left"/>
            </w:pPr>
            <w:r>
              <w:t xml:space="preserve">Near-real-time/biosensor detection (§10.2)</w:t>
            </w:r>
          </w:p>
        </w:tc>
        <w:tc>
          <w:tcPr/>
          <w:p>
            <w:pPr>
              <w:pStyle w:val="Compact"/>
              <w:jc w:val="left"/>
            </w:pPr>
            <w:r>
              <w:t xml:space="preserve">Field validation on unprocessed wastewater; reproducibility across operators/sites/seasons</w:t>
            </w:r>
          </w:p>
        </w:tc>
        <w:tc>
          <w:tcPr/>
          <w:p>
            <w:pPr>
              <w:pStyle w:val="Compact"/>
              <w:jc w:val="left"/>
            </w:pPr>
            <w:r>
              <w:t xml:space="preserve">Faster reporting of a wrong number, if upstream process-informed correction (Ch4, Ch6, Ch7) is not equally fast/validated</w:t>
            </w:r>
          </w:p>
        </w:tc>
        <w:tc>
          <w:tcPr/>
          <w:p>
            <w:pPr>
              <w:pStyle w:val="Compact"/>
              <w:jc w:val="left"/>
            </w:pPr>
            <w:r>
              <w:t xml:space="preserve">1–2 (laboratory/bench-top demonstration)</w:t>
            </w:r>
          </w:p>
        </w:tc>
        <w:tc>
          <w:tcPr/>
          <w:p>
            <w:pPr>
              <w:pStyle w:val="Compact"/>
              <w:jc w:val="left"/>
            </w:pPr>
            <w:r>
              <w:t xml:space="preserve">[62] Sharma et al. 2024</w:t>
            </w:r>
          </w:p>
        </w:tc>
      </w:tr>
      <w:tr>
        <w:tc>
          <w:tcPr/>
          <w:p>
            <w:pPr>
              <w:pStyle w:val="Compact"/>
              <w:jc w:val="left"/>
            </w:pPr>
            <w:r>
              <w:t xml:space="preserve">Sewer digital twins (§10.3)</w:t>
            </w:r>
          </w:p>
        </w:tc>
        <w:tc>
          <w:tcPr/>
          <w:p>
            <w:pPr>
              <w:pStyle w:val="Compact"/>
              <w:jc w:val="left"/>
            </w:pPr>
            <w:r>
              <w:t xml:space="preserve">Calibration/validation of the underlying hydraulic model against independent flow/tracer data</w:t>
            </w:r>
          </w:p>
        </w:tc>
        <w:tc>
          <w:tcPr/>
          <w:p>
            <w:pPr>
              <w:pStyle w:val="Compact"/>
              <w:jc w:val="left"/>
            </w:pPr>
            <w:r>
              <w:t xml:space="preserve">A well-run simulation of a poorly-calibrated model, mistaken for ground truth (§8.12’s structural-uncertainty caution)</w:t>
            </w:r>
          </w:p>
        </w:tc>
        <w:tc>
          <w:tcPr/>
          <w:p>
            <w:pPr>
              <w:pStyle w:val="Compact"/>
              <w:jc w:val="left"/>
            </w:pPr>
            <w:r>
              <w:t xml:space="preserve">2–3 (growing field literature, uneven validation per the cited review’s own gap analysis)</w:t>
            </w:r>
          </w:p>
        </w:tc>
        <w:tc>
          <w:tcPr/>
          <w:p>
            <w:pPr>
              <w:pStyle w:val="Compact"/>
              <w:jc w:val="left"/>
            </w:pPr>
            <w:r>
              <w:t xml:space="preserve">[61] Bam et al. 2025</w:t>
            </w:r>
          </w:p>
        </w:tc>
      </w:tr>
      <w:tr>
        <w:tc>
          <w:tcPr/>
          <w:p>
            <w:pPr>
              <w:pStyle w:val="Compact"/>
              <w:jc w:val="left"/>
            </w:pPr>
            <w:r>
              <w:t xml:space="preserve">Multi-omics/expanded panels (§10.4)</w:t>
            </w:r>
          </w:p>
        </w:tc>
        <w:tc>
          <w:tcPr/>
          <w:p>
            <w:pPr>
              <w:pStyle w:val="Compact"/>
              <w:jc w:val="left"/>
            </w:pPr>
            <w:r>
              <w:t xml:space="preserve">Interpretability framework connecting a high-dimensional profile to a decision-relevant quantity (Ch7’s identifiability discipline)</w:t>
            </w:r>
          </w:p>
        </w:tc>
        <w:tc>
          <w:tcPr/>
          <w:p>
            <w:pPr>
              <w:pStyle w:val="Compact"/>
              <w:jc w:val="left"/>
            </w:pPr>
            <w:r>
              <w:t xml:space="preserve">Detection-capability mistaken for population-level inference capability</w:t>
            </w:r>
          </w:p>
        </w:tc>
        <w:tc>
          <w:tcPr/>
          <w:p>
            <w:pPr>
              <w:pStyle w:val="Compact"/>
              <w:jc w:val="left"/>
            </w:pPr>
            <w:r>
              <w:t xml:space="preserve">2–3 (active method development, per the cited AMR-specific review)</w:t>
            </w:r>
          </w:p>
        </w:tc>
        <w:tc>
          <w:tcPr/>
          <w:p>
            <w:pPr>
              <w:pStyle w:val="Compact"/>
              <w:jc w:val="left"/>
            </w:pPr>
            <w:r>
              <w:t xml:space="preserve">[67] Malcom &amp; Bowes 2025</w:t>
            </w:r>
          </w:p>
        </w:tc>
      </w:tr>
      <w:tr>
        <w:tc>
          <w:tcPr/>
          <w:p>
            <w:pPr>
              <w:pStyle w:val="Compact"/>
              <w:jc w:val="left"/>
            </w:pPr>
            <w:r>
              <w:t xml:space="preserve">Process-informed AI (§10.5)</w:t>
            </w:r>
          </w:p>
        </w:tc>
        <w:tc>
          <w:tcPr/>
          <w:p>
            <w:pPr>
              <w:pStyle w:val="Compact"/>
              <w:jc w:val="left"/>
            </w:pPr>
            <w:r>
              <w:t xml:space="preserve">Cross-city/cross-population validation; disclosure of which mechanistic constraints were actually imposed</w:t>
            </w:r>
          </w:p>
        </w:tc>
        <w:tc>
          <w:tcPr/>
          <w:p>
            <w:pPr>
              <w:pStyle w:val="Compact"/>
              <w:jc w:val="left"/>
            </w:pPr>
            <w:r>
              <w:t xml:space="preserve">Temporal leakage or cross-population failure inflating apparent performance</w:t>
            </w:r>
          </w:p>
        </w:tc>
        <w:tc>
          <w:tcPr/>
          <w:p>
            <w:pPr>
              <w:pStyle w:val="Compact"/>
              <w:jc w:val="left"/>
            </w:pPr>
            <w:r>
              <w:t xml:space="preserve">2–3 (method development stage per the cited review; not distinguished from purely statistical ML at the evidence-base level surveyed)</w:t>
            </w:r>
          </w:p>
        </w:tc>
        <w:tc>
          <w:tcPr/>
          <w:p>
            <w:pPr>
              <w:pStyle w:val="Compact"/>
              <w:jc w:val="left"/>
            </w:pPr>
            <w:r>
              <w:t xml:space="preserve">[63] Pagsuyoin et al. 2025</w:t>
            </w:r>
          </w:p>
        </w:tc>
      </w:tr>
      <w:tr>
        <w:tc>
          <w:tcPr/>
          <w:p>
            <w:pPr>
              <w:pStyle w:val="Compact"/>
              <w:jc w:val="left"/>
            </w:pPr>
            <w:r>
              <w:t xml:space="preserve">Reference materials/interlab comparability (§10.6)</w:t>
            </w:r>
          </w:p>
        </w:tc>
        <w:tc>
          <w:tcPr/>
          <w:p>
            <w:pPr>
              <w:pStyle w:val="Compact"/>
              <w:jc w:val="left"/>
            </w:pPr>
            <w:r>
              <w:t xml:space="preserve">Adoption across multiple independent laboratories, not a single working group’s internal proposal</w:t>
            </w:r>
          </w:p>
        </w:tc>
        <w:tc>
          <w:tcPr/>
          <w:p>
            <w:pPr>
              <w:pStyle w:val="Compact"/>
              <w:jc w:val="left"/>
            </w:pPr>
            <w:r>
              <w:t xml:space="preserve">Method effect mistaken for genuine temporal/spatial signal (§5.5, Table 6)</w:t>
            </w:r>
          </w:p>
        </w:tc>
        <w:tc>
          <w:tcPr/>
          <w:p>
            <w:pPr>
              <w:pStyle w:val="Compact"/>
              <w:jc w:val="left"/>
            </w:pPr>
            <w:r>
              <w:t xml:space="preserve">2–3 (standards under active development per the cited position paper)</w:t>
            </w:r>
          </w:p>
        </w:tc>
        <w:tc>
          <w:tcPr/>
          <w:p>
            <w:pPr>
              <w:pStyle w:val="Compact"/>
              <w:jc w:val="left"/>
            </w:pPr>
            <w:r>
              <w:t xml:space="preserve">[64] ⚠ Keenum et al. 2024</w:t>
            </w:r>
          </w:p>
        </w:tc>
      </w:tr>
      <w:tr>
        <w:tc>
          <w:tcPr/>
          <w:p>
            <w:pPr>
              <w:pStyle w:val="Compact"/>
              <w:jc w:val="left"/>
            </w:pPr>
            <w:r>
              <w:t xml:space="preserve">Interoperable data infrastructure (§10.7)</w:t>
            </w:r>
          </w:p>
        </w:tc>
        <w:tc>
          <w:tcPr/>
          <w:p>
            <w:pPr>
              <w:pStyle w:val="Compact"/>
              <w:jc w:val="left"/>
            </w:pPr>
            <w:r>
              <w:t xml:space="preserve">Adoption breadth and persistence across independent surveillance programs, not a single research group’s schema</w:t>
            </w:r>
          </w:p>
        </w:tc>
        <w:tc>
          <w:tcPr/>
          <w:p>
            <w:pPr>
              <w:pStyle w:val="Compact"/>
              <w:jc w:val="left"/>
            </w:pPr>
            <w:r>
              <w:t xml:space="preserve">Ambiguous dataset relationships recurring indefinitely (this review’s own Hsu et al. precedent, §6.4)</w:t>
            </w:r>
          </w:p>
        </w:tc>
        <w:tc>
          <w:tcPr/>
          <w:p>
            <w:pPr>
              <w:pStyle w:val="Compact"/>
              <w:jc w:val="left"/>
            </w:pPr>
            <w:r>
              <w:t xml:space="preserve">3–4 (multi-version, multi-program adoption claimed by the cited source, adoption specifics pending full-text verification)</w:t>
            </w:r>
          </w:p>
        </w:tc>
        <w:tc>
          <w:tcPr/>
          <w:p>
            <w:pPr>
              <w:pStyle w:val="Compact"/>
              <w:jc w:val="left"/>
            </w:pPr>
            <w:r>
              <w:t xml:space="preserve">[66] Therrien et al. 2026</w:t>
            </w:r>
          </w:p>
        </w:tc>
      </w:tr>
      <w:tr>
        <w:tc>
          <w:tcPr/>
          <w:p>
            <w:pPr>
              <w:pStyle w:val="Compact"/>
              <w:jc w:val="left"/>
            </w:pPr>
            <w:r>
              <w:t xml:space="preserve">Federated/privacy-preserving analytics (§10.8)</w:t>
            </w:r>
          </w:p>
        </w:tc>
        <w:tc>
          <w:tcPr/>
          <w:p>
            <w:pPr>
              <w:pStyle w:val="Compact"/>
              <w:jc w:val="left"/>
            </w:pPr>
            <w:r>
              <w:t xml:space="preserve">Demonstrated performance parity with centralized analysis in an actual epidemiological (not just water-quality) surveillance context</w:t>
            </w:r>
          </w:p>
        </w:tc>
        <w:tc>
          <w:tcPr/>
          <w:p>
            <w:pPr>
              <w:pStyle w:val="Compact"/>
              <w:jc w:val="left"/>
            </w:pPr>
            <w:r>
              <w:t xml:space="preserve">Technical privacy achieved while governance/equity harms (§9.6) persist unaddressed</w:t>
            </w:r>
          </w:p>
        </w:tc>
        <w:tc>
          <w:tcPr/>
          <w:p>
            <w:pPr>
              <w:pStyle w:val="Compact"/>
              <w:jc w:val="left"/>
            </w:pPr>
            <w:r>
              <w:t xml:space="preserve">1–2 for WBE specifically (cited demonstration is water-quality, not epidemiological surveillance)</w:t>
            </w:r>
          </w:p>
        </w:tc>
        <w:tc>
          <w:tcPr/>
          <w:p>
            <w:pPr>
              <w:pStyle w:val="Compact"/>
              <w:jc w:val="left"/>
            </w:pPr>
            <w:r>
              <w:t xml:space="preserve">[65] Wang et al. 2025</w:t>
            </w:r>
          </w:p>
        </w:tc>
      </w:tr>
      <w:tr>
        <w:tc>
          <w:tcPr/>
          <w:p>
            <w:pPr>
              <w:pStyle w:val="Compact"/>
              <w:jc w:val="left"/>
            </w:pPr>
            <w:r>
              <w:t xml:space="preserve">Climate-resilient infrastructure (§10.9)</w:t>
            </w:r>
          </w:p>
        </w:tc>
        <w:tc>
          <w:tcPr/>
          <w:p>
            <w:pPr>
              <w:pStyle w:val="Compact"/>
              <w:jc w:val="left"/>
            </w:pPr>
            <w:r>
              <w:t xml:space="preserve">Re-validation of process-informed correction models under shifted, not historical, rainfall/climate regimes</w:t>
            </w:r>
          </w:p>
        </w:tc>
        <w:tc>
          <w:tcPr/>
          <w:p>
            <w:pPr>
              <w:pStyle w:val="Compact"/>
              <w:jc w:val="left"/>
            </w:pPr>
            <w:r>
              <w:t xml:space="preserve">A historically-calibrated correction model silently failing under a nonstationary climate regime</w:t>
            </w:r>
          </w:p>
        </w:tc>
        <w:tc>
          <w:tcPr/>
          <w:p>
            <w:pPr>
              <w:pStyle w:val="Compact"/>
              <w:jc w:val="left"/>
            </w:pPr>
            <w:r>
              <w:t xml:space="preserve">1–2 (conceptual extension of Ch4/Ch8; no dedicated climate-transfer validation study identified in this review’s search)</w:t>
            </w:r>
          </w:p>
        </w:tc>
        <w:tc>
          <w:tcPr/>
          <w:p>
            <w:pPr>
              <w:pStyle w:val="Compact"/>
              <w:jc w:val="left"/>
            </w:pPr>
            <w:r>
              <w:t xml:space="preserve">Internal (§4.2, §8.3, §8.12)</w:t>
            </w:r>
          </w:p>
        </w:tc>
      </w:tr>
    </w:tbl>
    <w:bookmarkEnd w:id="122"/>
    <w:bookmarkStart w:id="123" w:name="X5355818146ce6040f67ea224e16df6ff28f8ddb"/>
    <w:p>
      <w:pPr>
        <w:pStyle w:val="Heading3"/>
      </w:pPr>
      <w:r>
        <w:t xml:space="preserve">Box — Why Analytical Innovation Does Not Guarantee Epidemiological Value</w:t>
      </w:r>
    </w:p>
    <w:p>
      <w:pPr>
        <w:pStyle w:val="BlockText"/>
      </w:pPr>
      <w:r>
        <w:t xml:space="preserve">A biosensor that detects a target in wastewater within an hour, under laboratory conditions, has cleared §10.10’s level 1 — proof of analytical detection. It has not, by that achievement alone, cleared level 3 (field validation on real, unprocessed wastewater), level 4 (cross-site validation), level 5 (operational integration into a routine surveillance program with §9.8’s reporting and decision-protocol infrastructure), or level 6 (demonstrated decision value, per §9.7’s actionability framework). Each additional level requires evidence the previous level does not supply, and none is a formality once the prior level is cleared — a method can fail field validation despite excellent laboratory performance (matrix interference, §5.5), fail cross-site validation despite excellent field performance at one site (population/sewer-network transfer, §9.2’s threshold-transferability caution applied generally), and fail to demonstrate decision value despite excellent operational integration (if the resulting signal, however reliably produced, does not actually change what a decision-maker does, per §9.7’s institutional-protocol condition). This review’s central caution for the whole of Chapter 10, restated once more directly:</w:t>
      </w:r>
      <w:r>
        <w:t xml:space="preserve"> </w:t>
      </w:r>
      <w:r>
        <w:rPr>
          <w:bCs/>
          <w:b/>
        </w:rPr>
        <w:t xml:space="preserve">treating any single level’s achievement as evidence for a higher level is the same overclaiming error this review has flagged since Chapter 3 for a single study’s association-only evidence being read as identifiability or structural-adequacy evidence (§7.0) — the technology-readiness case is structurally identical, just applied to infrastructure and instrumentation rather than to a statistical model.</w:t>
      </w:r>
    </w:p>
    <w:p>
      <w:r>
        <w:pict>
          <v:rect style="width:0;height:1.5pt" o:hralign="center" o:hrstd="t" o:hr="t"/>
        </w:pict>
      </w:r>
    </w:p>
    <w:bookmarkEnd w:id="123"/>
    <w:bookmarkEnd w:id="124"/>
    <w:bookmarkStart w:id="125" w:name="note-on-companion-files"/>
    <w:p>
      <w:pPr>
        <w:pStyle w:val="Heading2"/>
      </w:pPr>
      <w:r>
        <w:t xml:space="preserve">Note on companion files</w:t>
      </w:r>
    </w:p>
    <w:p>
      <w:pPr>
        <w:pStyle w:val="FirstParagraph"/>
      </w:pPr>
      <w:r>
        <w:t xml:space="preserve">This document is one of the deliverables for this stage of the review (Chapters 1–10 are a</w:t>
      </w:r>
      <w:r>
        <w:t xml:space="preserve"> </w:t>
      </w:r>
      <w:r>
        <w:rPr>
          <w:bCs/>
          <w:b/>
        </w:rPr>
        <w:t xml:space="preserve">working draft</w:t>
      </w:r>
      <w:r>
        <w:t xml:space="preserve">, not a submission-ready manuscript — see the status note at the top of this document):</w:t>
      </w:r>
    </w:p>
    <w:p>
      <w:pPr>
        <w:numPr>
          <w:ilvl w:val="0"/>
          <w:numId w:val="1033"/>
        </w:numPr>
        <w:pStyle w:val="Compact"/>
      </w:pPr>
      <w:r>
        <w:rPr>
          <w:bCs/>
          <w:b/>
        </w:rPr>
        <w:t xml:space="preserve">This file</w:t>
      </w:r>
      <w:r>
        <w:t xml:space="preserve"> </w:t>
      </w:r>
      <w:r>
        <w:t xml:space="preserve">— consolidated Chapters 1–10 (also delivered as</w:t>
      </w:r>
      <w:r>
        <w:t xml:space="preserve"> </w:t>
      </w:r>
      <w:r>
        <w:rPr>
          <w:rStyle w:val="VerbatimChar"/>
        </w:rPr>
        <w:t xml:space="preserve">.docx</w:t>
      </w:r>
      <w:r>
        <w:t xml:space="preserve">); renamed this round from</w:t>
      </w:r>
      <w:r>
        <w:t xml:space="preserve"> </w:t>
      </w:r>
      <w:r>
        <w:rPr>
          <w:rStyle w:val="VerbatimChar"/>
        </w:rPr>
        <w:t xml:space="preserve">WBE_Review_Ch1-8.md</w:t>
      </w:r>
      <w:r>
        <w:t xml:space="preserve"> </w:t>
      </w:r>
      <w:r>
        <w:t xml:space="preserve">(through the prior round) via</w:t>
      </w:r>
      <w:r>
        <w:t xml:space="preserve"> </w:t>
      </w:r>
      <w:r>
        <w:rPr>
          <w:rStyle w:val="VerbatimChar"/>
        </w:rPr>
        <w:t xml:space="preserve">WBE_Review_Ch1-9.md</w:t>
      </w:r>
      <w:r>
        <w:t xml:space="preserve"> </w:t>
      </w:r>
      <w:r>
        <w:t xml:space="preserve">to its current name, tracking the highest fully-drafted chapter number — see</w:t>
      </w:r>
      <w:r>
        <w:t xml:space="preserve"> </w:t>
      </w:r>
      <w:r>
        <w:rPr>
          <w:rStyle w:val="VerbatimChar"/>
        </w:rPr>
        <w:t xml:space="preserve">WBE_Review_Rename_Crossref_Log.md</w:t>
      </w:r>
      <w:r>
        <w:t xml:space="preserve"> </w:t>
      </w:r>
      <w:r>
        <w:t xml:space="preserve">for the full rename/cross-reference audit trail.</w:t>
      </w:r>
    </w:p>
    <w:p>
      <w:pPr>
        <w:numPr>
          <w:ilvl w:val="0"/>
          <w:numId w:val="1033"/>
        </w:numPr>
        <w:pStyle w:val="Compact"/>
      </w:pPr>
      <w:r>
        <w:rPr>
          <w:rStyle w:val="VerbatimChar"/>
          <w:bCs/>
          <w:b/>
        </w:rPr>
        <w:t xml:space="preserve">WBE_Review_References.md</w:t>
      </w:r>
      <w:r>
        <w:t xml:space="preserve"> </w:t>
      </w:r>
      <w:r>
        <w:t xml:space="preserve">— complete reference list (author, year, title, journal, volume/issue/pages, DOI) for every source cited above, including the eight sources added for Chapter 10 ([60]–[67])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WBE_Review_Citation_Verification_Table.md</w:t>
      </w:r>
      <w:r>
        <w:t xml:space="preserve"> </w:t>
      </w:r>
      <w:r>
        <w:t xml:space="preserve">— per-citation table of evidence type, DOI/link, the specific claim each source supports in the text above, and verification status, updated for Chapter 10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WBE_Review_Pending_Verification_List.md</w:t>
      </w:r>
      <w:r>
        <w:t xml:space="preserve"> </w:t>
      </w:r>
      <w:r>
        <w:t xml:space="preserve">— consolidated list of every number and claim across Chapters 1–10 still awaiting full-text verification, including a new Chapter 10 section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WBE_Fig1_Normalization_Decision_Tree.png</w:t>
      </w:r>
      <w:r>
        <w:t xml:space="preserve"> </w:t>
      </w:r>
      <w:r>
        <w:t xml:space="preserve">— the §6.9 decision tree as a standalone figure.</w:t>
      </w:r>
    </w:p>
    <w:p>
      <w:pPr>
        <w:numPr>
          <w:ilvl w:val="0"/>
          <w:numId w:val="1033"/>
        </w:numPr>
        <w:pStyle w:val="Compact"/>
      </w:pPr>
      <w:r>
        <w:rPr>
          <w:rStyle w:val="VerbatimChar"/>
          <w:bCs/>
          <w:b/>
        </w:rPr>
        <w:t xml:space="preserve">WBE_Fig2_Uncertainty_Chain.png</w:t>
      </w:r>
      <w:r>
        <w:t xml:space="preserve"> </w:t>
      </w:r>
      <w:r>
        <w:t xml:space="preserve">— the §8 uncertainty-propagation chain diagram (Figure 2).</w:t>
      </w:r>
    </w:p>
    <w:p>
      <w:pPr>
        <w:numPr>
          <w:ilvl w:val="0"/>
          <w:numId w:val="1033"/>
        </w:numPr>
        <w:pStyle w:val="Compact"/>
      </w:pPr>
      <w:r>
        <w:rPr>
          <w:rStyle w:val="VerbatimChar"/>
          <w:bCs/>
          <w:b/>
        </w:rPr>
        <w:t xml:space="preserve">WBE_Fig3_Uncertainty_Budget_Network.png</w:t>
      </w:r>
      <w:r>
        <w:t xml:space="preserve"> </w:t>
      </w:r>
      <w:r>
        <w:t xml:space="preserve">— the §8.10 correlated-parameter network diagram (Figure 3).</w:t>
      </w:r>
      <w:r>
        <w:t xml:space="preserve"> </w:t>
      </w:r>
      <w:r>
        <w:rPr>
          <w:bCs/>
          <w:b/>
        </w:rPr>
        <w:t xml:space="preserve">No new figure was added for Chapter 10</w:t>
      </w:r>
      <w:r>
        <w:t xml:space="preserve">, a deliberate choice given this document’s existing length (7 tables, 3 figures, 4 boxes as of this round) and the length pressure a Water Research–style submission would face — see Chapter 10’s own status note.</w:t>
      </w:r>
    </w:p>
    <w:p>
      <w:pPr>
        <w:numPr>
          <w:ilvl w:val="0"/>
          <w:numId w:val="1033"/>
        </w:numPr>
        <w:pStyle w:val="Compact"/>
      </w:pPr>
      <w:r>
        <w:rPr>
          <w:rStyle w:val="VerbatimChar"/>
          <w:bCs/>
          <w:b/>
        </w:rPr>
        <w:t xml:space="preserve">WBE_Review_Ch8_Uncertainty_Audit.md</w:t>
      </w:r>
      <w:r>
        <w:t xml:space="preserve"> </w:t>
      </w:r>
      <w:r>
        <w:t xml:space="preserve">— sourcing and evidence-balance audit specific to Chapter 8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WBE_Review_Ch7_Model_Audit_Table.md</w:t>
      </w:r>
      <w:r>
        <w:t xml:space="preserve"> </w:t>
      </w:r>
      <w:r>
        <w:t xml:space="preserve">— Chapter 7’s Table 4 and Table 5, extracted as a standalone file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WBE_Review_Ch8_Parameter_Distribution_Table.md</w:t>
      </w:r>
      <w:r>
        <w:t xml:space="preserve"> </w:t>
      </w:r>
      <w:r>
        <w:t xml:space="preserve">— Chapter 8’s Table 6 plus the §8.10 named-dependency table, extracted as a standalone file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WBE_Review_Ch8_Evidence_Freeze_Audit.md</w:t>
      </w:r>
      <w:r>
        <w:t xml:space="preserve"> </w:t>
      </w:r>
      <w:r>
        <w:t xml:space="preserve">— per-chapter count of primary WBE studies, systematic reviews, general methodological sources, institutional/policy sources, conceptual/ethics-policy sources, full-text-read sources, metadata-verified/unresolved sources, preprints, and paragraphs without a specific citation, across</w:t>
      </w:r>
      <w:r>
        <w:t xml:space="preserve"> </w:t>
      </w:r>
      <w:r>
        <w:rPr>
          <w:bCs/>
          <w:b/>
        </w:rPr>
        <w:t xml:space="preserve">all of Chapters 1–10</w:t>
      </w:r>
      <w:r>
        <w:t xml:space="preserve">.</w:t>
      </w:r>
      <w:r>
        <w:t xml:space="preserve"> </w:t>
      </w:r>
      <w:r>
        <w:rPr>
          <w:bCs/>
          <w:b/>
        </w:rPr>
        <w:t xml:space="preserve">Recomputed again this round: 68 reference numbers issued total, 67 active (1 withdrawn), 0/67 full-text read — never quote</w:t>
      </w:r>
      <w:r>
        <w:rPr>
          <w:bCs/>
          <w:b/>
        </w:rPr>
        <w:t xml:space="preserve"> </w:t>
      </w:r>
      <w:r>
        <w:rPr>
          <w:bCs/>
          <w:b/>
        </w:rPr>
        <w:t xml:space="preserve">“</w:t>
      </w:r>
      <w:r>
        <w:rPr>
          <w:bCs/>
          <w:b/>
        </w:rPr>
        <w:t xml:space="preserve">0/51</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0/59</w:t>
      </w:r>
      <w:r>
        <w:rPr>
          <w:bCs/>
          <w:b/>
        </w:rPr>
        <w:t xml:space="preserve">”</w:t>
      </w:r>
      <w:r>
        <w:rPr>
          <w:bCs/>
          <w:b/>
        </w:rPr>
        <w:t xml:space="preserve"> </w:t>
      </w:r>
      <w:r>
        <w:rPr>
          <w:bCs/>
          <w:b/>
        </w:rPr>
        <w:t xml:space="preserve">as current.</w:t>
      </w:r>
    </w:p>
    <w:p>
      <w:pPr>
        <w:numPr>
          <w:ilvl w:val="0"/>
          <w:numId w:val="1033"/>
        </w:numPr>
        <w:pStyle w:val="Compact"/>
      </w:pPr>
      <w:r>
        <w:rPr>
          <w:rStyle w:val="VerbatimChar"/>
          <w:bCs/>
          <w:b/>
        </w:rPr>
        <w:t xml:space="preserve">WBE_Review_Ch9_Claim_Audit.md</w:t>
      </w:r>
      <w:r>
        <w:t xml:space="preserve"> </w:t>
      </w:r>
      <w:r>
        <w:t xml:space="preserve">— paragraph-by-paragraph claim audit specific to Chapter 9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WBE_Review_Table7_Evidence_Audit.md</w:t>
      </w:r>
      <w:r>
        <w:t xml:space="preserve"> </w:t>
      </w:r>
      <w:r>
        <w:t xml:space="preserve">— cell-by-cell audit of Chapter 9’s Table 7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WBE_Review_Ch10_Evidence_Note.md</w:t>
      </w:r>
      <w:r>
        <w:t xml:space="preserve"> </w:t>
      </w:r>
      <w:r>
        <w:t xml:space="preserve">— evidence-base summary specific to Chapter 10 (reference count, evidence-type breakdown, preprint policy, the Schang/Moore citogenesis catch, and Table 8’s disclaimer status) — a lighter-weight companion than the Chapter 9 Claim Audit, per this round’s request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WBE_Review_Rename_Crossref_Log.md</w:t>
      </w:r>
      <w:r>
        <w:t xml:space="preserve"> </w:t>
      </w:r>
      <w:r>
        <w:t xml:space="preserve">— the file-rename and cross-reference verification log for this round (Ch1-8→Ch1-9→Ch1-10 and all dependent updates).</w:t>
      </w:r>
    </w:p>
    <w:p>
      <w:pPr>
        <w:numPr>
          <w:ilvl w:val="0"/>
          <w:numId w:val="1033"/>
        </w:numPr>
        <w:pStyle w:val="Compact"/>
      </w:pPr>
      <w:r>
        <w:rPr>
          <w:rStyle w:val="VerbatimChar"/>
          <w:bCs/>
          <w:b/>
        </w:rPr>
        <w:t xml:space="preserve">systematic-review/</w:t>
      </w:r>
      <w:r>
        <w:t xml:space="preserve"> </w:t>
      </w:r>
      <w:r>
        <w:t xml:space="preserve">— the formal-search execution toolkit. Built, hardened, and pilot-mode-tested against synthetic fixtures only, plus a genuine (still-negative) pilot readiness check against real, empty</w:t>
      </w:r>
      <w:r>
        <w:t xml:space="preserve"> </w:t>
      </w:r>
      <w:r>
        <w:rPr>
          <w:rStyle w:val="VerbatimChar"/>
        </w:rPr>
        <w:t xml:space="preserve">data/raw/</w:t>
      </w:r>
      <w:r>
        <w:t xml:space="preserve">;</w:t>
      </w:r>
      <w:r>
        <w:t xml:space="preserve"> </w:t>
      </w:r>
      <w:r>
        <w:rPr>
          <w:bCs/>
          <w:b/>
        </w:rPr>
        <w:t xml:space="preserve">the formal search has still not been executed against any real database</w:t>
      </w:r>
      <w:r>
        <w:t xml:space="preserve">. Not modified this round.</w:t>
      </w:r>
    </w:p>
    <w:p>
      <w:pPr>
        <w:numPr>
          <w:ilvl w:val="0"/>
          <w:numId w:val="1033"/>
        </w:numPr>
        <w:pStyle w:val="Compact"/>
      </w:pPr>
      <w:r>
        <w:rPr>
          <w:bCs/>
          <w:b/>
        </w:rPr>
        <w:t xml:space="preserve">Water Research compression planning, Phase 1 (added 2026-07-18)</w:t>
      </w:r>
      <w:r>
        <w:t xml:space="preserve"> </w:t>
      </w:r>
      <w:r>
        <w:t xml:space="preserve">—</w:t>
      </w:r>
      <w:r>
        <w:t xml:space="preserve"> </w:t>
      </w:r>
      <w:r>
        <w:rPr>
          <w:rStyle w:val="VerbatimChar"/>
        </w:rPr>
        <w:t xml:space="preserve">WBE_Review_Section_Word_Count.csv</w:t>
      </w:r>
      <w:r>
        <w:t xml:space="preserve"> </w:t>
      </w:r>
      <w:r>
        <w:t xml:space="preserve">/</w:t>
      </w:r>
      <w:r>
        <w:t xml:space="preserve"> </w:t>
      </w:r>
      <w:r>
        <w:rPr>
          <w:rStyle w:val="VerbatimChar"/>
        </w:rPr>
        <w:t xml:space="preserve">WBE_Review_Word_Count_Method.md</w:t>
      </w:r>
      <w:r>
        <w:t xml:space="preserve"> </w:t>
      </w:r>
      <w:r>
        <w:t xml:space="preserve">(reproducible per-section word counts),</w:t>
      </w:r>
      <w:r>
        <w:t xml:space="preserve"> </w:t>
      </w:r>
      <w:r>
        <w:rPr>
          <w:rStyle w:val="VerbatimChar"/>
        </w:rPr>
        <w:t xml:space="preserve">WBE_Review_Overlap_Audit.csv</w:t>
      </w:r>
      <w:r>
        <w:t xml:space="preserve"> </w:t>
      </w:r>
      <w:r>
        <w:t xml:space="preserve">(cross-chapter duplication findings),</w:t>
      </w:r>
      <w:r>
        <w:t xml:space="preserve"> </w:t>
      </w:r>
      <w:r>
        <w:rPr>
          <w:rStyle w:val="VerbatimChar"/>
        </w:rPr>
        <w:t xml:space="preserve">WBE_Review_Content_Priority_Audit.csv</w:t>
      </w:r>
      <w:r>
        <w:t xml:space="preserve"> </w:t>
      </w:r>
      <w:r>
        <w:t xml:space="preserve">(per-section priority classification),</w:t>
      </w:r>
      <w:r>
        <w:t xml:space="preserve"> </w:t>
      </w:r>
      <w:r>
        <w:rPr>
          <w:rStyle w:val="VerbatimChar"/>
        </w:rPr>
        <w:t xml:space="preserve">WBE_Review_Compression_Map.md</w:t>
      </w:r>
      <w:r>
        <w:t xml:space="preserve"> </w:t>
      </w:r>
      <w:r>
        <w:t xml:space="preserve">/</w:t>
      </w:r>
      <w:r>
        <w:t xml:space="preserve"> </w:t>
      </w:r>
      <w:r>
        <w:rPr>
          <w:rStyle w:val="VerbatimChar"/>
        </w:rPr>
        <w:t xml:space="preserve">.docx</w:t>
      </w:r>
      <w:r>
        <w:t xml:space="preserve"> </w:t>
      </w:r>
      <w:r>
        <w:t xml:space="preserve">(105-section mapping to an 8-part target structure),</w:t>
      </w:r>
      <w:r>
        <w:t xml:space="preserve"> </w:t>
      </w:r>
      <w:r>
        <w:rPr>
          <w:rStyle w:val="VerbatimChar"/>
        </w:rPr>
        <w:t xml:space="preserve">WBE_Review_Target_Outline.md</w:t>
      </w:r>
      <w:r>
        <w:t xml:space="preserve"> </w:t>
      </w:r>
      <w:r>
        <w:t xml:space="preserve">/</w:t>
      </w:r>
      <w:r>
        <w:t xml:space="preserve"> </w:t>
      </w:r>
      <w:r>
        <w:rPr>
          <w:rStyle w:val="VerbatimChar"/>
        </w:rPr>
        <w:t xml:space="preserve">.docx</w:t>
      </w:r>
      <w:r>
        <w:t xml:space="preserve"> </w:t>
      </w:r>
      <w:r>
        <w:t xml:space="preserve">(level-3-heading target outline, contribution-protection matrix, figure/table disposition plan), and</w:t>
      </w:r>
      <w:r>
        <w:t xml:space="preserve"> </w:t>
      </w:r>
      <w:r>
        <w:rPr>
          <w:rStyle w:val="VerbatimChar"/>
        </w:rPr>
        <w:t xml:space="preserve">WBE_Review_Supplementary_Outline.md</w:t>
      </w:r>
      <w:r>
        <w:t xml:space="preserve"> </w:t>
      </w:r>
      <w:r>
        <w:t xml:space="preserve">/</w:t>
      </w:r>
      <w:r>
        <w:t xml:space="preserve"> </w:t>
      </w:r>
      <w:r>
        <w:rPr>
          <w:rStyle w:val="VerbatimChar"/>
        </w:rPr>
        <w:t xml:space="preserve">.docx</w:t>
      </w:r>
      <w:r>
        <w:t xml:space="preserve"> </w:t>
      </w:r>
      <w:r>
        <w:t xml:space="preserve">(planned SI structure).</w:t>
      </w:r>
      <w:r>
        <w:t xml:space="preserve"> </w:t>
      </w:r>
      <w:r>
        <w:rPr>
          <w:bCs/>
          <w:b/>
        </w:rPr>
        <w:t xml:space="preserve">This is a planning track only — this file (the full 10-chapter conceptual source draft) is not cut down by it and remains the authoritative complete text; no submission-length manuscript exists yet.</w:t>
      </w:r>
    </w:p>
    <w:p>
      <w:pPr>
        <w:pStyle w:val="FirstParagraph"/>
      </w:pPr>
      <w:r>
        <w:t xml:space="preserve">(The Chapter 5 revision change log and the Chapter 6 change-and-evidence note remain available from previous deliveries and are not repeated here.)</w:t>
      </w:r>
    </w:p>
    <w:p>
      <w:pPr>
        <w:pStyle w:val="BodyText"/>
      </w:pPr>
      <w:r>
        <w:t xml:space="preserve">Read the verification table before using any number from this draft in a submission-facing document.</w:t>
      </w:r>
    </w:p>
    <w:p>
      <w:r>
        <w:pict>
          <v:rect style="width:0;height:1.5pt" o:hralign="center" o:hrstd="t" o:hr="t"/>
        </w:pict>
      </w:r>
    </w:p>
    <w:bookmarkEnd w:id="125"/>
    <w:bookmarkStart w:id="126" w:name="X872767888165ac99ebfdef19a0c2f1624803e17"/>
    <w:p>
      <w:pPr>
        <w:pStyle w:val="Heading2"/>
      </w:pPr>
      <w:r>
        <w:t xml:space="preserve">Editorial self-check (author-requested audit)</w:t>
      </w:r>
    </w:p>
    <w:p>
      <w:pPr>
        <w:pStyle w:val="FirstParagraph"/>
      </w:pPr>
      <w:r>
        <w:rPr>
          <w:bCs/>
          <w:b/>
        </w:rPr>
        <w:t xml:space="preserve">Alignment with a Water Research–style methods-oriented review structure.</w:t>
      </w:r>
      <w:r>
        <w:t xml:space="preserve"> </w:t>
      </w:r>
      <w:r>
        <w:t xml:space="preserve">Chapter 2 has been rebuilt around review methodology and evidence-base transparency (§2.1–2.3) rather than application description. Chapters 3–4 are organized around the formal inverse-problem statement in §3.0, Chapter 5 extends it through sampling/analytical distortion, Chapter 6 extends it again through normalization, Chapter 7 extends it through back-calculation, and Chapter 8 extends it a final stage through uncertainty propagation — each chapter’s opening subsection (§3.0, §5.0, §6.0, §7.0, §8.0) explicitly states what it inherits from the previous chapter and what it adds. Chapter 7 is built around the five-way association/predictive-performance/parameter-identifiability/state-observability/structural-adequacy distinction; Chapter 8 does not re-derive that distinction but takes it as given and asks a different question of it — not</w:t>
      </w:r>
      <w:r>
        <w:t xml:space="preserve"> </w:t>
      </w:r>
      <w:r>
        <w:t xml:space="preserve">“</w:t>
      </w:r>
      <w:r>
        <w:t xml:space="preserve">is</w:t>
      </w:r>
      <w:r>
        <w:t xml:space="preserve"> </w:t>
      </w:r>
      <m:oMath>
        <m:r>
          <m:t>X</m:t>
        </m:r>
        <m:d>
          <m:dPr>
            <m:begChr m:val="("/>
            <m:endChr m:val=")"/>
            <m:sepChr m:val=""/>
            <m:grow/>
          </m:dPr>
          <m:e>
            <m:r>
              <m:t>τ</m:t>
            </m:r>
          </m:e>
        </m:d>
      </m:oMath>
      <w:r>
        <w:t xml:space="preserve"> </w:t>
      </w:r>
      <w:r>
        <w:t xml:space="preserve">identifiable/observable from</w:t>
      </w:r>
      <w:r>
        <w:t xml:space="preserve"> </w:t>
      </w:r>
      <m:oMath>
        <m:r>
          <m:t>Z</m:t>
        </m:r>
        <m:d>
          <m:dPr>
            <m:begChr m:val="("/>
            <m:endChr m:val=")"/>
            <m:sepChr m:val=""/>
            <m:grow/>
          </m:dPr>
          <m:e>
            <m:r>
              <m:t>t</m:t>
            </m:r>
          </m:e>
        </m:d>
      </m:oMath>
      <w:r>
        <w:t xml:space="preserve">,</w:t>
      </w:r>
      <w:r>
        <w:t xml:space="preserve">”</w:t>
      </w:r>
      <w:r>
        <w:t xml:space="preserve"> </w:t>
      </w:r>
      <w:r>
        <w:t xml:space="preserve">but</w:t>
      </w:r>
      <w:r>
        <w:t xml:space="preserve"> </w:t>
      </w:r>
      <w:r>
        <w:t xml:space="preserve">“</w:t>
      </w:r>
      <w:r>
        <w:t xml:space="preserve">given the full pipeline, what is the distribution of belief about</w:t>
      </w:r>
      <w:r>
        <w:t xml:space="preserve"> </w:t>
      </w:r>
      <m:oMath>
        <m:r>
          <m:t>X</m:t>
        </m:r>
        <m:d>
          <m:dPr>
            <m:begChr m:val="("/>
            <m:endChr m:val=")"/>
            <m:sepChr m:val=""/>
            <m:grow/>
          </m:dPr>
          <m:e>
            <m:r>
              <m:t>τ</m:t>
            </m:r>
          </m:e>
        </m:d>
      </m:oMath>
      <w:r>
        <w:t xml:space="preserve">, and how much of its width comes from which upstream stage</w:t>
      </w:r>
      <w:r>
        <w:t xml:space="preserve">”</w:t>
      </w:r>
      <w:r>
        <w:t xml:space="preserve"> </w:t>
      </w:r>
      <w:r>
        <w:t xml:space="preserve">— formalized in §8.0’s marginalization integral and decomposed by source in §8.13’s law-of-total-variance breakdown.</w:t>
      </w:r>
    </w:p>
    <w:p>
      <w:pPr>
        <w:pStyle w:val="BodyText"/>
      </w:pPr>
      <w:r>
        <w:rPr>
          <w:bCs/>
          <w:b/>
        </w:rPr>
        <w:t xml:space="preserve">Concept-threading check, updated for Chapter 10</w:t>
      </w:r>
      <w:r>
        <w:t xml:space="preserve"> </w:t>
      </w:r>
      <w:r>
        <w:t xml:space="preserve">— where each required concept is introduced and subsequently used:</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Concept</w:t>
            </w:r>
          </w:p>
        </w:tc>
        <w:tc>
          <w:tcPr/>
          <w:p>
            <w:pPr>
              <w:pStyle w:val="Compact"/>
              <w:jc w:val="left"/>
            </w:pPr>
            <w:r>
              <w:t xml:space="preserve">First formally defined</w:t>
            </w:r>
          </w:p>
        </w:tc>
        <w:tc>
          <w:tcPr/>
          <w:p>
            <w:pPr>
              <w:pStyle w:val="Compact"/>
              <w:jc w:val="left"/>
            </w:pPr>
            <w:r>
              <w:t xml:space="preserve">Used in Ch. 1–4</w:t>
            </w:r>
          </w:p>
        </w:tc>
        <w:tc>
          <w:tcPr/>
          <w:p>
            <w:pPr>
              <w:pStyle w:val="Compact"/>
              <w:jc w:val="left"/>
            </w:pPr>
            <w:r>
              <w:t xml:space="preserve">Used in Ch. 5</w:t>
            </w:r>
          </w:p>
        </w:tc>
        <w:tc>
          <w:tcPr/>
          <w:p>
            <w:pPr>
              <w:pStyle w:val="Compact"/>
              <w:jc w:val="left"/>
            </w:pPr>
            <w:r>
              <w:t xml:space="preserve">Used in Ch. 6</w:t>
            </w:r>
          </w:p>
        </w:tc>
        <w:tc>
          <w:tcPr/>
          <w:p>
            <w:pPr>
              <w:pStyle w:val="Compact"/>
              <w:jc w:val="left"/>
            </w:pPr>
            <w:r>
              <w:t xml:space="preserve">Used in Ch. 7</w:t>
            </w:r>
          </w:p>
        </w:tc>
        <w:tc>
          <w:tcPr/>
          <w:p>
            <w:pPr>
              <w:pStyle w:val="Compact"/>
              <w:jc w:val="left"/>
            </w:pPr>
            <w:r>
              <w:t xml:space="preserve">Used in Ch. 8</w:t>
            </w:r>
          </w:p>
        </w:tc>
        <w:tc>
          <w:tcPr/>
          <w:p>
            <w:pPr>
              <w:pStyle w:val="Compact"/>
              <w:jc w:val="left"/>
            </w:pPr>
            <w:r>
              <w:t xml:space="preserve">Used in Ch. 9</w:t>
            </w:r>
          </w:p>
        </w:tc>
        <w:tc>
          <w:tcPr/>
          <w:p>
            <w:pPr>
              <w:pStyle w:val="Compact"/>
              <w:jc w:val="left"/>
            </w:pPr>
            <w:r>
              <w:t xml:space="preserve">Used in Ch. 10</w:t>
            </w:r>
          </w:p>
        </w:tc>
      </w:tr>
      <w:tr>
        <w:tc>
          <w:tcPr/>
          <w:p>
            <w:pPr>
              <w:pStyle w:val="Compact"/>
              <w:jc w:val="left"/>
            </w:pPr>
            <w:r>
              <w:t xml:space="preserve">WBE as an inverse problem</w:t>
            </w:r>
          </w:p>
        </w:tc>
        <w:tc>
          <w:tcPr/>
          <w:p>
            <w:pPr>
              <w:pStyle w:val="Compact"/>
              <w:jc w:val="left"/>
            </w:pPr>
            <w:r>
              <w:t xml:space="preserve">§3.0</w:t>
            </w:r>
          </w:p>
        </w:tc>
        <w:tc>
          <w:tcPr/>
          <w:p>
            <w:pPr>
              <w:pStyle w:val="Compact"/>
              <w:jc w:val="left"/>
            </w:pPr>
            <w:r>
              <w:t xml:space="preserve">§3.0–4.3 throughout</w:t>
            </w:r>
          </w:p>
        </w:tc>
        <w:tc>
          <w:tcPr/>
          <w:p>
            <w:pPr>
              <w:pStyle w:val="Compact"/>
              <w:jc w:val="left"/>
            </w:pPr>
            <w:r>
              <w:t xml:space="preserve">§5.0 (two observation models)</w:t>
            </w:r>
          </w:p>
        </w:tc>
        <w:tc>
          <w:tcPr/>
          <w:p>
            <w:pPr>
              <w:pStyle w:val="Compact"/>
              <w:jc w:val="left"/>
            </w:pPr>
            <w:r>
              <w:t xml:space="preserve">§6.0 (</w:t>
            </w:r>
            <m:oMath>
              <m:r>
                <m:t>Z</m:t>
              </m:r>
              <m:d>
                <m:dPr>
                  <m:begChr m:val="("/>
                  <m:endChr m:val=")"/>
                  <m:sepChr m:val=""/>
                  <m:grow/>
                </m:dPr>
                <m:e>
                  <m:r>
                    <m:t>t</m:t>
                  </m:r>
                </m:e>
              </m:d>
              <m:r>
                <m:rPr>
                  <m:sty m:val="p"/>
                </m:rPr>
                <m:t>=</m:t>
              </m:r>
              <m:r>
                <m:rPr>
                  <m:sty m:val="p"/>
                  <m:scr m:val="script"/>
                </m:rPr>
                <m:t>N</m:t>
              </m:r>
              <m:d>
                <m:dPr>
                  <m:begChr m:val="["/>
                  <m:endChr m:val="]"/>
                  <m:sepChr m:val=""/>
                  <m:grow/>
                </m:dPr>
                <m:e>
                  <m:r>
                    <m:rPr>
                      <m:sty m:val="p"/>
                    </m:rPr>
                    <m:t>…</m:t>
                  </m:r>
                </m:e>
              </m:d>
            </m:oMath>
            <w:r>
              <w:t xml:space="preserve">)</w:t>
            </w:r>
          </w:p>
        </w:tc>
        <w:tc>
          <w:tcPr/>
          <w:p>
            <w:pPr>
              <w:pStyle w:val="Compact"/>
              <w:jc w:val="left"/>
            </w:pPr>
            <w:r>
              <w:t xml:space="preserve">§7.0–7.2 (reconstructing</w:t>
            </w:r>
            <w:r>
              <w:t xml:space="preserve"> </w:t>
            </w:r>
            <m:oMath>
              <m:r>
                <m:t>X</m:t>
              </m:r>
              <m:d>
                <m:dPr>
                  <m:begChr m:val="("/>
                  <m:endChr m:val=")"/>
                  <m:sepChr m:val=""/>
                  <m:grow/>
                </m:dPr>
                <m:e>
                  <m:r>
                    <m:t>τ</m:t>
                  </m:r>
                </m:e>
              </m:d>
            </m:oMath>
            <w:r>
              <w:t xml:space="preserve"> </w:t>
            </w:r>
            <w:r>
              <w:t xml:space="preserve">from</w:t>
            </w:r>
            <w:r>
              <w:t xml:space="preserve"> </w:t>
            </w:r>
            <m:oMath>
              <m:r>
                <m:t>Z</m:t>
              </m:r>
              <m:d>
                <m:dPr>
                  <m:begChr m:val="("/>
                  <m:endChr m:val=")"/>
                  <m:sepChr m:val=""/>
                  <m:grow/>
                </m:dPr>
                <m:e>
                  <m:r>
                    <m:t>t</m:t>
                  </m:r>
                </m:e>
              </m:d>
            </m:oMath>
            <w:r>
              <w:t xml:space="preserve">)</w:t>
            </w:r>
          </w:p>
        </w:tc>
        <w:tc>
          <w:tcPr/>
          <w:p>
            <w:pPr>
              <w:pStyle w:val="Compact"/>
              <w:jc w:val="left"/>
            </w:pPr>
            <w:r>
              <w:t xml:space="preserve">§8.0 (marginalizing over</w:t>
            </w:r>
            <w:r>
              <w:t xml:space="preserve"> </w:t>
            </w:r>
            <m:oMath>
              <m:r>
                <m:t>θ</m:t>
              </m:r>
            </m:oMath>
            <w:r>
              <w:t xml:space="preserve"> </w:t>
            </w:r>
            <w:r>
              <w:t xml:space="preserve">instead of point-estimating</w:t>
            </w:r>
            <w:r>
              <w:t xml:space="preserve"> </w:t>
            </w:r>
            <m:oMath>
              <m:r>
                <m:t>X</m:t>
              </m:r>
              <m:d>
                <m:dPr>
                  <m:begChr m:val="("/>
                  <m:endChr m:val=")"/>
                  <m:sepChr m:val=""/>
                  <m:grow/>
                </m:dPr>
                <m:e>
                  <m:r>
                    <m:t>τ</m:t>
                  </m:r>
                </m:e>
              </m:d>
            </m:oMath>
            <w:r>
              <w:t xml:space="preserve">)</w:t>
            </w:r>
          </w:p>
        </w:tc>
        <w:tc>
          <w:tcPr/>
          <w:p>
            <w:pPr>
              <w:pStyle w:val="Compact"/>
              <w:jc w:val="left"/>
            </w:pPr>
            <w:r>
              <w:t xml:space="preserve">§9.0 (the reconstructed distribution as the</w:t>
            </w:r>
            <w:r>
              <w:t xml:space="preserve"> </w:t>
            </w:r>
            <w:r>
              <w:rPr>
                <w:iCs/>
                <w:i/>
              </w:rPr>
              <w:t xml:space="preserve">input</w:t>
            </w:r>
            <w:r>
              <w:t xml:space="preserve"> </w:t>
            </w:r>
            <w:r>
              <w:t xml:space="preserve">to a decision problem)</w:t>
            </w:r>
          </w:p>
        </w:tc>
        <w:tc>
          <w:tcPr/>
          <w:p>
            <w:pPr>
              <w:pStyle w:val="Compact"/>
              <w:jc w:val="left"/>
            </w:pPr>
            <w:r>
              <w:t xml:space="preserve">§10.3 (a digital twin as a process-constraint generator for the same inverse problem, not a replacement for it)</w:t>
            </w:r>
          </w:p>
        </w:tc>
      </w:tr>
      <w:tr>
        <w:tc>
          <w:tcPr/>
          <w:p>
            <w:pPr>
              <w:pStyle w:val="Compact"/>
              <w:jc w:val="left"/>
            </w:pPr>
            <w:r>
              <w:t xml:space="preserve">Amplitude distortion</w:t>
            </w:r>
          </w:p>
        </w:tc>
        <w:tc>
          <w:tcPr/>
          <w:p>
            <w:pPr>
              <w:pStyle w:val="Compact"/>
              <w:jc w:val="left"/>
            </w:pPr>
            <w:r>
              <w:t xml:space="preserve">§3.0</w:t>
            </w:r>
          </w:p>
        </w:tc>
        <w:tc>
          <w:tcPr/>
          <w:p>
            <w:pPr>
              <w:pStyle w:val="Compact"/>
              <w:jc w:val="left"/>
            </w:pPr>
            <w:r>
              <w:t xml:space="preserve">§3.1–4.3</w:t>
            </w:r>
          </w:p>
        </w:tc>
        <w:tc>
          <w:tcPr/>
          <w:p>
            <w:pPr>
              <w:pStyle w:val="Compact"/>
              <w:jc w:val="left"/>
            </w:pPr>
            <w:r>
              <w:t xml:space="preserve">§5.0</w:t>
            </w:r>
          </w:p>
        </w:tc>
        <w:tc>
          <w:tcPr/>
          <w:p>
            <w:pPr>
              <w:pStyle w:val="Compact"/>
              <w:jc w:val="left"/>
            </w:pPr>
            <w:r>
              <w:t xml:space="preserve">§6.2, §6.4–6.6</w:t>
            </w:r>
          </w:p>
        </w:tc>
        <w:tc>
          <w:tcPr/>
          <w:p>
            <w:pPr>
              <w:pStyle w:val="Compact"/>
              <w:jc w:val="left"/>
            </w:pPr>
            <w:r>
              <w:t xml:space="preserve">§7.1.1 (</w:t>
            </w:r>
            <m:oMath>
              <m:r>
                <m:t>C</m:t>
              </m:r>
              <m:r>
                <m:t>F</m:t>
              </m:r>
            </m:oMath>
            <w:r>
              <w:t xml:space="preserve"> </w:t>
            </w:r>
            <w:r>
              <w:t xml:space="preserve">as an amplitude correction factor)</w:t>
            </w:r>
          </w:p>
        </w:tc>
        <w:tc>
          <w:tcPr/>
          <w:p>
            <w:pPr>
              <w:pStyle w:val="Compact"/>
              <w:jc w:val="left"/>
            </w:pPr>
            <w:r>
              <w:t xml:space="preserve">§8.2–8.3 (excretion-fraction and decay-rate uncertainty)</w:t>
            </w:r>
          </w:p>
        </w:tc>
        <w:tc>
          <w:tcPr/>
          <w:p>
            <w:pPr>
              <w:pStyle w:val="Compact"/>
              <w:jc w:val="left"/>
            </w:pPr>
            <w:r>
              <w:t xml:space="preserve">§9.3 (rainfall/weather as fusion input and amplitude-correction covariate)</w:t>
            </w:r>
          </w:p>
        </w:tc>
        <w:tc>
          <w:tcPr/>
          <w:p>
            <w:pPr>
              <w:pStyle w:val="Compact"/>
              <w:jc w:val="left"/>
            </w:pPr>
            <w:r>
              <w:t xml:space="preserve">§10.9 (nonstationary rainfall regimes as a threat to a</w:t>
            </w:r>
            <w:r>
              <w:t xml:space="preserve"> </w:t>
            </w:r>
            <w:r>
              <w:rPr>
                <w:iCs/>
                <w:i/>
              </w:rPr>
              <w:t xml:space="preserve">fixed</w:t>
            </w:r>
            <w:r>
              <w:t xml:space="preserve"> </w:t>
            </w:r>
            <w:r>
              <w:t xml:space="preserve">amplitude-correction model’s continued validity)</w:t>
            </w:r>
          </w:p>
        </w:tc>
      </w:tr>
      <w:tr>
        <w:tc>
          <w:tcPr/>
          <w:p>
            <w:pPr>
              <w:pStyle w:val="Compact"/>
              <w:jc w:val="left"/>
            </w:pPr>
            <w:r>
              <w:t xml:space="preserve">Temporal distortion</w:t>
            </w:r>
          </w:p>
        </w:tc>
        <w:tc>
          <w:tcPr/>
          <w:p>
            <w:pPr>
              <w:pStyle w:val="Compact"/>
              <w:jc w:val="left"/>
            </w:pPr>
            <w:r>
              <w:t xml:space="preserve">§3.0</w:t>
            </w:r>
          </w:p>
        </w:tc>
        <w:tc>
          <w:tcPr/>
          <w:p>
            <w:pPr>
              <w:pStyle w:val="Compact"/>
              <w:jc w:val="left"/>
            </w:pPr>
            <w:r>
              <w:t xml:space="preserve">§3.1–4.3</w:t>
            </w:r>
          </w:p>
        </w:tc>
        <w:tc>
          <w:tcPr/>
          <w:p>
            <w:pPr>
              <w:pStyle w:val="Compact"/>
              <w:jc w:val="left"/>
            </w:pPr>
            <w:r>
              <w:t xml:space="preserve">§5.0</w:t>
            </w:r>
          </w:p>
        </w:tc>
        <w:tc>
          <w:tcPr/>
          <w:p>
            <w:pPr>
              <w:pStyle w:val="Compact"/>
              <w:jc w:val="left"/>
            </w:pPr>
            <w:r>
              <w:t xml:space="preserve">§6.3, §6.5, §6.6</w:t>
            </w:r>
          </w:p>
        </w:tc>
        <w:tc>
          <w:tcPr/>
          <w:p>
            <w:pPr>
              <w:pStyle w:val="Compact"/>
              <w:jc w:val="left"/>
            </w:pPr>
            <w:r>
              <w:t xml:space="preserve">§7.1.2, §7.2 (shedding-kernel/incidence-curve deconvolution)</w:t>
            </w:r>
          </w:p>
        </w:tc>
        <w:tc>
          <w:tcPr/>
          <w:p>
            <w:pPr>
              <w:pStyle w:val="Compact"/>
              <w:jc w:val="left"/>
            </w:pPr>
            <w:r>
              <w:t xml:space="preserve">§8.3, §8.9 (retention-time and shedding-kernel uncertainty propagated)</w:t>
            </w:r>
          </w:p>
        </w:tc>
        <w:tc>
          <w:tcPr/>
          <w:p>
            <w:pPr>
              <w:pStyle w:val="Compact"/>
              <w:jc w:val="left"/>
            </w:pPr>
            <w:r>
              <w:t xml:space="preserve">§9.4 (non-stationary, setting-dependent lead/lag)</w:t>
            </w:r>
          </w:p>
        </w:tc>
        <w:tc>
          <w:tcPr/>
          <w:p>
            <w:pPr>
              <w:pStyle w:val="Compact"/>
              <w:jc w:val="left"/>
            </w:pPr>
            <w:r>
              <w:t xml:space="preserve">§10.2 (measurement latency itself as a form of temporal distortion between true state and actionable report)</w:t>
            </w:r>
          </w:p>
        </w:tc>
      </w:tr>
      <w:tr>
        <w:tc>
          <w:tcPr/>
          <w:p>
            <w:pPr>
              <w:pStyle w:val="Compact"/>
              <w:jc w:val="left"/>
            </w:pPr>
            <w:r>
              <w:t xml:space="preserve">Spatial distortion</w:t>
            </w:r>
          </w:p>
        </w:tc>
        <w:tc>
          <w:tcPr/>
          <w:p>
            <w:pPr>
              <w:pStyle w:val="Compact"/>
              <w:jc w:val="left"/>
            </w:pPr>
            <w:r>
              <w:t xml:space="preserve">§3.0</w:t>
            </w:r>
          </w:p>
        </w:tc>
        <w:tc>
          <w:tcPr/>
          <w:p>
            <w:pPr>
              <w:pStyle w:val="Compact"/>
              <w:jc w:val="left"/>
            </w:pPr>
            <w:r>
              <w:t xml:space="preserve">§3.2–4.3</w:t>
            </w:r>
          </w:p>
        </w:tc>
        <w:tc>
          <w:tcPr/>
          <w:p>
            <w:pPr>
              <w:pStyle w:val="Compact"/>
              <w:jc w:val="left"/>
            </w:pPr>
            <w:r>
              <w:t xml:space="preserve">§5.0, §5.1</w:t>
            </w:r>
          </w:p>
        </w:tc>
        <w:tc>
          <w:tcPr/>
          <w:p>
            <w:pPr>
              <w:pStyle w:val="Compact"/>
              <w:jc w:val="left"/>
            </w:pPr>
            <w:r>
              <w:t xml:space="preserve">§6.3, §6.8</w:t>
            </w:r>
          </w:p>
        </w:tc>
        <w:tc>
          <w:tcPr/>
          <w:p>
            <w:pPr>
              <w:pStyle w:val="Compact"/>
              <w:jc w:val="left"/>
            </w:pPr>
            <w:r>
              <w:t xml:space="preserve">§7.6 (sub-catchment aggregation failure)</w:t>
            </w:r>
          </w:p>
        </w:tc>
        <w:tc>
          <w:tcPr/>
          <w:p>
            <w:pPr>
              <w:pStyle w:val="Compact"/>
              <w:jc w:val="left"/>
            </w:pPr>
            <w:r>
              <w:t xml:space="preserve">§8.10 (spatial correlation as a documented dependency)</w:t>
            </w:r>
          </w:p>
        </w:tc>
        <w:tc>
          <w:tcPr/>
          <w:p>
            <w:pPr>
              <w:pStyle w:val="Compact"/>
              <w:jc w:val="left"/>
            </w:pPr>
            <w:r>
              <w:t xml:space="preserve">§9.5–9.6 (aggregation as source of both anonymity advantage and action limitation)</w:t>
            </w:r>
          </w:p>
        </w:tc>
        <w:tc>
          <w:tcPr/>
          <w:p>
            <w:pPr>
              <w:pStyle w:val="Compact"/>
              <w:jc w:val="left"/>
            </w:pPr>
            <w:r>
              <w:t xml:space="preserve">§10.1 (distributed/upstream sensing as a spatial-resolution/signal-stability trade-off, the technical mirror of §9.6’s ethical trade-off)</w:t>
            </w:r>
          </w:p>
        </w:tc>
      </w:tr>
      <w:tr>
        <w:tc>
          <w:tcPr/>
          <w:p>
            <w:pPr>
              <w:pStyle w:val="Compact"/>
              <w:jc w:val="left"/>
            </w:pPr>
            <w:r>
              <w:t xml:space="preserve">Identifiability</w:t>
            </w:r>
          </w:p>
        </w:tc>
        <w:tc>
          <w:tcPr/>
          <w:p>
            <w:pPr>
              <w:pStyle w:val="Compact"/>
              <w:jc w:val="left"/>
            </w:pPr>
            <w:r>
              <w:t xml:space="preserve">§3.0</w:t>
            </w:r>
          </w:p>
        </w:tc>
        <w:tc>
          <w:tcPr/>
          <w:p>
            <w:pPr>
              <w:pStyle w:val="Compact"/>
              <w:jc w:val="left"/>
            </w:pPr>
            <w:r>
              <w:t xml:space="preserve">§3.1, §4.3</w:t>
            </w:r>
          </w:p>
        </w:tc>
        <w:tc>
          <w:tcPr/>
          <w:p>
            <w:pPr>
              <w:pStyle w:val="Compact"/>
              <w:jc w:val="left"/>
            </w:pPr>
            <w:r>
              <w:t xml:space="preserve">§5.1, §5.7</w:t>
            </w:r>
          </w:p>
        </w:tc>
        <w:tc>
          <w:tcPr/>
          <w:p>
            <w:pPr>
              <w:pStyle w:val="Compact"/>
              <w:jc w:val="left"/>
            </w:pPr>
            <w:r>
              <w:t xml:space="preserve">§6.8, §6.10</w:t>
            </w:r>
          </w:p>
        </w:tc>
        <w:tc>
          <w:tcPr/>
          <w:p>
            <w:pPr>
              <w:pStyle w:val="Compact"/>
              <w:jc w:val="left"/>
            </w:pPr>
            <w:r>
              <w:t xml:space="preserve">§7.0, §7.2, §7.3 — structural vs. practical identifiability, state observability</w:t>
            </w:r>
          </w:p>
        </w:tc>
        <w:tc>
          <w:tcPr/>
          <w:p>
            <w:pPr>
              <w:pStyle w:val="Compact"/>
              <w:jc w:val="left"/>
            </w:pPr>
            <w:r>
              <w:t xml:space="preserve">§8.9, §8.16 (narrow posterior ≠ identifiability restored)</w:t>
            </w:r>
          </w:p>
        </w:tc>
        <w:tc>
          <w:tcPr/>
          <w:p>
            <w:pPr>
              <w:pStyle w:val="Compact"/>
              <w:jc w:val="left"/>
            </w:pPr>
            <w:r>
              <w:t xml:space="preserve">§9.5 (a rising signal’s</w:t>
            </w:r>
            <w:r>
              <w:t xml:space="preserve"> </w:t>
            </w:r>
            <w:r>
              <w:rPr>
                <w:iCs/>
                <w:i/>
              </w:rPr>
              <w:t xml:space="preserve">cause</w:t>
            </w:r>
            <w:r>
              <w:t xml:space="preserve"> </w:t>
            </w:r>
            <w:r>
              <w:t xml:space="preserve">remains unsolved)</w:t>
            </w:r>
          </w:p>
        </w:tc>
        <w:tc>
          <w:tcPr/>
          <w:p>
            <w:pPr>
              <w:pStyle w:val="Compact"/>
              <w:jc w:val="left"/>
            </w:pPr>
            <w:r>
              <w:t xml:space="preserve">§10.4 (a multi-omics profile’s interpretability requires the same identifiability discipline as a single-target signal, not a different, easier problem)</w:t>
            </w:r>
          </w:p>
        </w:tc>
      </w:tr>
      <w:tr>
        <w:tc>
          <w:tcPr/>
          <w:p>
            <w:pPr>
              <w:pStyle w:val="Compact"/>
              <w:jc w:val="left"/>
            </w:pPr>
            <w:r>
              <w:t xml:space="preserve">Uncertainty propagation</w:t>
            </w:r>
          </w:p>
        </w:tc>
        <w:tc>
          <w:tcPr/>
          <w:p>
            <w:pPr>
              <w:pStyle w:val="Compact"/>
              <w:jc w:val="left"/>
            </w:pPr>
            <w:r>
              <w:t xml:space="preserve">§3.0/§4.3</w:t>
            </w:r>
          </w:p>
        </w:tc>
        <w:tc>
          <w:tcPr/>
          <w:p>
            <w:pPr>
              <w:pStyle w:val="Compact"/>
              <w:jc w:val="left"/>
            </w:pPr>
            <w:r>
              <w:t xml:space="preserve">§4.3</w:t>
            </w:r>
          </w:p>
        </w:tc>
        <w:tc>
          <w:tcPr/>
          <w:p>
            <w:pPr>
              <w:pStyle w:val="Compact"/>
              <w:jc w:val="left"/>
            </w:pPr>
            <w:r>
              <w:t xml:space="preserve">§5.5, §5.7</w:t>
            </w:r>
          </w:p>
        </w:tc>
        <w:tc>
          <w:tcPr/>
          <w:p>
            <w:pPr>
              <w:pStyle w:val="Compact"/>
              <w:jc w:val="left"/>
            </w:pPr>
            <w:r>
              <w:t xml:space="preserve">§6.2, §6.6, §6.10</w:t>
            </w:r>
          </w:p>
        </w:tc>
        <w:tc>
          <w:tcPr/>
          <w:p>
            <w:pPr>
              <w:pStyle w:val="Compact"/>
              <w:jc w:val="left"/>
            </w:pPr>
            <w:r>
              <w:t xml:space="preserve">§7.5, §7.8 (handoff)</w:t>
            </w:r>
          </w:p>
        </w:tc>
        <w:tc>
          <w:tcPr/>
          <w:p>
            <w:pPr>
              <w:pStyle w:val="Compact"/>
              <w:jc w:val="left"/>
            </w:pPr>
            <w:r>
              <w:t xml:space="preserve">§8.0, §8.6–8.9, §8.13 — this chapter’s central concept</w:t>
            </w:r>
          </w:p>
        </w:tc>
        <w:tc>
          <w:tcPr/>
          <w:p>
            <w:pPr>
              <w:pStyle w:val="Compact"/>
              <w:jc w:val="left"/>
            </w:pPr>
            <w:r>
              <w:t xml:space="preserve">§9.2, §9.7–9.8 (exceedance probability, decision-relevant risk)</w:t>
            </w:r>
          </w:p>
        </w:tc>
        <w:tc>
          <w:tcPr/>
          <w:p>
            <w:pPr>
              <w:pStyle w:val="Compact"/>
              <w:jc w:val="left"/>
            </w:pPr>
            <w:r>
              <w:t xml:space="preserve">§10.3 (a digital twin’s own hydraulic-model uncertainty is itself subject to §8.12’s structural-uncertainty caution, not exempt from it)</w:t>
            </w:r>
          </w:p>
        </w:tc>
      </w:tr>
      <w:tr>
        <w:tc>
          <w:tcPr/>
          <w:p>
            <w:pPr>
              <w:pStyle w:val="Compact"/>
              <w:jc w:val="left"/>
            </w:pPr>
            <w:r>
              <w:t xml:space="preserve">Process-informed correction</w:t>
            </w:r>
          </w:p>
        </w:tc>
        <w:tc>
          <w:tcPr/>
          <w:p>
            <w:pPr>
              <w:pStyle w:val="Compact"/>
              <w:jc w:val="left"/>
            </w:pPr>
            <w:r>
              <w:t xml:space="preserve">§3.0</w:t>
            </w:r>
          </w:p>
        </w:tc>
        <w:tc>
          <w:tcPr/>
          <w:p>
            <w:pPr>
              <w:pStyle w:val="Compact"/>
              <w:jc w:val="left"/>
            </w:pPr>
            <w:r>
              <w:t xml:space="preserve">§4.2, §4.3</w:t>
            </w:r>
          </w:p>
        </w:tc>
        <w:tc>
          <w:tcPr/>
          <w:p>
            <w:pPr>
              <w:pStyle w:val="Compact"/>
              <w:jc w:val="left"/>
            </w:pPr>
            <w:r>
              <w:t xml:space="preserve">§5.7</w:t>
            </w:r>
          </w:p>
        </w:tc>
        <w:tc>
          <w:tcPr/>
          <w:p>
            <w:pPr>
              <w:pStyle w:val="Compact"/>
              <w:jc w:val="left"/>
            </w:pPr>
            <w:r>
              <w:t xml:space="preserve">§6.0, §6.6, §6.9</w:t>
            </w:r>
          </w:p>
        </w:tc>
        <w:tc>
          <w:tcPr/>
          <w:p>
            <w:pPr>
              <w:pStyle w:val="Compact"/>
              <w:jc w:val="left"/>
            </w:pPr>
            <w:r>
              <w:t xml:space="preserve">§7.1.2, §7.6</w:t>
            </w:r>
          </w:p>
        </w:tc>
        <w:tc>
          <w:tcPr/>
          <w:p>
            <w:pPr>
              <w:pStyle w:val="Compact"/>
              <w:jc w:val="left"/>
            </w:pPr>
            <w:r>
              <w:t xml:space="preserve">§8.12 (structural uncertainty/model ensembles)</w:t>
            </w:r>
          </w:p>
        </w:tc>
        <w:tc>
          <w:tcPr/>
          <w:p>
            <w:pPr>
              <w:pStyle w:val="Compact"/>
              <w:jc w:val="left"/>
            </w:pPr>
            <w:r>
              <w:t xml:space="preserve">§9.4 (joint multi-stream modeling as the fusion-layer analogue)</w:t>
            </w:r>
          </w:p>
        </w:tc>
        <w:tc>
          <w:tcPr/>
          <w:p>
            <w:pPr>
              <w:pStyle w:val="Compact"/>
              <w:jc w:val="left"/>
            </w:pPr>
            <w:r>
              <w:t xml:space="preserve">§10.3, §10.9 (a digital twin and a climate-transfer-validated correction model as two concrete infrastructural instances of process-informed correction, not new concepts)</w:t>
            </w:r>
          </w:p>
        </w:tc>
      </w:tr>
    </w:tbl>
    <w:p>
      <w:pPr>
        <w:pStyle w:val="BodyText"/>
      </w:pPr>
      <w:r>
        <w:rPr>
          <w:bCs/>
          <w:b/>
        </w:rPr>
        <w:t xml:space="preserve">Chapter 9’s new vocabulary</w:t>
      </w:r>
      <w:r>
        <w:t xml:space="preserve"> </w:t>
      </w:r>
      <w:r>
        <w:t xml:space="preserve">(surveillance objective, decision threshold/asymmetric error cost, data fusion, the substitution boundary, actionability) is unchanged from the prior round’s self-check and not repeated here.</w:t>
      </w:r>
      <w:r>
        <w:t xml:space="preserve"> </w:t>
      </w:r>
      <w:r>
        <w:rPr>
          <w:bCs/>
          <w:b/>
        </w:rPr>
        <w:t xml:space="preserve">Chapter 10 introduces its own new vocabulary, genuinely new rather than a restatement of §3.0’s five concepts or §9’s institutional-translation concepts</w:t>
      </w:r>
      <w:r>
        <w:t xml:space="preserve">: the</w:t>
      </w:r>
      <w:r>
        <w:t xml:space="preserve"> </w:t>
      </w:r>
      <w:r>
        <w:rPr>
          <w:bCs/>
          <w:b/>
        </w:rPr>
        <w:t xml:space="preserve">spatial-resolution/signal-stability trade-off</w:t>
      </w:r>
      <w:r>
        <w:t xml:space="preserve"> </w:t>
      </w:r>
      <w:r>
        <w:t xml:space="preserve">(§10.1); the</w:t>
      </w:r>
      <w:r>
        <w:t xml:space="preserve"> </w:t>
      </w:r>
      <w:r>
        <w:rPr>
          <w:bCs/>
          <w:b/>
        </w:rPr>
        <w:t xml:space="preserve">technology-readiness level distinction between analytical novelty, field/cross-site demonstration, and operational/decision-value readiness</w:t>
      </w:r>
      <w:r>
        <w:t xml:space="preserve"> </w:t>
      </w:r>
      <w:r>
        <w:t xml:space="preserve">(§10.10, this chapter’s central organizing contribution, directly parallel in structure to §7.0’s five-way evidentiary distinction but applied to infrastructure/instrumentation rather than to a statistical reconstruction claim); and</w:t>
      </w:r>
      <w:r>
        <w:t xml:space="preserve"> </w:t>
      </w:r>
      <w:r>
        <w:rPr>
          <w:bCs/>
          <w:b/>
        </w:rPr>
        <w:t xml:space="preserve">transfer validation as a general requirement</w:t>
      </w:r>
      <w:r>
        <w:t xml:space="preserve"> </w:t>
      </w:r>
      <w:r>
        <w:t xml:space="preserve">(cross-population for a detection threshold, §9.2; cross-city for an AI model, §10.5; cross-climate-regime for a correction model, §10.9) — Chapter 10 does not introduce a new distortion type, a new decision concept, or a new evidentiary criterion beyond these, and explicitly reuses §7.0’s five-criteria and §9.7’s four-actionability-condition frameworks rather than proposing competing ones.</w:t>
      </w:r>
    </w:p>
    <w:p>
      <w:r>
        <w:pict>
          <v:rect style="width:0;height:1.5pt" o:hralign="center" o:hrstd="t" o:hr="t"/>
        </w:pict>
      </w:r>
    </w:p>
    <w:bookmarkEnd w:id="126"/>
    <w:bookmarkStart w:id="127" w:name="X8b392f0ae7b10a134b845df4144e5d92bdd9052"/>
    <w:p>
      <w:pPr>
        <w:pStyle w:val="Heading2"/>
      </w:pPr>
      <w:r>
        <w:t xml:space="preserve">Structural bridge from Chapters 1–4 to Chapter 5 (retained from previous delivery)</w:t>
      </w:r>
    </w:p>
    <w:p>
      <w:pPr>
        <w:numPr>
          <w:ilvl w:val="0"/>
          <w:numId w:val="1034"/>
        </w:numPr>
        <w:pStyle w:val="Compact"/>
      </w:pPr>
      <w:r>
        <w:rPr>
          <w:bCs/>
          <w:b/>
        </w:rPr>
        <w:t xml:space="preserve">What Chapters 1–4 established:</w:t>
      </w:r>
      <w:r>
        <w:t xml:space="preserve"> </w:t>
      </w:r>
      <w:r>
        <w:t xml:space="preserve">a formal inverse-problem statement (§3.0) in which an observed treatment-plant concentration</w:t>
      </w:r>
      <w:r>
        <w:t xml:space="preserve"> </w:t>
      </w:r>
      <m:oMath>
        <m:r>
          <m:t>Y</m:t>
        </m:r>
        <m:d>
          <m:dPr>
            <m:begChr m:val="("/>
            <m:endChr m:val=")"/>
            <m:sepChr m:val=""/>
            <m:grow/>
          </m:dPr>
          <m:e>
            <m:r>
              <m:t>t</m:t>
            </m:r>
          </m:e>
        </m:d>
      </m:oMath>
      <w:r>
        <w:t xml:space="preserve"> </w:t>
      </w:r>
      <w:r>
        <w:t xml:space="preserve">is a distorted version of a true source signal</w:t>
      </w:r>
      <w:r>
        <w:t xml:space="preserve"> </w:t>
      </w:r>
      <m:oMath>
        <m:r>
          <m:t>X</m:t>
        </m:r>
        <m:d>
          <m:dPr>
            <m:begChr m:val="("/>
            <m:endChr m:val=")"/>
            <m:sepChr m:val=""/>
            <m:grow/>
          </m:dPr>
          <m:e>
            <m:r>
              <m:t>τ</m:t>
            </m:r>
          </m:e>
        </m:d>
      </m:oMath>
      <w:r>
        <w:t xml:space="preserve">, distorted via an amplitude term</w:t>
      </w:r>
      <w:r>
        <w:t xml:space="preserve"> </w:t>
      </w:r>
      <m:oMath>
        <m:r>
          <m:t>A</m:t>
        </m:r>
        <m:d>
          <m:dPr>
            <m:begChr m:val="("/>
            <m:endChr m:val=")"/>
            <m:sepChr m:val=""/>
            <m:grow/>
          </m:dPr>
          <m:e>
            <m:r>
              <m:t>t</m:t>
            </m:r>
          </m:e>
        </m:d>
      </m:oMath>
      <w:r>
        <w:t xml:space="preserve"> </w:t>
      </w:r>
      <w:r>
        <w:t xml:space="preserve">and a temporal/retention-time kernel</w:t>
      </w:r>
      <w:r>
        <w:t xml:space="preserve"> </w:t>
      </w:r>
      <m:oMath>
        <m:r>
          <m:t>K</m:t>
        </m:r>
        <m:d>
          <m:dPr>
            <m:begChr m:val="("/>
            <m:endChr m:val=")"/>
            <m:sepChr m:val=""/>
            <m:grow/>
          </m:dPr>
          <m:e>
            <m:r>
              <m:t>t</m:t>
            </m:r>
            <m:r>
              <m:rPr>
                <m:sty m:val="p"/>
              </m:rPr>
              <m:t>,</m:t>
            </m:r>
            <m:r>
              <m:t>τ</m:t>
            </m:r>
          </m:e>
        </m:d>
      </m:oMath>
      <w:r>
        <w:t xml:space="preserve">, aggregated spatially across sub-catchments, and only recoverable to the extent the problem remains identifiable — with process-informed (rather than purely empirical) correction as the proposed remedy for poor identifiability (§4.3).</w:t>
      </w:r>
    </w:p>
    <w:p>
      <w:pPr>
        <w:numPr>
          <w:ilvl w:val="0"/>
          <w:numId w:val="1034"/>
        </w:numPr>
        <w:pStyle w:val="Compact"/>
      </w:pPr>
      <w:r>
        <w:rPr>
          <w:bCs/>
          <w:b/>
        </w:rPr>
        <w:t xml:space="preserve">What Chapter 5 adds:</w:t>
      </w:r>
      <w:r>
        <w:t xml:space="preserve"> </w:t>
      </w:r>
      <w:r>
        <w:t xml:space="preserve">everything in §3–4 describes distortion of the</w:t>
      </w:r>
      <w:r>
        <w:t xml:space="preserve"> </w:t>
      </w:r>
      <w:r>
        <w:rPr>
          <w:iCs/>
          <w:i/>
        </w:rPr>
        <w:t xml:space="preserve">true in-network signal</w:t>
      </w:r>
      <w:r>
        <w:t xml:space="preserve"> </w:t>
      </w:r>
      <m:oMath>
        <m:r>
          <m:t>Y</m:t>
        </m:r>
        <m:d>
          <m:dPr>
            <m:begChr m:val="("/>
            <m:endChr m:val=")"/>
            <m:sepChr m:val=""/>
            <m:grow/>
          </m:dPr>
          <m:e>
            <m:r>
              <m:t>t</m:t>
            </m:r>
          </m:e>
        </m:d>
      </m:oMath>
      <w:r>
        <w:t xml:space="preserve">. But</w:t>
      </w:r>
      <w:r>
        <w:t xml:space="preserve"> </w:t>
      </w:r>
      <m:oMath>
        <m:r>
          <m:t>Y</m:t>
        </m:r>
        <m:d>
          <m:dPr>
            <m:begChr m:val="("/>
            <m:endChr m:val=")"/>
            <m:sepChr m:val=""/>
            <m:grow/>
          </m:dPr>
          <m:e>
            <m:r>
              <m:t>t</m:t>
            </m:r>
          </m:e>
        </m:d>
      </m:oMath>
      <w:r>
        <w:t xml:space="preserve"> </w:t>
      </w:r>
      <w:r>
        <w:t xml:space="preserve">itself is never observed directly — what is actually reported is</w:t>
      </w:r>
      <w:r>
        <w:t xml:space="preserve"> </w:t>
      </w:r>
      <m:oMath>
        <m:r>
          <m:t>Y</m:t>
        </m:r>
        <m:d>
          <m:dPr>
            <m:begChr m:val="("/>
            <m:endChr m:val=")"/>
            <m:sepChr m:val=""/>
            <m:grow/>
          </m:dPr>
          <m:e>
            <m:r>
              <m:t>t</m:t>
            </m:r>
          </m:e>
        </m:d>
      </m:oMath>
      <w:r>
        <w:t xml:space="preserve"> </w:t>
      </w:r>
      <w:r>
        <w:t xml:space="preserve">further modified by recovery efficiency, detection-chemistry-specific inhibition/suppression, and method/batch effects, via one of two target-class-specific observation models (molecular-target or chemical-biomarker, §5.0), and even</w:t>
      </w:r>
      <w:r>
        <w:t xml:space="preserve"> </w:t>
      </w:r>
      <w:r>
        <w:rPr>
          <w:iCs/>
          <w:i/>
        </w:rPr>
        <w:t xml:space="preserve">which</w:t>
      </w:r>
      <w:r>
        <w:t xml:space="preserve"> </w:t>
      </w:r>
      <m:oMath>
        <m:r>
          <m:t>Y</m:t>
        </m:r>
        <m:d>
          <m:dPr>
            <m:begChr m:val="("/>
            <m:endChr m:val=")"/>
            <m:sepChr m:val=""/>
            <m:grow/>
          </m:dPr>
          <m:e>
            <m:r>
              <m:t>t</m:t>
            </m:r>
          </m:e>
        </m:d>
      </m:oMath>
      <w:r>
        <w:t xml:space="preserve"> </w:t>
      </w:r>
      <w:r>
        <w:t xml:space="preserve">gets targeted is itself a design choice made through sampling location and sampling mode (§5.1–5.2).</w:t>
      </w:r>
    </w:p>
    <w:p>
      <w:pPr>
        <w:numPr>
          <w:ilvl w:val="0"/>
          <w:numId w:val="1034"/>
        </w:numPr>
        <w:pStyle w:val="Compact"/>
      </w:pPr>
      <w:r>
        <w:rPr>
          <w:bCs/>
          <w:b/>
        </w:rPr>
        <w:t xml:space="preserve">Why this matters going forward:</w:t>
      </w:r>
      <w:r>
        <w:t xml:space="preserve"> </w:t>
      </w:r>
      <w:r>
        <w:t xml:space="preserve">§5.7’s systematic-bias/random-error/information-loss classification sets up specific, differentiated requirements for §6 (normalization, which inherits systematic bias), §8 (uncertainty propagation, which inherits random error), and §7 (back-calculation, which must treat information loss as a hard identifiability constraint).</w:t>
      </w:r>
    </w:p>
    <w:bookmarkEnd w:id="127"/>
    <w:bookmarkStart w:id="128" w:name="Xce158d165362e1c9ba8fdee8a0da6905af8c880"/>
    <w:p>
      <w:pPr>
        <w:pStyle w:val="Heading2"/>
      </w:pPr>
      <w:r>
        <w:t xml:space="preserve">Structural bridge from Chapter 5 to Chapter 6 (new this round)</w:t>
      </w:r>
    </w:p>
    <w:p>
      <w:pPr>
        <w:numPr>
          <w:ilvl w:val="0"/>
          <w:numId w:val="1035"/>
        </w:numPr>
        <w:pStyle w:val="Compact"/>
      </w:pPr>
      <w:r>
        <w:rPr>
          <w:bCs/>
          <w:b/>
        </w:rPr>
        <w:t xml:space="preserve">What Chapter 5 left as an open handoff:</w:t>
      </w:r>
      <w:r>
        <w:t xml:space="preserve"> </w:t>
      </w:r>
      <w:r>
        <w:t xml:space="preserve">a recovery-corrected, inhibition/ion-suppression-controlled, location/mode-annotated report —</w:t>
      </w:r>
      <w:r>
        <w:t xml:space="preserve"> </w:t>
      </w:r>
      <m:oMath>
        <m:sSub>
          <m:e>
            <m:acc>
              <m:accPr>
                <m:chr m:val="̂"/>
              </m:accPr>
              <m:e>
                <m:r>
                  <m:t>Y</m:t>
                </m:r>
              </m:e>
            </m:acc>
          </m:e>
          <m:sub>
            <m:r>
              <m:t>m</m:t>
            </m:r>
            <m:r>
              <m:t>o</m:t>
            </m:r>
            <m:r>
              <m:t>l</m:t>
            </m:r>
          </m:sub>
        </m:sSub>
        <m:d>
          <m:dPr>
            <m:begChr m:val="("/>
            <m:endChr m:val=")"/>
            <m:sepChr m:val=""/>
            <m:grow/>
          </m:dPr>
          <m:e>
            <m:r>
              <m:t>t</m:t>
            </m:r>
          </m:e>
        </m:d>
      </m:oMath>
      <w:r>
        <w:t xml:space="preserve"> </w:t>
      </w:r>
      <w:r>
        <w:t xml:space="preserve">or</w:t>
      </w:r>
      <w:r>
        <w:t xml:space="preserve"> </w:t>
      </w:r>
      <m:oMath>
        <m:sSub>
          <m:e>
            <m:acc>
              <m:accPr>
                <m:chr m:val="̂"/>
              </m:accPr>
              <m:e>
                <m:r>
                  <m:t>Y</m:t>
                </m:r>
              </m:e>
            </m:acc>
          </m:e>
          <m:sub>
            <m:r>
              <m:t>c</m:t>
            </m:r>
            <m:r>
              <m:t>h</m:t>
            </m:r>
            <m:r>
              <m:t>e</m:t>
            </m:r>
            <m:r>
              <m:t>m</m:t>
            </m:r>
          </m:sub>
        </m:sSub>
        <m:d>
          <m:dPr>
            <m:begChr m:val="("/>
            <m:endChr m:val=")"/>
            <m:sepChr m:val=""/>
            <m:grow/>
          </m:dPr>
          <m:e>
            <m:r>
              <m:t>t</m:t>
            </m:r>
          </m:e>
        </m:d>
      </m:oMath>
      <w:r>
        <w:t xml:space="preserve"> </w:t>
      </w:r>
      <w:r>
        <w:t xml:space="preserve">— that is still not adjusted for dilution or population size, and still carries §5.7’s systematic-bias, random-error, and information-loss distinctions unresolved.</w:t>
      </w:r>
    </w:p>
    <w:p>
      <w:pPr>
        <w:numPr>
          <w:ilvl w:val="0"/>
          <w:numId w:val="1035"/>
        </w:numPr>
        <w:pStyle w:val="Compact"/>
      </w:pPr>
      <w:r>
        <w:rPr>
          <w:bCs/>
          <w:b/>
        </w:rPr>
        <w:t xml:space="preserve">What Chapter 6 does with it:</w:t>
      </w:r>
      <w:r>
        <w:t xml:space="preserve"> </w:t>
      </w:r>
      <w:r>
        <w:t xml:space="preserve">applies a second correction layer,</w:t>
      </w:r>
      <w:r>
        <w:t xml:space="preserve"> </w:t>
      </w:r>
      <m:oMath>
        <m:r>
          <m:rPr>
            <m:sty m:val="p"/>
            <m:scr m:val="script"/>
          </m:rPr>
          <m:t>N</m:t>
        </m:r>
        <m:d>
          <m:dPr>
            <m:begChr m:val="["/>
            <m:endChr m:val="]"/>
            <m:sepChr m:val=""/>
            <m:grow/>
          </m:dPr>
          <m:e>
            <m:acc>
              <m:accPr>
                <m:chr m:val="̂"/>
              </m:accPr>
              <m:e>
                <m:r>
                  <m:t>Y</m:t>
                </m:r>
              </m:e>
            </m:acc>
            <m:d>
              <m:dPr>
                <m:begChr m:val="("/>
                <m:endChr m:val=")"/>
                <m:sepChr m:val=""/>
                <m:grow/>
              </m:dPr>
              <m:e>
                <m:r>
                  <m:t>t</m:t>
                </m:r>
              </m:e>
            </m:d>
            <m:r>
              <m:rPr>
                <m:sty m:val="p"/>
              </m:rPr>
              <m:t>,</m:t>
            </m:r>
            <m:r>
              <m:t>Q</m:t>
            </m:r>
            <m:d>
              <m:dPr>
                <m:begChr m:val="("/>
                <m:endChr m:val=")"/>
                <m:sepChr m:val=""/>
                <m:grow/>
              </m:dPr>
              <m:e>
                <m:r>
                  <m:t>t</m:t>
                </m:r>
              </m:e>
            </m:d>
            <m:r>
              <m:rPr>
                <m:sty m:val="p"/>
              </m:rPr>
              <m:t>,</m:t>
            </m:r>
            <m:r>
              <m:t>P</m:t>
            </m:r>
            <m:d>
              <m:dPr>
                <m:begChr m:val="("/>
                <m:endChr m:val=")"/>
                <m:sepChr m:val=""/>
                <m:grow/>
              </m:dPr>
              <m:e>
                <m:r>
                  <m:t>t</m:t>
                </m:r>
              </m:e>
            </m:d>
            <m:r>
              <m:rPr>
                <m:sty m:val="p"/>
              </m:rPr>
              <m:t>,</m:t>
            </m:r>
            <m:sSub>
              <m:e>
                <m:r>
                  <m:t>B</m:t>
                </m:r>
              </m:e>
              <m:sub>
                <m:r>
                  <m:rPr>
                    <m:sty m:val="p"/>
                  </m:rPr>
                  <m:t>p</m:t>
                </m:r>
                <m:r>
                  <m:rPr>
                    <m:sty m:val="p"/>
                  </m:rPr>
                  <m:t>o</m:t>
                </m:r>
                <m:r>
                  <m:rPr>
                    <m:sty m:val="p"/>
                  </m:rPr>
                  <m:t>p</m:t>
                </m:r>
              </m:sub>
            </m:sSub>
            <m:d>
              <m:dPr>
                <m:begChr m:val="("/>
                <m:endChr m:val=")"/>
                <m:sepChr m:val=""/>
                <m:grow/>
              </m:dPr>
              <m:e>
                <m:r>
                  <m:t>t</m:t>
                </m:r>
              </m:e>
            </m:d>
            <m:r>
              <m:rPr>
                <m:sty m:val="p"/>
              </m:rPr>
              <m:t>,</m:t>
            </m:r>
            <m:r>
              <m:rPr>
                <m:sty m:val="b"/>
              </m:rPr>
              <m:t>C</m:t>
            </m:r>
            <m:d>
              <m:dPr>
                <m:begChr m:val="("/>
                <m:endChr m:val=")"/>
                <m:sepChr m:val=""/>
                <m:grow/>
              </m:dPr>
              <m:e>
                <m:r>
                  <m:t>t</m:t>
                </m:r>
              </m:e>
            </m:d>
          </m:e>
        </m:d>
      </m:oMath>
      <w:r>
        <w:t xml:space="preserve">, and evaluates — rather than assumes — whether that correction actually reduces §5.7’s systematic bias, and at what random-error cost. §6.6’s ratio-normalization analysis is the direct continuation of §5.5’s precision/recovery distinctions: a ratio’s denominator carries exactly the LOD/LOQ, recovery, and precision issues §5.5 established, now interacting with a second, independently-erroneous numerator.</w:t>
      </w:r>
    </w:p>
    <w:p>
      <w:pPr>
        <w:numPr>
          <w:ilvl w:val="0"/>
          <w:numId w:val="1035"/>
        </w:numPr>
        <w:pStyle w:val="Compact"/>
      </w:pPr>
      <w:r>
        <w:rPr>
          <w:bCs/>
          <w:b/>
        </w:rPr>
        <w:t xml:space="preserve">Why this matters going forward:</w:t>
      </w:r>
      <w:r>
        <w:t xml:space="preserve"> </w:t>
      </w:r>
      <w:r>
        <w:t xml:space="preserve">§6.10 hands</w:t>
      </w:r>
      <w:r>
        <w:t xml:space="preserve"> </w:t>
      </w:r>
      <m:oMath>
        <m:r>
          <m:t>Z</m:t>
        </m:r>
        <m:d>
          <m:dPr>
            <m:begChr m:val="("/>
            <m:endChr m:val=")"/>
            <m:sepChr m:val=""/>
            <m:grow/>
          </m:dPr>
          <m:e>
            <m:r>
              <m:t>t</m:t>
            </m:r>
          </m:e>
        </m:d>
      </m:oMath>
      <w:r>
        <w:t xml:space="preserve"> </w:t>
      </w:r>
      <w:r>
        <w:t xml:space="preserve">to §7 explicitly labeled as an intermediate, conditionally-valid signal, not a reconstructed source state — preserving, rather than resolving, exactly the caution §3.0 and §5.0 built in from the start. The chapter’s central proposition (§6.6) is, in effect, §4.3’s identifiability argument re-derived one layer downstream, at the normalization step rather than the transport step.</w:t>
      </w:r>
    </w:p>
    <w:bookmarkEnd w:id="128"/>
    <w:bookmarkStart w:id="129" w:name="Xdb37e09f0da558761634022a146cb446f8bfb79"/>
    <w:p>
      <w:pPr>
        <w:pStyle w:val="Heading2"/>
      </w:pPr>
      <w:r>
        <w:t xml:space="preserve">Structural bridge from Chapter 6 to Chapter 7 (new this round)</w:t>
      </w:r>
    </w:p>
    <w:p>
      <w:pPr>
        <w:numPr>
          <w:ilvl w:val="0"/>
          <w:numId w:val="1036"/>
        </w:numPr>
        <w:pStyle w:val="Compact"/>
      </w:pPr>
      <w:r>
        <w:rPr>
          <w:bCs/>
          <w:b/>
        </w:rPr>
        <w:t xml:space="preserve">What Chapter 6 left as an open handoff:</w:t>
      </w:r>
      <w:r>
        <w:t xml:space="preserve"> </w:t>
      </w:r>
      <w:r>
        <w:t xml:space="preserve">a normalized signal</w:t>
      </w:r>
      <w:r>
        <w:t xml:space="preserve"> </w:t>
      </w:r>
      <m:oMath>
        <m:r>
          <m:t>Z</m:t>
        </m:r>
        <m:d>
          <m:dPr>
            <m:begChr m:val="("/>
            <m:endChr m:val=")"/>
            <m:sepChr m:val=""/>
            <m:grow/>
          </m:dPr>
          <m:e>
            <m:r>
              <m:t>t</m:t>
            </m:r>
          </m:e>
        </m:d>
      </m:oMath>
      <w:r>
        <w:t xml:space="preserve">, valid only conditionally (§6.6’s joint condition) and explicitly not equivalent to the source state</w:t>
      </w:r>
      <w:r>
        <w:t xml:space="preserve"> </w:t>
      </w:r>
      <m:oMath>
        <m:r>
          <m:t>X</m:t>
        </m:r>
        <m:d>
          <m:dPr>
            <m:begChr m:val="("/>
            <m:endChr m:val=")"/>
            <m:sepChr m:val=""/>
            <m:grow/>
          </m:dPr>
          <m:e>
            <m:r>
              <m:t>τ</m:t>
            </m:r>
          </m:e>
        </m:d>
      </m:oMath>
      <w:r>
        <w:t xml:space="preserve"> </w:t>
      </w:r>
      <w:r>
        <w:t xml:space="preserve">(§6.0’s founding disclaimer).</w:t>
      </w:r>
    </w:p>
    <w:p>
      <w:pPr>
        <w:numPr>
          <w:ilvl w:val="0"/>
          <w:numId w:val="1036"/>
        </w:numPr>
        <w:pStyle w:val="Compact"/>
      </w:pPr>
      <w:r>
        <w:rPr>
          <w:bCs/>
          <w:b/>
        </w:rPr>
        <w:t xml:space="preserve">What Chapter 7 does with it:</w:t>
      </w:r>
      <w:r>
        <w:t xml:space="preserve"> </w:t>
      </w:r>
      <w:r>
        <w:t xml:space="preserve">attempts the final reconstruction step, from</w:t>
      </w:r>
      <w:r>
        <w:t xml:space="preserve"> </w:t>
      </w:r>
      <m:oMath>
        <m:r>
          <m:t>Z</m:t>
        </m:r>
        <m:d>
          <m:dPr>
            <m:begChr m:val="("/>
            <m:endChr m:val=")"/>
            <m:sepChr m:val=""/>
            <m:grow/>
          </m:dPr>
          <m:e>
            <m:r>
              <m:t>t</m:t>
            </m:r>
          </m:e>
        </m:d>
      </m:oMath>
      <w:r>
        <w:t xml:space="preserve"> </w:t>
      </w:r>
      <w:r>
        <w:t xml:space="preserve">to a population-level epidemiological or consumption quantity, and argues that the literature’s dominant evidentiary standard for this step — association/correlation with an independent reference series — is the weakest of five distinct kinds of evidence a reconstruction claim can be asked to meet (§7.0), with the other four (predictive performance, parameter identifiability, state observability, structural adequacy) each requiring different, additional diagnostic work that this review’s evidence base shows is rarely performed in applied WBE studies (§7.3–7.4).</w:t>
      </w:r>
    </w:p>
    <w:bookmarkEnd w:id="129"/>
    <w:bookmarkStart w:id="130" w:name="X57beac21ec4286b881c47993ddc7b8e5bc29fc6"/>
    <w:p>
      <w:pPr>
        <w:pStyle w:val="Heading2"/>
      </w:pPr>
      <w:r>
        <w:t xml:space="preserve">Structural bridge from Chapter 7 to Chapter 8 (new this round)</w:t>
      </w:r>
    </w:p>
    <w:p>
      <w:pPr>
        <w:numPr>
          <w:ilvl w:val="0"/>
          <w:numId w:val="1037"/>
        </w:numPr>
        <w:pStyle w:val="Compact"/>
      </w:pPr>
      <w:r>
        <w:rPr>
          <w:bCs/>
          <w:b/>
        </w:rPr>
        <w:t xml:space="preserve">What Chapter 7 left as an open handoff:</w:t>
      </w:r>
      <w:r>
        <w:t xml:space="preserve"> </w:t>
      </w:r>
      <w:r>
        <w:t xml:space="preserve">a reconstructed quantity</w:t>
      </w:r>
      <w:r>
        <w:t xml:space="preserve"> </w:t>
      </w:r>
      <m:oMath>
        <m:acc>
          <m:accPr>
            <m:chr m:val="̂"/>
          </m:accPr>
          <m:e>
            <m:r>
              <m:t>X</m:t>
            </m:r>
          </m:e>
        </m:acc>
        <m:d>
          <m:dPr>
            <m:begChr m:val="("/>
            <m:endChr m:val=")"/>
            <m:sepChr m:val=""/>
            <m:grow/>
          </m:dPr>
          <m:e>
            <m:r>
              <m:t>τ</m:t>
            </m:r>
          </m:e>
        </m:d>
      </m:oMath>
      <w:r>
        <w:t xml:space="preserve"> </w:t>
      </w:r>
      <w:r>
        <w:t xml:space="preserve">(or</w:t>
      </w:r>
      <w:r>
        <w:t xml:space="preserve"> </w:t>
      </w:r>
      <m:oMath>
        <m:sSub>
          <m:e>
            <m:acc>
              <m:accPr>
                <m:chr m:val="̂"/>
              </m:accPr>
              <m:e>
                <m:r>
                  <m:t>R</m:t>
                </m:r>
              </m:e>
            </m:acc>
          </m:e>
          <m:sub>
            <m:r>
              <m:t>t</m:t>
            </m:r>
          </m:sub>
        </m:sSub>
      </m:oMath>
      <w:r>
        <w:t xml:space="preserve">, or a back-calculated consumption estimate) that may satisfy some subset of the five §7.0 distinctions but is always accompanied by parameter and structural uncertainty that Chapter 7 flagged as necessary to report (§7.7’s reporting framework) without providing the formal machinery to quantify it — deliberately deferred, per §7.8, to Chapter 8.</w:t>
      </w:r>
    </w:p>
    <w:p>
      <w:pPr>
        <w:numPr>
          <w:ilvl w:val="0"/>
          <w:numId w:val="1037"/>
        </w:numPr>
        <w:pStyle w:val="Compact"/>
      </w:pPr>
      <w:r>
        <w:rPr>
          <w:bCs/>
          <w:b/>
        </w:rPr>
        <w:t xml:space="preserve">What Chapter 8 does with it:</w:t>
      </w:r>
      <w:r>
        <w:t xml:space="preserve"> </w:t>
      </w:r>
      <w:r>
        <w:t xml:space="preserve">supplies that machinery. Rather than asking whether</w:t>
      </w:r>
      <w:r>
        <w:t xml:space="preserve"> </w:t>
      </w:r>
      <m:oMath>
        <m:r>
          <m:t>X</m:t>
        </m:r>
        <m:d>
          <m:dPr>
            <m:begChr m:val="("/>
            <m:endChr m:val=")"/>
            <m:sepChr m:val=""/>
            <m:grow/>
          </m:dPr>
          <m:e>
            <m:r>
              <m:t>τ</m:t>
            </m:r>
          </m:e>
        </m:d>
      </m:oMath>
      <w:r>
        <w:t xml:space="preserve"> </w:t>
      </w:r>
      <w:r>
        <w:t xml:space="preserve">is identifiable or observable from</w:t>
      </w:r>
      <w:r>
        <w:t xml:space="preserve"> </w:t>
      </w:r>
      <m:oMath>
        <m:r>
          <m:t>Z</m:t>
        </m:r>
        <m:d>
          <m:dPr>
            <m:begChr m:val="("/>
            <m:endChr m:val=")"/>
            <m:sepChr m:val=""/>
            <m:grow/>
          </m:dPr>
          <m:e>
            <m:r>
              <m:t>t</m:t>
            </m:r>
          </m:e>
        </m:d>
      </m:oMath>
      <w:r>
        <w:t xml:space="preserve"> </w:t>
      </w:r>
      <w:r>
        <w:t xml:space="preserve">(Chapter 7’s question), Chapter 8 asks: given the joint uncertainty in every parameter feeding every stage of the pipeline in §3–7 — source-end excretion (§8.2), sewer-process transformation (§8.3), sampling and analytical measurement (§8.4), normalization (§8.5) — what is the full posterior/interval distribution of</w:t>
      </w:r>
      <w:r>
        <w:t xml:space="preserve"> </w:t>
      </w:r>
      <m:oMath>
        <m:r>
          <m:t>X</m:t>
        </m:r>
        <m:d>
          <m:dPr>
            <m:begChr m:val="("/>
            <m:endChr m:val=")"/>
            <m:sepChr m:val=""/>
            <m:grow/>
          </m:dPr>
          <m:e>
            <m:r>
              <m:t>τ</m:t>
            </m:r>
          </m:e>
        </m:d>
      </m:oMath>
      <w:r>
        <w:t xml:space="preserve">, not merely its point estimate, and how much of that distribution’s width is attributable to which upstream stage (§8.13)? This reframes uncertainty not as a residual nuisance to be minimized but as a structured, decomposable, and partially correlated quantity (§8.10) that must be propagated formally (§8.6–8.9) rather than asserted qualitatively.</w:t>
      </w:r>
    </w:p>
    <w:p>
      <w:pPr>
        <w:numPr>
          <w:ilvl w:val="0"/>
          <w:numId w:val="1037"/>
        </w:numPr>
        <w:pStyle w:val="Compact"/>
      </w:pPr>
      <w:r>
        <w:rPr>
          <w:bCs/>
          <w:b/>
        </w:rPr>
        <w:t xml:space="preserve">Why this matters going forward:</w:t>
      </w:r>
      <w:r>
        <w:t xml:space="preserve"> </w:t>
      </w:r>
      <w:r>
        <w:t xml:space="preserve">§8.16 explicitly returns the argument to Chapter 7’s territory — a narrow propagated interval is not evidence of identifiability, observability, or structural adequacy, and uncertainty propagation must be paired with the validation and coverage-checking machinery Chapter 7 already established, not substituted for it. This closes the loop the two chapters open together: Chapter 7 supplies the diagnostic criteria for whether a reconstruction is trustworthy in principle; Chapter 8 supplies the quantitative accounting of how uncertain it is in practice; neither is sufficient without the other, and §8.16 says so explicitly rather than leaving the relationship implicit.</w:t>
      </w:r>
    </w:p>
    <w:p>
      <w:pPr>
        <w:numPr>
          <w:ilvl w:val="0"/>
          <w:numId w:val="1037"/>
        </w:numPr>
        <w:pStyle w:val="Compact"/>
      </w:pPr>
      <w:r>
        <w:rPr>
          <w:bCs/>
          <w:b/>
        </w:rPr>
        <w:t xml:space="preserve">Why this matters going forward:</w:t>
      </w:r>
      <w:r>
        <w:t xml:space="preserve"> </w:t>
      </w:r>
      <w:r>
        <w:t xml:space="preserve">§7.8 hands the reconstructed quantity to §8 explicitly labeled by which of the five §7.0 criteria it actually satisfies, extending §6.10’s discipline (do not let</w:t>
      </w:r>
      <w:r>
        <w:t xml:space="preserve"> </w:t>
      </w:r>
      <m:oMath>
        <m:r>
          <m:t>Z</m:t>
        </m:r>
        <m:d>
          <m:dPr>
            <m:begChr m:val="("/>
            <m:endChr m:val=")"/>
            <m:sepChr m:val=""/>
            <m:grow/>
          </m:dPr>
          <m:e>
            <m:r>
              <m:t>t</m:t>
            </m:r>
          </m:e>
        </m:d>
      </m:oMath>
      <w:r>
        <w:t xml:space="preserve"> </w:t>
      </w:r>
      <w:r>
        <w:t xml:space="preserve">pass as</w:t>
      </w:r>
      <w:r>
        <w:t xml:space="preserve"> </w:t>
      </w:r>
      <m:oMath>
        <m:r>
          <m:t>X</m:t>
        </m:r>
        <m:d>
          <m:dPr>
            <m:begChr m:val="("/>
            <m:endChr m:val=")"/>
            <m:sepChr m:val=""/>
            <m:grow/>
          </m:dPr>
          <m:e>
            <m:r>
              <m:t>τ</m:t>
            </m:r>
          </m:e>
        </m:d>
      </m:oMath>
      <w:r>
        <w:t xml:space="preserve">) one stage further (do not let a correlated back-calculation pass as an identifiable one). §7.4’s tables — showing that no surveyed method family or individual study achieves all five criteria simultaneously — are this chapter’s version of §6.6’s central proposition: a structural limitation of the current evidence base, not a solved problem awaiting only better engineering.</w:t>
      </w:r>
    </w:p>
    <w:bookmarkEnd w:id="130"/>
    <w:bookmarkStart w:id="131" w:name="Xce7c1be6ae374052f45d1d2476d1759baff5557"/>
    <w:p>
      <w:pPr>
        <w:pStyle w:val="Heading2"/>
      </w:pPr>
      <w:r>
        <w:t xml:space="preserve">Structural bridge from Chapter 8 to Chapter 9 (new this round)</w:t>
      </w:r>
    </w:p>
    <w:p>
      <w:pPr>
        <w:numPr>
          <w:ilvl w:val="0"/>
          <w:numId w:val="1038"/>
        </w:numPr>
        <w:pStyle w:val="Compact"/>
      </w:pPr>
      <w:r>
        <w:rPr>
          <w:bCs/>
          <w:b/>
        </w:rPr>
        <w:t xml:space="preserve">What Chapter 8 left as an open handoff:</w:t>
      </w:r>
      <w:r>
        <w:t xml:space="preserve"> </w:t>
      </w:r>
      <w:r>
        <w:t xml:space="preserve">a full posterior/interval distribution over the reconstructed quantity</w:t>
      </w:r>
      <w:r>
        <w:t xml:space="preserve"> </w:t>
      </w:r>
      <m:oMath>
        <m:r>
          <m:t>X</m:t>
        </m:r>
        <m:d>
          <m:dPr>
            <m:begChr m:val="("/>
            <m:endChr m:val=")"/>
            <m:sepChr m:val=""/>
            <m:grow/>
          </m:dPr>
          <m:e>
            <m:r>
              <m:t>τ</m:t>
            </m:r>
          </m:e>
        </m:d>
      </m:oMath>
      <w:r>
        <w:t xml:space="preserve"> </w:t>
      </w:r>
      <w:r>
        <w:t xml:space="preserve">— or, where §7.0’s criteria could not be jointly satisfied, an explicit downgrade to a qualitative trend or exceedance-probability statement (§7.1.2, §8.14) — decomposed by upstream source (§8.13) but not yet connected to any specific institutional action.</w:t>
      </w:r>
    </w:p>
    <w:p>
      <w:pPr>
        <w:numPr>
          <w:ilvl w:val="0"/>
          <w:numId w:val="1038"/>
        </w:numPr>
        <w:pStyle w:val="Compact"/>
      </w:pPr>
      <w:r>
        <w:rPr>
          <w:bCs/>
          <w:b/>
        </w:rPr>
        <w:t xml:space="preserve">What Chapter 9 does with it:</w:t>
      </w:r>
      <w:r>
        <w:t xml:space="preserve"> </w:t>
      </w:r>
      <w:r>
        <w:t xml:space="preserve">supplies the translation layer Chapter 8 deliberately stopped short of, per §8.14’s own framing (</w:t>
      </w:r>
      <w:r>
        <w:t xml:space="preserve">“</w:t>
      </w:r>
      <w:r>
        <w:t xml:space="preserve">a public health decision-maker does not need a probability distribution for its own sake</w:t>
      </w:r>
      <w:r>
        <w:t xml:space="preserve">”</w:t>
      </w:r>
      <w:r>
        <w:t xml:space="preserve">). Rather than asking how uncertain</w:t>
      </w:r>
      <w:r>
        <w:t xml:space="preserve"> </w:t>
      </w:r>
      <m:oMath>
        <m:r>
          <m:t>X</m:t>
        </m:r>
        <m:d>
          <m:dPr>
            <m:begChr m:val="("/>
            <m:endChr m:val=")"/>
            <m:sepChr m:val=""/>
            <m:grow/>
          </m:dPr>
          <m:e>
            <m:r>
              <m:t>τ</m:t>
            </m:r>
          </m:e>
        </m:d>
      </m:oMath>
      <w:r>
        <w:t xml:space="preserve"> </w:t>
      </w:r>
      <w:r>
        <w:t xml:space="preserve">is (Chapter 8’s question), Chapter 9 asks: given that uncertainty, honestly disclosed, what surveillance objective is this signal serving (§9.1), what threshold and error-cost structure should govern whether it triggers a response (§9.2), what other data streams should it be combined with and how (§9.3–9.4), what can it never be asked to do (§9.5), what additional risk does it carry at fine spatial resolution (§9.6), and what has to be true before it is actually used to act (§9.7)? This is not a further narrowing of</w:t>
      </w:r>
      <w:r>
        <w:t xml:space="preserve"> </w:t>
      </w:r>
      <m:oMath>
        <m:r>
          <m:t>X</m:t>
        </m:r>
        <m:d>
          <m:dPr>
            <m:begChr m:val="("/>
            <m:endChr m:val=")"/>
            <m:sepChr m:val=""/>
            <m:grow/>
          </m:dPr>
          <m:e>
            <m:r>
              <m:t>τ</m:t>
            </m:r>
          </m:e>
        </m:d>
      </m:oMath>
      <w:r>
        <w:t xml:space="preserve">’s uncertainty — nothing in Chapter 9 makes the signal more or less certain — it is an account of what happens to an uncertainty-quantified signal once it leaves the modeling pipeline Chapters 3–8 built.</w:t>
      </w:r>
    </w:p>
    <w:p>
      <w:pPr>
        <w:numPr>
          <w:ilvl w:val="0"/>
          <w:numId w:val="1038"/>
        </w:numPr>
        <w:pStyle w:val="Compact"/>
      </w:pPr>
      <w:r>
        <w:rPr>
          <w:bCs/>
          <w:b/>
        </w:rPr>
        <w:t xml:space="preserve">Why this matters going forward:</w:t>
      </w:r>
      <w:r>
        <w:t xml:space="preserve"> </w:t>
      </w:r>
      <w:r>
        <w:t xml:space="preserve">§9.8’s minimum-reporting-requirement device closes the loop Chapters 5, 6, 7, and 8 each opened at their own stage (§5.7, §6.9, §7.7, §8.15) — every one of those chapter-level reporting standards feeds directly into what §9.8 requires a decision-ready signal to disclose, meaning Chapter 9’s institutional-translation layer is not a new, independent set of requirements bolted onto the science, but the direct downstream consequence of disclosure gaps this review has been naming, one methodological stage at a time, since Chapter 5.</w:t>
      </w:r>
    </w:p>
    <w:bookmarkEnd w:id="131"/>
    <w:bookmarkStart w:id="132" w:name="X4cd5eaa81a014a4861919d938fa13c30916563f"/>
    <w:p>
      <w:pPr>
        <w:pStyle w:val="Heading2"/>
      </w:pPr>
      <w:r>
        <w:t xml:space="preserve">Structural bridge from Chapter 9 to Chapter 10 (new this round)</w:t>
      </w:r>
    </w:p>
    <w:p>
      <w:pPr>
        <w:numPr>
          <w:ilvl w:val="0"/>
          <w:numId w:val="1039"/>
        </w:numPr>
        <w:pStyle w:val="Compact"/>
      </w:pPr>
      <w:r>
        <w:rPr>
          <w:bCs/>
          <w:b/>
        </w:rPr>
        <w:t xml:space="preserve">What Chapter 9 left as an open handoff:</w:t>
      </w:r>
      <w:r>
        <w:t xml:space="preserve"> </w:t>
      </w:r>
      <w:r>
        <w:t xml:space="preserve">an account of how an already-produced, uncertainty-quantified signal should be translated into surveillance objectives, thresholds, fusion decisions, institutional boundaries, and actionability — all of which presuppose the signal itself, however imperfect, already exists at whatever spatial resolution, latency, and biomarker breadth the current technology stack happens to supply.</w:t>
      </w:r>
    </w:p>
    <w:p>
      <w:pPr>
        <w:numPr>
          <w:ilvl w:val="0"/>
          <w:numId w:val="1039"/>
        </w:numPr>
        <w:pStyle w:val="Compact"/>
      </w:pPr>
      <w:r>
        <w:rPr>
          <w:bCs/>
          <w:b/>
        </w:rPr>
        <w:t xml:space="preserve">What Chapter 10 does with it:</w:t>
      </w:r>
      <w:r>
        <w:t xml:space="preserve"> </w:t>
      </w:r>
      <w:r>
        <w:t xml:space="preserve">turns to the upstream question Chapter 9 did not address — what determines whether a</w:t>
      </w:r>
      <w:r>
        <w:t xml:space="preserve"> </w:t>
      </w:r>
      <w:r>
        <w:rPr>
          <w:iCs/>
          <w:i/>
        </w:rPr>
        <w:t xml:space="preserve">better</w:t>
      </w:r>
      <w:r>
        <w:t xml:space="preserve"> </w:t>
      </w:r>
      <w:r>
        <w:t xml:space="preserve">signal (finer spatial resolution, lower latency, richer biological content, more defensible process-based correction, better cross-site comparability) can be produced at all. This is deliberately not a second pass over Chapter 9’s public-health data fusion (§9.3–9.4) — Chapter 10’s infrastructure concerns (distributed sensing, near-real-time measurement, digital twins, multi-omics, process-informed AI, reference materials, data interoperability, privacy-preserving analytics, climate resilience) are upstream of, and largely orthogonal to, the clinical/mobility/weather/pharmacy/hospital fusion problem §9.3–9.4 already covered.</w:t>
      </w:r>
    </w:p>
    <w:p>
      <w:pPr>
        <w:numPr>
          <w:ilvl w:val="0"/>
          <w:numId w:val="1039"/>
        </w:numPr>
        <w:pStyle w:val="Compact"/>
      </w:pPr>
      <w:r>
        <w:rPr>
          <w:bCs/>
          <w:b/>
        </w:rPr>
        <w:t xml:space="preserve">Why this matters going forward:</w:t>
      </w:r>
      <w:r>
        <w:t xml:space="preserve"> </w:t>
      </w:r>
      <w:r>
        <w:t xml:space="preserve">§10.10’s technology-readiness framework closes Chapter 10 the same way §7.0’s five-criteria framework closed Chapter 7 and §9.7’s four-condition framework closed Chapter 9’s actionability argument — by insisting that a single favorable result (a detection, a laboratory demonstration, a promising forecast) is evidence for only one level of a multi-level claim, not for the whole claim. This is the same discipline applied a third time, at a third layer of this review’s argument (reconstruction validity in Ch7, decision actionability in Ch9, technology readiness in Ch10), and each layer’s failure to distinguish its levels produces a structurally identical error: overclaiming a demonstrated capability at a level the actual evidence has not reached.</w:t>
      </w:r>
    </w:p>
    <w:bookmarkEnd w:id="132"/>
    <w:bookmarkEnd w:id="133"/>
    <w:sectPr>
      <w:pgSz w:h="15840" w:w="12240"/>
      <w:pgMar w:bottom="1008" w:left="864" w:right="864"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90" Target="media/rId90.png" /><Relationship Type="http://schemas.openxmlformats.org/officeDocument/2006/relationships/image" Id="rId93" Target="media/rId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2026-07-19T04:37:55Z</dcterms:created>
  <dcterms:modified xsi:type="dcterms:W3CDTF">2026-07-19T04:37:55Z</dcterms:modified>
</cp:coreProperties>
</file>

<file path=docProps/custom.xml><?xml version="1.0" encoding="utf-8"?>
<Properties xmlns="http://schemas.openxmlformats.org/officeDocument/2006/custom-properties" xmlns:vt="http://schemas.openxmlformats.org/officeDocument/2006/docPropsVTypes"/>
</file>